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September 9, 2022, Invivyd, Inc. (the “Company”) filed a certificate of amendment (the “Certificate of Amendment”) to its Amended and Restated Certificate of Incorporation with the Secretary of State of the State of Delaware solely to change the Company’s name from “Adagio Therapeutics, Inc.” to “Invivyd, Inc.” The name change became effective on September 13, 2022. A copy of the Certificate of Amendment is attached as Exhibit 3.1 hereto and incorporated herein by reference.</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name change, the Company’s Board of Directors amended the Company’s Amended and Restated Bylaws (the “Bylaws”) to reflect the Company’s name change, also effective September 13, 2022. No other changes were made to the Bylaws. A copy of the Bylaws reflecting this amendment is attached as Exhibit 3.2 hereto and incorporated herein by reference.</w:t>
      </w:r>
    </w:p>
    <w:p>
      <w:pPr>
        <w:spacing w:after="0" w:line="176" w:lineRule="exact"/>
        <w:rPr>
          <w:sz w:val="20"/>
          <w:szCs w:val="20"/>
          <w:color w:val="auto"/>
        </w:rPr>
      </w:pPr>
    </w:p>
    <w:p>
      <w:pPr>
        <w:ind w:right="1020" w:firstLine="440"/>
        <w:spacing w:after="0" w:line="282" w:lineRule="auto"/>
        <w:rPr>
          <w:sz w:val="20"/>
          <w:szCs w:val="20"/>
          <w:color w:val="auto"/>
        </w:rPr>
      </w:pPr>
      <w:r>
        <w:rPr>
          <w:rFonts w:ascii="Times New Roman" w:cs="Times New Roman" w:eastAsia="Times New Roman" w:hAnsi="Times New Roman"/>
          <w:sz w:val="18"/>
          <w:szCs w:val="18"/>
          <w:color w:val="auto"/>
        </w:rPr>
        <w:t>The Company’s common stock previously traded on the Nasdaq Global Market under the ticker symbol “ADGI” and, effective as of September 13, 2022, is trading on the Nasdaq Global Market under the new ticker symbol “IVVD.”</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name change does not affect the rights of the Company’s security holders, and the CUSIP number for the Company’s common stock will continue to be 00534A102.</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Certificate of Amendment to Amended and Restated Certificate of Incorporation</w:t>
      </w:r>
    </w:p>
    <w:p>
      <w:pPr>
        <w:spacing w:after="0" w:line="117"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0000EE"/>
        </w:rPr>
        <w:t>Amended and Restated Bylaws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1000"/>
          </w:cols>
          <w:pgMar w:left="440" w:top="293" w:right="4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3.1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2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Adagio Therapeutics, Inc.,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58"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That the Board of Directors of the Corporation, by the unanimous written consent of its members, adopted resolutions setting forth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proposed amendment of the Amended and Restated Certificate of Incorporation of the Corporation, declaring said amendment to be advisable and in the best interests of the Corporation and its stockholders in accordance with the provisions of Section 242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The resolution setting forth the proposed amendment is as follows:</w:t>
      </w:r>
    </w:p>
    <w:p>
      <w:pPr>
        <w:spacing w:after="0" w:line="176" w:lineRule="exact"/>
        <w:rPr>
          <w:sz w:val="20"/>
          <w:szCs w:val="20"/>
          <w:color w:val="auto"/>
        </w:rPr>
      </w:pPr>
    </w:p>
    <w:p>
      <w:pPr>
        <w:ind w:left="440" w:right="42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first section of the Amended and Restated Certificate of Incorporation of the Corporation be amended in its entirety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name of this corporation is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Certificate of Amendment to the Amended and Restated Certificate of Incorporation has been duly adopted and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in accordance with the provisions of Section 242 of the DGCL.</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That except as amended hereby, the provisions of the Amended and Restated Certificate of Incorporation, shall remain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w:t>
      </w:r>
    </w:p>
    <w:p>
      <w:pPr>
        <w:spacing w:after="0" w:line="15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FOURTH</w:t>
      </w:r>
      <w:r>
        <w:rPr>
          <w:rFonts w:ascii="Times New Roman" w:cs="Times New Roman" w:eastAsia="Times New Roman" w:hAnsi="Times New Roman"/>
          <w:sz w:val="18"/>
          <w:szCs w:val="18"/>
          <w:color w:val="auto"/>
        </w:rPr>
        <w:t>: This Certificate of Amendment to the Amended and Restated Certificate of Incorporation shall be effective as of September 13, 2022.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4" w:right="439" w:bottom="1440" w:gutter="0" w:footer="0" w:header="0"/>
        </w:sectPr>
      </w:pPr>
    </w:p>
    <w:bookmarkStart w:id="4" w:name="page5"/>
    <w:bookmarkEnd w:id="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Corporation has caused this Certificate of Amendment to the Amended and Restated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signed by a duly authorized officer of the Corporation this 9th day of September, 2022.</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Jill Andersen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Legal Officer</w:t>
      </w:r>
    </w:p>
    <w:p>
      <w:pPr>
        <w:sectPr>
          <w:pgSz w:w="11900" w:h="16838" w:orient="portrait"/>
          <w:cols w:equalWidth="0" w:num="1">
            <w:col w:w="10940"/>
          </w:cols>
          <w:pgMar w:left="440" w:top="266"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 Registered Office</w:t>
      </w:r>
      <w:r>
        <w:rPr>
          <w:rFonts w:ascii="Times New Roman" w:cs="Times New Roman" w:eastAsia="Times New Roman" w:hAnsi="Times New Roman"/>
          <w:sz w:val="18"/>
          <w:szCs w:val="18"/>
          <w:color w:val="auto"/>
        </w:rPr>
        <w:t>. The registered office shall be established and maintained at the office of Incorporating Services, Ltd., 3500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Dupont Hwy, in the city of Dover, county of Kent, Delaware 19901, and said corporation, or other such person or entity as the Board of Directors may from time to time designate, shall be the registered agent of the corporation.</w:t>
      </w:r>
    </w:p>
    <w:p>
      <w:pPr>
        <w:spacing w:after="0" w:line="171"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2. Other Offices</w:t>
      </w:r>
      <w:r>
        <w:rPr>
          <w:rFonts w:ascii="Times New Roman" w:cs="Times New Roman" w:eastAsia="Times New Roman" w:hAnsi="Times New Roman"/>
          <w:sz w:val="18"/>
          <w:szCs w:val="18"/>
          <w:color w:val="auto"/>
        </w:rPr>
        <w:t>. The corporation shall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and may also have offices at such other places, both within and without the State of Delaware as the Board of Directors may from time to time determine or the business of the corporation may require.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3. Corporate Seal</w:t>
      </w:r>
      <w:r>
        <w:rPr>
          <w:rFonts w:ascii="Times New Roman" w:cs="Times New Roman" w:eastAsia="Times New Roman" w:hAnsi="Times New Roman"/>
          <w:sz w:val="18"/>
          <w:szCs w:val="18"/>
          <w:color w:val="auto"/>
        </w:rPr>
        <w:t>. 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“Corporate Seal-Delaware.” Said seal may be used by causing it or a facsimile thereof to be impressed or affixed or reproduced or otherwise.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jc w:val="both"/>
        <w:ind w:right="3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4. Place of Meetings</w:t>
      </w:r>
      <w:r>
        <w:rPr>
          <w:rFonts w:ascii="Times New Roman" w:cs="Times New Roman" w:eastAsia="Times New Roman" w:hAnsi="Times New Roman"/>
          <w:sz w:val="18"/>
          <w:szCs w:val="18"/>
          <w:color w:val="auto"/>
        </w:rPr>
        <w:t>. Meetings of the stockholders of the corporation may be held at such place, either within or without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Annual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987"/>
        <w:spacing w:after="0" w:line="253" w:lineRule="auto"/>
        <w:tabs>
          <w:tab w:leader="none" w:pos="125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 w:cs="Times New Roman" w:eastAsia="Times New Roman" w:hAnsi="Times New Roman"/>
          <w:sz w:val="18"/>
          <w:szCs w:val="18"/>
          <w:b w:val="1"/>
          <w:bCs w:val="1"/>
          <w:i w:val="1"/>
          <w:iCs w:val="1"/>
          <w:color w:val="auto"/>
        </w:rPr>
        <w:t>1934 Act</w:t>
      </w:r>
      <w:r>
        <w:rPr>
          <w:rFonts w:ascii="Times New Roman" w:cs="Times New Roman" w:eastAsia="Times New Roman" w:hAnsi="Times New Roman"/>
          <w:sz w:val="18"/>
          <w:szCs w:val="18"/>
          <w:color w:val="auto"/>
        </w:rPr>
        <w:t>”)) before an annual meeting of stockholders.</w:t>
      </w:r>
    </w:p>
    <w:p>
      <w:pPr>
        <w:spacing w:after="0" w:line="194" w:lineRule="exact"/>
        <w:rPr>
          <w:rFonts w:ascii="Times New Roman" w:cs="Times New Roman" w:eastAsia="Times New Roman" w:hAnsi="Times New Roman"/>
          <w:sz w:val="18"/>
          <w:szCs w:val="18"/>
          <w:b w:val="1"/>
          <w:bCs w:val="1"/>
          <w:color w:val="auto"/>
        </w:rPr>
      </w:pPr>
    </w:p>
    <w:p>
      <w:pPr>
        <w:ind w:left="4" w:right="360" w:firstLine="987"/>
        <w:spacing w:after="0" w:line="282" w:lineRule="auto"/>
        <w:tabs>
          <w:tab w:leader="none" w:pos="126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 annual meeting of the stockholders, only such business shall be conducted as is a proper matter for stockholder action under Delaware law and as shall have been properly brought before the meeting.</w:t>
      </w:r>
    </w:p>
    <w:p>
      <w:pPr>
        <w:spacing w:after="0" w:line="161" w:lineRule="exact"/>
        <w:rPr>
          <w:rFonts w:ascii="Times New Roman" w:cs="Times New Roman" w:eastAsia="Times New Roman" w:hAnsi="Times New Roman"/>
          <w:sz w:val="18"/>
          <w:szCs w:val="18"/>
          <w:b w:val="1"/>
          <w:bCs w:val="1"/>
          <w:color w:val="auto"/>
        </w:rPr>
      </w:pPr>
    </w:p>
    <w:p>
      <w:pPr>
        <w:ind w:left="4" w:right="60" w:firstLine="1428"/>
        <w:spacing w:after="0" w:line="253" w:lineRule="auto"/>
        <w:tabs>
          <w:tab w:leader="none" w:pos="1691"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and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5(b)(4).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w:t>
      </w:r>
    </w:p>
    <w:p>
      <w:pPr>
        <w:spacing w:after="0" w:line="187" w:lineRule="exact"/>
        <w:rPr>
          <w:rFonts w:ascii="Times New Roman" w:cs="Times New Roman" w:eastAsia="Times New Roman" w:hAnsi="Times New Roman"/>
          <w:sz w:val="18"/>
          <w:szCs w:val="18"/>
          <w:b w:val="1"/>
          <w:bCs w:val="1"/>
          <w:color w:val="auto"/>
        </w:rPr>
      </w:pPr>
    </w:p>
    <w:p>
      <w:pPr>
        <w:ind w:left="4" w:firstLine="1428"/>
        <w:spacing w:after="0" w:line="254" w:lineRule="auto"/>
        <w:tabs>
          <w:tab w:leader="none" w:pos="1691"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5(b)(3),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5(b)(4).</w:t>
      </w:r>
    </w:p>
    <w:p>
      <w:pPr>
        <w:spacing w:after="0" w:line="188" w:lineRule="exact"/>
        <w:rPr>
          <w:rFonts w:ascii="Times New Roman" w:cs="Times New Roman" w:eastAsia="Times New Roman" w:hAnsi="Times New Roman"/>
          <w:sz w:val="18"/>
          <w:szCs w:val="18"/>
          <w:b w:val="1"/>
          <w:bCs w:val="1"/>
          <w:color w:val="auto"/>
        </w:rPr>
      </w:pPr>
    </w:p>
    <w:p>
      <w:pPr>
        <w:ind w:left="4" w:right="120" w:firstLine="1428"/>
        <w:spacing w:after="0" w:line="270" w:lineRule="auto"/>
        <w:tabs>
          <w:tab w:leader="none" w:pos="1691" w:val="left"/>
        </w:tabs>
        <w:numPr>
          <w:ilvl w:val="2"/>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be timely, the written notice required by Section 5(b)(1) or 5(b)(2) must be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subject to the last sentence of this Section 5(b)(3), in the event that the date of the annual meeting is advanced more than thirty (30) days prior to or delayed by more than thirty</w:t>
      </w:r>
    </w:p>
    <w:p>
      <w:pPr>
        <w:spacing w:after="0" w:line="2" w:lineRule="exact"/>
        <w:rPr>
          <w:rFonts w:ascii="Times New Roman" w:cs="Times New Roman" w:eastAsia="Times New Roman" w:hAnsi="Times New Roman"/>
          <w:sz w:val="17"/>
          <w:szCs w:val="17"/>
          <w:b w:val="1"/>
          <w:bCs w:val="1"/>
          <w:color w:val="auto"/>
        </w:rPr>
      </w:pPr>
    </w:p>
    <w:p>
      <w:pPr>
        <w:ind w:left="4" w:right="40" w:hanging="4"/>
        <w:spacing w:after="0" w:line="253" w:lineRule="auto"/>
        <w:tabs>
          <w:tab w:leader="none" w:pos="3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anniversary of the preceding year’s annual meeting,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7" w:name="page8"/>
    <w:bookmarkEnd w:id="7"/>
    <w:p>
      <w:pPr>
        <w:ind w:left="4" w:firstLine="1428"/>
        <w:spacing w:after="0" w:line="252" w:lineRule="auto"/>
        <w:tabs>
          <w:tab w:leader="none" w:pos="169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written notice required by Section 5(b)(1) or 5(b)(2) shall also set forth, as of the date of the notice and as to the stockholder giving the notice and the beneficial owner, if any, on whose behalf the nomination or proposal is made (each, a “</w:t>
      </w:r>
      <w:r>
        <w:rPr>
          <w:rFonts w:ascii="Times New Roman" w:cs="Times New Roman" w:eastAsia="Times New Roman" w:hAnsi="Times New Roman"/>
          <w:sz w:val="18"/>
          <w:szCs w:val="18"/>
          <w:b w:val="1"/>
          <w:bCs w:val="1"/>
          <w:i w:val="1"/>
          <w:iCs w:val="1"/>
          <w:color w:val="auto"/>
        </w:rPr>
        <w:t>Proponent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Proponents</w:t>
      </w:r>
      <w:r>
        <w:rPr>
          <w:rFonts w:ascii="Times New Roman" w:cs="Times New Roman" w:eastAsia="Times New Roman" w:hAnsi="Times New Roman"/>
          <w:sz w:val="18"/>
          <w:szCs w:val="18"/>
          <w:color w:val="auto"/>
        </w:rPr>
        <w:t>”):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and any others (including their names) acting in concert, or otherwise under the agreement, arrangement or understanding, with any of the foregoing; (D) a representation that the Proponents are holders of record or beneficial owners, as the case may be, of shares of the corporation entitled to vote at the meeting and intend to appear in person or by proxy at the meeting to nominate the person or persons specified in the notice (with respect to a notice under Section 5(b)(1)) or to propose the business that is specified in the notice (with respect to a notice under Section 5(b)(2)); (E) a representation as to whether the Proponents intend to deliver a proxy statement and form of proxy to holders of a sufficient number of holders of the corporation’s voting shares to elect such nominee or nominees (with respect to a notice under Section 5(b)(1)) or to carry such proposal (with respect to a notice under Section 5(b)(2));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w:t>
      </w:r>
    </w:p>
    <w:p>
      <w:pPr>
        <w:spacing w:after="0" w:line="192"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For purposes of Sections 5 and 6, a “</w:t>
      </w:r>
      <w:r>
        <w:rPr>
          <w:rFonts w:ascii="Times New Roman" w:cs="Times New Roman" w:eastAsia="Times New Roman" w:hAnsi="Times New Roman"/>
          <w:sz w:val="18"/>
          <w:szCs w:val="18"/>
          <w:b w:val="1"/>
          <w:bCs w:val="1"/>
          <w:i w:val="1"/>
          <w:iCs w:val="1"/>
          <w:color w:val="auto"/>
        </w:rPr>
        <w:t>Derivative Transaction</w:t>
      </w:r>
      <w:r>
        <w:rPr>
          <w:rFonts w:ascii="Times New Roman" w:cs="Times New Roman" w:eastAsia="Times New Roman" w:hAnsi="Times New Roman"/>
          <w:sz w:val="18"/>
          <w:szCs w:val="18"/>
          <w:color w:val="auto"/>
        </w:rPr>
        <w:t>” means any agreement, arrangement, interest or understanding entered into by, or on behalf or for the benefit of, any Proponent or any of its affiliates or associates, whether record or beneficial:</w:t>
      </w:r>
    </w:p>
    <w:p>
      <w:pPr>
        <w:spacing w:after="0" w:line="51" w:lineRule="exact"/>
        <w:rPr>
          <w:sz w:val="20"/>
          <w:szCs w:val="20"/>
          <w:color w:val="auto"/>
        </w:rPr>
      </w:pPr>
    </w:p>
    <w:p>
      <w:pPr>
        <w:ind w:left="744" w:hanging="304"/>
        <w:spacing w:after="0"/>
        <w:tabs>
          <w:tab w:leader="none" w:pos="7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 corporation,</w:t>
      </w:r>
    </w:p>
    <w:p>
      <w:pPr>
        <w:spacing w:after="0" w:line="117" w:lineRule="exact"/>
        <w:rPr>
          <w:rFonts w:ascii="Times New Roman" w:cs="Times New Roman" w:eastAsia="Times New Roman" w:hAnsi="Times New Roman"/>
          <w:sz w:val="18"/>
          <w:szCs w:val="18"/>
          <w:color w:val="auto"/>
        </w:rPr>
      </w:pPr>
    </w:p>
    <w:p>
      <w:pPr>
        <w:ind w:left="444" w:right="80" w:hanging="4"/>
        <w:spacing w:after="0" w:line="282" w:lineRule="auto"/>
        <w:tabs>
          <w:tab w:leader="none" w:pos="69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otherwise provides any direct or indirect opportunity to gain or share in any gain derived from a change in the value of securities of the corporation,</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(z) the effect or intent of which is to mitigate loss, manage risk or benefit of security value or price changes, or</w:t>
      </w:r>
    </w:p>
    <w:p>
      <w:pPr>
        <w:spacing w:after="0" w:line="117" w:lineRule="exact"/>
        <w:rPr>
          <w:sz w:val="20"/>
          <w:szCs w:val="20"/>
          <w:color w:val="auto"/>
        </w:rPr>
      </w:pPr>
    </w:p>
    <w:p>
      <w:pPr>
        <w:ind w:left="444" w:right="100" w:hanging="4"/>
        <w:spacing w:after="0" w:line="282" w:lineRule="auto"/>
        <w:tabs>
          <w:tab w:leader="none" w:pos="6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provides the right to vote or increase or decrease the voting power of, such Proponent, or any of its affiliates or associates, with respect to any securities of the corporation,</w:t>
      </w:r>
    </w:p>
    <w:p>
      <w:pPr>
        <w:spacing w:after="0" w:line="162"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183" w:lineRule="exact"/>
        <w:rPr>
          <w:sz w:val="20"/>
          <w:szCs w:val="20"/>
          <w:color w:val="auto"/>
        </w:rPr>
      </w:pPr>
    </w:p>
    <w:p>
      <w:pPr>
        <w:ind w:left="4" w:right="200" w:firstLine="987"/>
        <w:spacing w:after="0" w:line="272" w:lineRule="auto"/>
        <w:tabs>
          <w:tab w:leader="none" w:pos="1240" w:val="left"/>
        </w:tabs>
        <w:numPr>
          <w:ilvl w:val="1"/>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stockholder providing written notice required by Section 5(b)(1) or (2)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w:t>
      </w:r>
    </w:p>
    <w:p>
      <w:pPr>
        <w:spacing w:after="0" w:line="1" w:lineRule="exact"/>
        <w:rPr>
          <w:rFonts w:ascii="Times New Roman" w:cs="Times New Roman" w:eastAsia="Times New Roman" w:hAnsi="Times New Roman"/>
          <w:sz w:val="17"/>
          <w:szCs w:val="17"/>
          <w:b w:val="1"/>
          <w:bCs w:val="1"/>
          <w:color w:val="auto"/>
        </w:rPr>
      </w:pPr>
    </w:p>
    <w:p>
      <w:pPr>
        <w:ind w:left="4" w:right="40" w:hanging="4"/>
        <w:spacing w:after="0" w:line="253" w:lineRule="auto"/>
        <w:tabs>
          <w:tab w:leader="none" w:pos="2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186"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Section 5(b)(3) to the contrary, in the event that the number of directors in an Expiring Class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5(b)(3), a stockholder’s notice required by this Section 5 and which complies with the requirements in Section 5(b)(1), other than the timing requirements in Section 5(b)(3),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Times New Roman" w:cs="Times New Roman" w:eastAsia="Times New Roman" w:hAnsi="Times New Roman"/>
          <w:sz w:val="18"/>
          <w:szCs w:val="18"/>
          <w:b w:val="1"/>
          <w:bCs w:val="1"/>
          <w:i w:val="1"/>
          <w:iCs w:val="1"/>
          <w:color w:val="auto"/>
        </w:rPr>
        <w:t>Expiring Class</w:t>
      </w:r>
      <w:r>
        <w:rPr>
          <w:rFonts w:ascii="Times New Roman" w:cs="Times New Roman" w:eastAsia="Times New Roman" w:hAnsi="Times New Roman"/>
          <w:sz w:val="18"/>
          <w:szCs w:val="18"/>
          <w:color w:val="auto"/>
        </w:rPr>
        <w:t>” shall mean a class of directors whose term shall expire at the next annual meeting of stockholders.</w:t>
      </w:r>
    </w:p>
    <w:p>
      <w:pPr>
        <w:spacing w:after="0" w:line="36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8" w:name="page9"/>
    <w:bookmarkEnd w:id="8"/>
    <w:p>
      <w:pPr>
        <w:ind w:left="1244" w:hanging="253"/>
        <w:spacing w:after="0"/>
        <w:tabs>
          <w:tab w:leader="none" w:pos="1244"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person shall not be eligible for election or re-election as a director unless the person is nominated either in accordance with clause</w:t>
      </w:r>
    </w:p>
    <w:p>
      <w:pPr>
        <w:spacing w:after="0" w:line="27" w:lineRule="exact"/>
        <w:rPr>
          <w:rFonts w:ascii="Times New Roman" w:cs="Times New Roman" w:eastAsia="Times New Roman" w:hAnsi="Times New Roman"/>
          <w:sz w:val="18"/>
          <w:szCs w:val="18"/>
          <w:b w:val="1"/>
          <w:bCs w:val="1"/>
          <w:color w:val="auto"/>
        </w:rPr>
      </w:pPr>
    </w:p>
    <w:p>
      <w:pPr>
        <w:ind w:left="4" w:right="20" w:hanging="4"/>
        <w:spacing w:after="0" w:line="252"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5(a), or in accordance with clause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or the Proponent does not act in accordance with the representations in Sections 5(b)(4)(D) and 5(b)(4)(E), to declare that such proposal or nomination shall not be presented for stockholder action at the meeting and shall be disregarded, notwithstanding that proxies in respect of such nominations or such business may have been solicited or received.</w:t>
      </w:r>
    </w:p>
    <w:p>
      <w:pPr>
        <w:spacing w:after="0" w:line="189" w:lineRule="exact"/>
        <w:rPr>
          <w:rFonts w:ascii="Times New Roman" w:cs="Times New Roman" w:eastAsia="Times New Roman" w:hAnsi="Times New Roman"/>
          <w:sz w:val="18"/>
          <w:szCs w:val="18"/>
          <w:color w:val="auto"/>
        </w:rPr>
      </w:pPr>
    </w:p>
    <w:p>
      <w:pPr>
        <w:ind w:left="4" w:firstLine="987"/>
        <w:spacing w:after="0" w:line="256" w:lineRule="auto"/>
        <w:tabs>
          <w:tab w:leader="none" w:pos="122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references in these Bylaws to the 1934 Act or the rules and regulations thereunder are not intended to and shall not limit the requirements applicable to proposals and/or nominations to be considered pursuant to Section 5(a)(iii) of these Bylaws.</w:t>
      </w:r>
    </w:p>
    <w:p>
      <w:pPr>
        <w:spacing w:after="0" w:line="187"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Sections 5 and 6,</w:t>
      </w:r>
    </w:p>
    <w:p>
      <w:pPr>
        <w:spacing w:after="0" w:line="221" w:lineRule="exact"/>
        <w:rPr>
          <w:rFonts w:ascii="Times New Roman" w:cs="Times New Roman" w:eastAsia="Times New Roman" w:hAnsi="Times New Roman"/>
          <w:sz w:val="18"/>
          <w:szCs w:val="18"/>
          <w:b w:val="1"/>
          <w:bCs w:val="1"/>
          <w:color w:val="auto"/>
        </w:rPr>
      </w:pPr>
    </w:p>
    <w:p>
      <w:pPr>
        <w:ind w:left="4" w:right="180" w:firstLine="1428"/>
        <w:spacing w:after="0" w:line="268" w:lineRule="auto"/>
        <w:tabs>
          <w:tab w:leader="none" w:pos="1691"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w:t>
      </w:r>
    </w:p>
    <w:p>
      <w:pPr>
        <w:spacing w:after="0" w:line="170" w:lineRule="exact"/>
        <w:rPr>
          <w:rFonts w:ascii="Times New Roman" w:cs="Times New Roman" w:eastAsia="Times New Roman" w:hAnsi="Times New Roman"/>
          <w:sz w:val="18"/>
          <w:szCs w:val="18"/>
          <w:b w:val="1"/>
          <w:bCs w:val="1"/>
          <w:color w:val="auto"/>
        </w:rPr>
      </w:pPr>
    </w:p>
    <w:p>
      <w:pPr>
        <w:ind w:left="1684" w:hanging="252"/>
        <w:spacing w:after="0"/>
        <w:tabs>
          <w:tab w:leader="none" w:pos="1684"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associates</w:t>
      </w:r>
      <w:r>
        <w:rPr>
          <w:rFonts w:ascii="Times New Roman" w:cs="Times New Roman" w:eastAsia="Times New Roman" w:hAnsi="Times New Roman"/>
          <w:sz w:val="18"/>
          <w:szCs w:val="18"/>
          <w:color w:val="auto"/>
        </w:rPr>
        <w:t>” shall have the meanings set forth in Rule 405 under the Securities Act of 1933, as amended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1933 Act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6. Special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400" w:firstLine="987"/>
        <w:spacing w:after="0" w:line="261" w:lineRule="auto"/>
        <w:tabs>
          <w:tab w:leader="none" w:pos="125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79" w:lineRule="exact"/>
        <w:rPr>
          <w:rFonts w:ascii="Times New Roman" w:cs="Times New Roman" w:eastAsia="Times New Roman" w:hAnsi="Times New Roman"/>
          <w:sz w:val="18"/>
          <w:szCs w:val="18"/>
          <w:b w:val="1"/>
          <w:bCs w:val="1"/>
          <w:color w:val="auto"/>
        </w:rPr>
      </w:pPr>
    </w:p>
    <w:p>
      <w:pPr>
        <w:ind w:left="4" w:firstLine="987"/>
        <w:spacing w:after="0" w:line="266" w:lineRule="auto"/>
        <w:tabs>
          <w:tab w:leader="none" w:pos="1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Bylaws. No business may be transacted at such special meeting otherwise than specified in the notice of meeting.</w:t>
      </w:r>
    </w:p>
    <w:p>
      <w:pPr>
        <w:spacing w:after="0" w:line="175" w:lineRule="exact"/>
        <w:rPr>
          <w:rFonts w:ascii="Times New Roman" w:cs="Times New Roman" w:eastAsia="Times New Roman" w:hAnsi="Times New Roman"/>
          <w:sz w:val="18"/>
          <w:szCs w:val="18"/>
          <w:b w:val="1"/>
          <w:bCs w:val="1"/>
          <w:color w:val="auto"/>
        </w:rPr>
      </w:pPr>
    </w:p>
    <w:p>
      <w:pPr>
        <w:ind w:left="4" w:right="40" w:firstLine="987"/>
        <w:spacing w:after="0" w:line="253" w:lineRule="auto"/>
        <w:tabs>
          <w:tab w:leader="none" w:pos="12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5(b)(1).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5(b)(1) of these Bylaws shall be received by the Secretary at the principal executive offices of the corporation not later than the close of business on the later of the ninetieth (90th) day prior to such meeting or the tenth (10th)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9" w:name="page10"/>
    <w:bookmarkEnd w:id="9"/>
    <w:p>
      <w:pPr>
        <w:ind w:right="180" w:firstLine="987"/>
        <w:spacing w:after="0" w:line="258" w:lineRule="auto"/>
        <w:tabs>
          <w:tab w:leader="none" w:pos="125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any references in these Bylaws to the 1934 Act or the rules and regulations thereunder are not intended to and shall not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nominations for the election to the Board of Directors to be considered pursuant to Section 6(c) of these Bylaws.</w:t>
      </w:r>
    </w:p>
    <w:p>
      <w:pPr>
        <w:spacing w:after="0" w:line="17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7. Notice of Meetings</w:t>
      </w:r>
      <w:r>
        <w:rPr>
          <w:rFonts w:ascii="Times New Roman" w:cs="Times New Roman" w:eastAsia="Times New Roman" w:hAnsi="Times New Roman"/>
          <w:sz w:val="18"/>
          <w:szCs w:val="18"/>
          <w:color w:val="auto"/>
        </w:rPr>
        <w:t>. Except as otherwise provided by law, notice, given in writing or by electronic transmission, of each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her or its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8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8. Quorum</w:t>
      </w:r>
      <w:r>
        <w:rPr>
          <w:rFonts w:ascii="Times New Roman" w:cs="Times New Roman" w:eastAsia="Times New Roman" w:hAnsi="Times New Roman"/>
          <w:sz w:val="18"/>
          <w:szCs w:val="18"/>
          <w:color w:val="auto"/>
        </w:rPr>
        <w:t>. At all meetings of stockholders, except where otherwise provided by statute or by the Certificate of Incorporation,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9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9. Adjournment and Notice of Adjourned Meetings</w:t>
      </w:r>
      <w:r>
        <w:rPr>
          <w:rFonts w:ascii="Times New Roman" w:cs="Times New Roman" w:eastAsia="Times New Roman" w:hAnsi="Times New Roman"/>
          <w:sz w:val="18"/>
          <w:szCs w:val="18"/>
          <w:color w:val="auto"/>
        </w:rPr>
        <w:t>. Any meeting of stockholders, whether annual or special, may be adjourned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0" w:name="page11"/>
    <w:bookmarkEnd w:id="10"/>
    <w:p>
      <w:pPr>
        <w:ind w:left="4" w:right="4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 Voting Rights</w:t>
      </w:r>
      <w:r>
        <w:rPr>
          <w:rFonts w:ascii="Times New Roman" w:cs="Times New Roman" w:eastAsia="Times New Roman" w:hAnsi="Times New Roman"/>
          <w:sz w:val="17"/>
          <w:szCs w:val="17"/>
          <w:color w:val="auto"/>
        </w:rPr>
        <w:t>. For the purpose of determining those stockholders entitled to vote at any meeting of the stockholders, except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provided by law, only persons in whose names shares stand on the stock records of the corporation on the record date, as provided in Section 12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w:t>
      </w:r>
    </w:p>
    <w:p>
      <w:pPr>
        <w:spacing w:after="0" w:line="164"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11. Joint Owners of Stock</w:t>
      </w:r>
      <w:r>
        <w:rPr>
          <w:rFonts w:ascii="Times New Roman" w:cs="Times New Roman" w:eastAsia="Times New Roman" w:hAnsi="Times New Roman"/>
          <w:sz w:val="18"/>
          <w:szCs w:val="18"/>
          <w:color w:val="auto"/>
        </w:rPr>
        <w:t>. If shares or other securities having voting power stand of record in the names of two (2) or more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w:t>
      </w:r>
    </w:p>
    <w:p>
      <w:pPr>
        <w:spacing w:after="0" w:line="3" w:lineRule="exact"/>
        <w:rPr>
          <w:sz w:val="20"/>
          <w:szCs w:val="20"/>
          <w:color w:val="auto"/>
        </w:rPr>
      </w:pPr>
    </w:p>
    <w:p>
      <w:pPr>
        <w:ind w:left="4" w:right="120" w:hanging="4"/>
        <w:spacing w:after="0" w:line="255"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w:t>
      </w:r>
    </w:p>
    <w:p>
      <w:pPr>
        <w:spacing w:after="0" w:line="182"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12. List of Stockholders</w:t>
      </w:r>
      <w:r>
        <w:rPr>
          <w:rFonts w:ascii="Times New Roman" w:cs="Times New Roman" w:eastAsia="Times New Roman" w:hAnsi="Times New Roman"/>
          <w:sz w:val="18"/>
          <w:szCs w:val="18"/>
          <w:color w:val="auto"/>
        </w:rPr>
        <w:t>. The Secretary shall prepare and make, at least ten (10) days before every meeting of stockholders, a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83"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13. Action Without Meeting</w:t>
      </w:r>
      <w:r>
        <w:rPr>
          <w:rFonts w:ascii="Times New Roman" w:cs="Times New Roman" w:eastAsia="Times New Roman" w:hAnsi="Times New Roman"/>
          <w:sz w:val="18"/>
          <w:szCs w:val="18"/>
          <w:color w:val="auto"/>
        </w:rPr>
        <w:t>. No action shall be taken by the stockholders except at an annual or special meeting of stockholders called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these Bylaws, and no action shall be taken by the stockholders by written consent or by electronic transmission.</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14. Organization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987"/>
        <w:spacing w:after="0" w:line="261" w:lineRule="auto"/>
        <w:tabs>
          <w:tab w:leader="none" w:pos="125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179" w:lineRule="exact"/>
        <w:rPr>
          <w:rFonts w:ascii="Times New Roman" w:cs="Times New Roman" w:eastAsia="Times New Roman" w:hAnsi="Times New Roman"/>
          <w:sz w:val="18"/>
          <w:szCs w:val="18"/>
          <w:b w:val="1"/>
          <w:bCs w:val="1"/>
          <w:color w:val="auto"/>
        </w:rPr>
      </w:pPr>
    </w:p>
    <w:p>
      <w:pPr>
        <w:ind w:left="4" w:firstLine="987"/>
        <w:spacing w:after="0" w:line="253" w:lineRule="auto"/>
        <w:tabs>
          <w:tab w:leader="none" w:pos="12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11" w:name="page12"/>
    <w:bookmarkEnd w:id="11"/>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15. Number and Term of Office</w:t>
      </w:r>
      <w:r>
        <w:rPr>
          <w:rFonts w:ascii="Times New Roman" w:cs="Times New Roman" w:eastAsia="Times New Roman" w:hAnsi="Times New Roman"/>
          <w:sz w:val="18"/>
          <w:szCs w:val="18"/>
          <w:color w:val="auto"/>
        </w:rPr>
        <w:t>. The authorized number of directors of the corporation shall be fixed in accordance with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76"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16. Powers</w:t>
      </w:r>
      <w:r>
        <w:rPr>
          <w:rFonts w:ascii="Times New Roman" w:cs="Times New Roman" w:eastAsia="Times New Roman" w:hAnsi="Times New Roman"/>
          <w:sz w:val="18"/>
          <w:szCs w:val="18"/>
          <w:color w:val="auto"/>
        </w:rPr>
        <w:t>. The powers of the corporation shall be exercised, its business conducted and its property controlled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except as may be otherwise provided by statute or by the Certificate of Incorporation.</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17. Classes of Directors</w:t>
      </w:r>
      <w:r>
        <w:rPr>
          <w:rFonts w:ascii="Times New Roman" w:cs="Times New Roman" w:eastAsia="Times New Roman" w:hAnsi="Times New Roman"/>
          <w:sz w:val="18"/>
          <w:szCs w:val="18"/>
          <w:color w:val="auto"/>
        </w:rPr>
        <w:t>. Subject to the rights of the holders of any series of Preferred Stock to elect additional directors under specified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immediately following the closing of the initial public offering pursuant to an effective registration statement under the 1933 Act covering the offer and sale of Common Stock to the public (the “</w:t>
      </w:r>
      <w:r>
        <w:rPr>
          <w:rFonts w:ascii="Times New Roman" w:cs="Times New Roman" w:eastAsia="Times New Roman" w:hAnsi="Times New Roman"/>
          <w:sz w:val="18"/>
          <w:szCs w:val="18"/>
          <w:b w:val="1"/>
          <w:bCs w:val="1"/>
          <w:i w:val="1"/>
          <w:iCs w:val="1"/>
          <w:color w:val="auto"/>
        </w:rPr>
        <w:t>Initial Public Offering</w:t>
      </w:r>
      <w:r>
        <w:rPr>
          <w:rFonts w:ascii="Times New Roman" w:cs="Times New Roman" w:eastAsia="Times New Roman" w:hAnsi="Times New Roman"/>
          <w:sz w:val="18"/>
          <w:szCs w:val="18"/>
          <w:color w:val="auto"/>
        </w:rPr>
        <w:t>”),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Initial Public Offering, the term of office of the Class I directors shall expire and Class I directors shall be elected for a full term of three years. At the second annual meeting of stockholders following the closing of the Initial Public Offering, the term of office of the Class II directors shall expire and Class II directors shall be elected for a full term of three years. At the third annual meeting of stockholders following the closing of the Initial Public Offering,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18. Vacancies</w:t>
      </w:r>
      <w:r>
        <w:rPr>
          <w:rFonts w:ascii="Times New Roman" w:cs="Times New Roman" w:eastAsia="Times New Roman" w:hAnsi="Times New Roman"/>
          <w:sz w:val="18"/>
          <w:szCs w:val="18"/>
          <w:color w:val="auto"/>
        </w:rPr>
        <w:t>. Unless otherwise provided in the Certificate of Incorporation, and subject to the rights of the holders of any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2" w:name="page13"/>
    <w:bookmarkEnd w:id="12"/>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19. Resignation</w:t>
      </w:r>
      <w:r>
        <w:rPr>
          <w:rFonts w:ascii="Times New Roman" w:cs="Times New Roman" w:eastAsia="Times New Roman" w:hAnsi="Times New Roman"/>
          <w:sz w:val="18"/>
          <w:szCs w:val="18"/>
          <w:color w:val="auto"/>
        </w:rPr>
        <w:t>. Any director may resign at any time by delivering his or her notice in writing or by electronic transmission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20. Removal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987"/>
        <w:spacing w:after="0" w:line="282" w:lineRule="auto"/>
        <w:tabs>
          <w:tab w:leader="none" w:pos="124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holders of any series of Preferred Stock to elect additional directors under specified circumstances, neither the Board of Directors nor any individual director may be removed without cause.</w:t>
      </w:r>
    </w:p>
    <w:p>
      <w:pPr>
        <w:spacing w:after="0" w:line="161" w:lineRule="exact"/>
        <w:rPr>
          <w:rFonts w:ascii="Times New Roman" w:cs="Times New Roman" w:eastAsia="Times New Roman" w:hAnsi="Times New Roman"/>
          <w:sz w:val="18"/>
          <w:szCs w:val="18"/>
          <w:b w:val="1"/>
          <w:bCs w:val="1"/>
          <w:color w:val="auto"/>
        </w:rPr>
      </w:pPr>
    </w:p>
    <w:p>
      <w:pPr>
        <w:ind w:firstLine="987"/>
        <w:spacing w:after="0" w:line="266" w:lineRule="auto"/>
        <w:tabs>
          <w:tab w:leader="none" w:pos="125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any limitation imposed by law, any individual director or directors may be removed with cause by the affirmative vote of the holders of at least sixty-six and two-thirds percent (66 2/3%) of the voting power of all then outstanding shares of capital stock of the corporation entitled to vote generally at an election of directors.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21.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87"/>
        <w:spacing w:after="0" w:line="259" w:lineRule="auto"/>
        <w:tabs>
          <w:tab w:leader="none" w:pos="124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Regular Meetings</w:t>
      </w:r>
      <w:r>
        <w:rPr>
          <w:rFonts w:ascii="Times New Roman" w:cs="Times New Roman" w:eastAsia="Times New Roman" w:hAnsi="Times New Roman"/>
          <w:sz w:val="18"/>
          <w:szCs w:val="18"/>
          <w:color w:val="auto"/>
        </w:rPr>
        <w:t>. Unless otherwise restricted by the Certificate of Incorporation, regular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79" w:lineRule="exact"/>
        <w:rPr>
          <w:rFonts w:ascii="Times New Roman" w:cs="Times New Roman" w:eastAsia="Times New Roman" w:hAnsi="Times New Roman"/>
          <w:sz w:val="18"/>
          <w:szCs w:val="18"/>
          <w:b w:val="1"/>
          <w:bCs w:val="1"/>
          <w:color w:val="auto"/>
        </w:rPr>
      </w:pPr>
    </w:p>
    <w:p>
      <w:pPr>
        <w:ind w:right="200" w:firstLine="987"/>
        <w:spacing w:after="0" w:line="268" w:lineRule="auto"/>
        <w:tabs>
          <w:tab w:leader="none" w:pos="125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Unless otherwise restricted by the Certificate of Incorporation, special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and place within or without the State of Delaware whenever called by the Chairman of the Board, the Chief Executive Officer or a majority of the authorized number of directors.</w:t>
      </w:r>
    </w:p>
    <w:p>
      <w:pPr>
        <w:spacing w:after="0" w:line="170" w:lineRule="exact"/>
        <w:rPr>
          <w:rFonts w:ascii="Times New Roman" w:cs="Times New Roman" w:eastAsia="Times New Roman" w:hAnsi="Times New Roman"/>
          <w:sz w:val="18"/>
          <w:szCs w:val="18"/>
          <w:b w:val="1"/>
          <w:bCs w:val="1"/>
          <w:color w:val="auto"/>
        </w:rPr>
      </w:pPr>
    </w:p>
    <w:p>
      <w:pPr>
        <w:ind w:right="360" w:firstLine="987"/>
        <w:spacing w:after="0" w:line="268" w:lineRule="auto"/>
        <w:tabs>
          <w:tab w:leader="none" w:pos="123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by Electronic Communications Equipment</w:t>
      </w:r>
      <w:r>
        <w:rPr>
          <w:rFonts w:ascii="Times New Roman" w:cs="Times New Roman" w:eastAsia="Times New Roman" w:hAnsi="Times New Roman"/>
          <w:sz w:val="18"/>
          <w:szCs w:val="18"/>
          <w:color w:val="auto"/>
        </w:rPr>
        <w:t>. Any member of the Board of Directors, or of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70" w:lineRule="exact"/>
        <w:rPr>
          <w:rFonts w:ascii="Times New Roman" w:cs="Times New Roman" w:eastAsia="Times New Roman" w:hAnsi="Times New Roman"/>
          <w:sz w:val="18"/>
          <w:szCs w:val="18"/>
          <w:b w:val="1"/>
          <w:bCs w:val="1"/>
          <w:color w:val="auto"/>
        </w:rPr>
      </w:pPr>
    </w:p>
    <w:p>
      <w:pPr>
        <w:ind w:right="40" w:firstLine="987"/>
        <w:spacing w:after="0" w:line="256" w:lineRule="auto"/>
        <w:tabs>
          <w:tab w:leader="none" w:pos="125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Special Meetings</w:t>
      </w:r>
      <w:r>
        <w:rPr>
          <w:rFonts w:ascii="Times New Roman" w:cs="Times New Roman" w:eastAsia="Times New Roman" w:hAnsi="Times New Roman"/>
          <w:sz w:val="18"/>
          <w:szCs w:val="18"/>
          <w:color w:val="auto"/>
        </w:rPr>
        <w:t>. Notice of the time and place of all special meetings of the Board of Directors shall be orally or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62" w:lineRule="auto"/>
        <w:tabs>
          <w:tab w:leader="none" w:pos="1236"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 of Notice</w:t>
      </w:r>
      <w:r>
        <w:rPr>
          <w:rFonts w:ascii="Times New Roman" w:cs="Times New Roman" w:eastAsia="Times New Roman" w:hAnsi="Times New Roman"/>
          <w:sz w:val="18"/>
          <w:szCs w:val="18"/>
          <w:color w:val="auto"/>
        </w:rPr>
        <w:t>. The transaction of all business at any meeting of the Board of Directors, or any committee thereof, however called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22. Quorum and Voting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77" w:lineRule="auto"/>
        <w:tabs>
          <w:tab w:leader="none" w:pos="1246"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Unless the Certificate of Incorporation requires a greater number, and except with respect to questions related to indemnification arising under Section 43 herein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3" w:name="page14"/>
    <w:bookmarkEnd w:id="13"/>
    <w:p>
      <w:pPr>
        <w:ind w:left="4" w:right="540" w:firstLine="987"/>
        <w:spacing w:after="0" w:line="312" w:lineRule="auto"/>
        <w:tabs>
          <w:tab w:leader="none" w:pos="126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each meeting of the Board of Directors at which a quorum is present, all questions and business shall be determined by the affirmative vote of a majority of the directors present, unless a different vote be required by law, the Certificate of Incorporation or these Bylaws.</w:t>
      </w:r>
    </w:p>
    <w:p>
      <w:pPr>
        <w:spacing w:after="0" w:line="136"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23. Action Without Meeting</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left="4" w:right="3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24. Fees and Compensation</w:t>
      </w:r>
      <w:r>
        <w:rPr>
          <w:rFonts w:ascii="Times New Roman" w:cs="Times New Roman" w:eastAsia="Times New Roman" w:hAnsi="Times New Roman"/>
          <w:sz w:val="18"/>
          <w:szCs w:val="18"/>
          <w:color w:val="auto"/>
        </w:rPr>
        <w:t>. Directors shall be entitled to such compensation for their services as may be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25. Committees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60" w:firstLine="987"/>
        <w:spacing w:after="0" w:line="272" w:lineRule="auto"/>
        <w:tabs>
          <w:tab w:leader="none" w:pos="1250" w:val="left"/>
        </w:tabs>
        <w:numPr>
          <w:ilvl w:val="1"/>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Executive Committee</w:t>
      </w:r>
      <w:r>
        <w:rPr>
          <w:rFonts w:ascii="Times New Roman" w:cs="Times New Roman" w:eastAsia="Times New Roman" w:hAnsi="Times New Roman"/>
          <w:sz w:val="17"/>
          <w:szCs w:val="17"/>
          <w:color w:val="auto"/>
        </w:rPr>
        <w:t>. The Board of Directors may appoint an Executive Committee to consist of one (1) or more members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w:t>
      </w:r>
    </w:p>
    <w:p>
      <w:pPr>
        <w:ind w:left="4" w:right="60" w:hanging="4"/>
        <w:spacing w:after="0" w:line="260" w:lineRule="auto"/>
        <w:tabs>
          <w:tab w:leader="none" w:pos="2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77" w:lineRule="exact"/>
        <w:rPr>
          <w:rFonts w:ascii="Times New Roman" w:cs="Times New Roman" w:eastAsia="Times New Roman" w:hAnsi="Times New Roman"/>
          <w:sz w:val="18"/>
          <w:szCs w:val="18"/>
          <w:color w:val="auto"/>
        </w:rPr>
      </w:pPr>
    </w:p>
    <w:p>
      <w:pPr>
        <w:ind w:left="4" w:right="100" w:firstLine="987"/>
        <w:spacing w:after="0" w:line="262" w:lineRule="auto"/>
        <w:tabs>
          <w:tab w:leader="none" w:pos="126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Committees</w:t>
      </w:r>
      <w:r>
        <w:rPr>
          <w:rFonts w:ascii="Times New Roman" w:cs="Times New Roman" w:eastAsia="Times New Roman" w:hAnsi="Times New Roman"/>
          <w:sz w:val="18"/>
          <w:szCs w:val="18"/>
          <w:color w:val="auto"/>
        </w:rPr>
        <w:t>. The Board of Directors may, from time to time, appoint such other committees as may be permitted by law.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176" w:lineRule="exact"/>
        <w:rPr>
          <w:rFonts w:ascii="Times New Roman" w:cs="Times New Roman" w:eastAsia="Times New Roman" w:hAnsi="Times New Roman"/>
          <w:sz w:val="18"/>
          <w:szCs w:val="18"/>
          <w:b w:val="1"/>
          <w:bCs w:val="1"/>
          <w:color w:val="auto"/>
        </w:rPr>
      </w:pPr>
    </w:p>
    <w:p>
      <w:pPr>
        <w:ind w:left="4" w:right="60" w:firstLine="987"/>
        <w:spacing w:after="0" w:line="254" w:lineRule="auto"/>
        <w:tabs>
          <w:tab w:leader="none" w:pos="124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8" w:lineRule="exact"/>
        <w:rPr>
          <w:rFonts w:ascii="Times New Roman" w:cs="Times New Roman" w:eastAsia="Times New Roman" w:hAnsi="Times New Roman"/>
          <w:sz w:val="18"/>
          <w:szCs w:val="18"/>
          <w:b w:val="1"/>
          <w:bCs w:val="1"/>
          <w:color w:val="auto"/>
        </w:rPr>
      </w:pPr>
    </w:p>
    <w:p>
      <w:pPr>
        <w:ind w:left="4" w:firstLine="987"/>
        <w:spacing w:after="0" w:line="259" w:lineRule="auto"/>
        <w:tabs>
          <w:tab w:leader="none" w:pos="126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Unless the Board of Directors shall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4" w:name="page15"/>
    <w:bookmarkEnd w:id="1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8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26. Organization</w:t>
      </w:r>
      <w:r>
        <w:rPr>
          <w:rFonts w:ascii="Times New Roman" w:cs="Times New Roman" w:eastAsia="Times New Roman" w:hAnsi="Times New Roman"/>
          <w:sz w:val="18"/>
          <w:szCs w:val="18"/>
          <w:color w:val="auto"/>
        </w:rPr>
        <w:t>. At every meeting of the directors and stockholders, the Chairman of the Board of Directors, or, if a Chairman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appointed or is absent, the Chief Executive Officer (if a director), or, if a Chief Executive Officer is absent, the President (if a director), or if the President is absent, the most senior Vice President (if a director), or, in the absence of any such person, a chairman of the meeting chosen by a majority of the directors present, shall preside over the meeting. The Secretary, or in his or her absence, any Assistant Secretary or other officer or director directed to do so by the President, shall act as secretary of the meeting. The Chairman of the Board of Directors shall also perform such other duties and have such other powers, as the Board of Directors shall designate from time to time.</w:t>
      </w:r>
    </w:p>
    <w:p>
      <w:pPr>
        <w:spacing w:after="0" w:line="18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27. Officers Designated</w:t>
      </w:r>
      <w:r>
        <w:rPr>
          <w:rFonts w:ascii="Times New Roman" w:cs="Times New Roman" w:eastAsia="Times New Roman" w:hAnsi="Times New Roman"/>
          <w:sz w:val="18"/>
          <w:szCs w:val="18"/>
          <w:color w:val="auto"/>
        </w:rPr>
        <w:t>. The officers of the corporation shall include, if and when designated by the Board of Directors, the Chairman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(provided that notwithstanding anything to the contrary contained in these Bylaws, the Chairman of the Board of Directors shall not be deemed an officer of the corporation unless so designated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28. Tenure and Duties of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8" w:lineRule="auto"/>
        <w:tabs>
          <w:tab w:leader="none" w:pos="124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 All officers shall hold office at the pleasure of the Board of Directors and until their successors shall have been duly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70"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5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Chief Executive Officer</w:t>
      </w:r>
      <w:r>
        <w:rPr>
          <w:rFonts w:ascii="Times New Roman" w:cs="Times New Roman" w:eastAsia="Times New Roman" w:hAnsi="Times New Roman"/>
          <w:sz w:val="18"/>
          <w:szCs w:val="18"/>
          <w:color w:val="auto"/>
        </w:rPr>
        <w:t>. The Chief Executive Officer shall preside at all meetings of the stockholders and at all meetings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unless the Chairman of the Board of Directors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82" w:lineRule="exact"/>
        <w:rPr>
          <w:rFonts w:ascii="Times New Roman" w:cs="Times New Roman" w:eastAsia="Times New Roman" w:hAnsi="Times New Roman"/>
          <w:sz w:val="18"/>
          <w:szCs w:val="18"/>
          <w:b w:val="1"/>
          <w:bCs w:val="1"/>
          <w:color w:val="auto"/>
        </w:rPr>
      </w:pPr>
    </w:p>
    <w:p>
      <w:pPr>
        <w:ind w:right="20" w:firstLine="987"/>
        <w:spacing w:after="0" w:line="257" w:lineRule="auto"/>
        <w:tabs>
          <w:tab w:leader="none" w:pos="123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President</w:t>
      </w:r>
      <w:r>
        <w:rPr>
          <w:rFonts w:ascii="Times New Roman" w:cs="Times New Roman" w:eastAsia="Times New Roman" w:hAnsi="Times New Roman"/>
          <w:sz w:val="18"/>
          <w:szCs w:val="18"/>
          <w:color w:val="auto"/>
        </w:rPr>
        <w:t>. The President shall preside at all meetings of the stockholders and at all meetings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5" w:name="page16"/>
    <w:bookmarkEnd w:id="15"/>
    <w:p>
      <w:pPr>
        <w:jc w:val="both"/>
        <w:ind w:right="20" w:firstLine="987"/>
        <w:spacing w:after="0" w:line="262" w:lineRule="auto"/>
        <w:tabs>
          <w:tab w:leader="none" w:pos="125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Duties of Vice Presidents</w:t>
      </w:r>
      <w:r>
        <w:rPr>
          <w:rFonts w:ascii="Times New Roman" w:cs="Times New Roman" w:eastAsia="Times New Roman" w:hAnsi="Times New Roman"/>
          <w:sz w:val="18"/>
          <w:szCs w:val="18"/>
          <w:color w:val="auto"/>
        </w:rPr>
        <w:t>. The Vice Presidents may assume and perform the duties of the President in the absence or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76" w:lineRule="exact"/>
        <w:rPr>
          <w:rFonts w:ascii="Times New Roman" w:cs="Times New Roman" w:eastAsia="Times New Roman" w:hAnsi="Times New Roman"/>
          <w:sz w:val="18"/>
          <w:szCs w:val="18"/>
          <w:b w:val="1"/>
          <w:bCs w:val="1"/>
          <w:color w:val="auto"/>
        </w:rPr>
      </w:pPr>
    </w:p>
    <w:p>
      <w:pPr>
        <w:ind w:right="100" w:firstLine="987"/>
        <w:spacing w:after="0" w:line="256" w:lineRule="auto"/>
        <w:tabs>
          <w:tab w:leader="none" w:pos="123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Secretary</w:t>
      </w:r>
      <w:r>
        <w:rPr>
          <w:rFonts w:ascii="Times New Roman" w:cs="Times New Roman" w:eastAsia="Times New Roman" w:hAnsi="Times New Roman"/>
          <w:sz w:val="18"/>
          <w:szCs w:val="18"/>
          <w:color w:val="auto"/>
        </w:rPr>
        <w:t>. The Secretary shall attend all meetings of the stockholders and of the Board of Directors and shall record all 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1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Chief Financial Officer</w:t>
      </w:r>
      <w:r>
        <w:rPr>
          <w:rFonts w:ascii="Times New Roman" w:cs="Times New Roman" w:eastAsia="Times New Roman" w:hAnsi="Times New Roman"/>
          <w:sz w:val="18"/>
          <w:szCs w:val="18"/>
          <w:color w:val="auto"/>
        </w:rPr>
        <w:t>. The Chief Financial Officer shall keep or cause to be kept the books of account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85" w:lineRule="exact"/>
        <w:rPr>
          <w:rFonts w:ascii="Times New Roman" w:cs="Times New Roman" w:eastAsia="Times New Roman" w:hAnsi="Times New Roman"/>
          <w:sz w:val="18"/>
          <w:szCs w:val="18"/>
          <w:b w:val="1"/>
          <w:bCs w:val="1"/>
          <w:color w:val="auto"/>
        </w:rPr>
      </w:pPr>
    </w:p>
    <w:p>
      <w:pPr>
        <w:ind w:right="60" w:firstLine="987"/>
        <w:spacing w:after="0" w:line="257" w:lineRule="auto"/>
        <w:tabs>
          <w:tab w:leader="none" w:pos="124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of Treasurer</w:t>
      </w:r>
      <w:r>
        <w:rPr>
          <w:rFonts w:ascii="Times New Roman" w:cs="Times New Roman" w:eastAsia="Times New Roman" w:hAnsi="Times New Roman"/>
          <w:sz w:val="18"/>
          <w:szCs w:val="18"/>
          <w:color w:val="auto"/>
        </w:rPr>
        <w:t>. Unless another officer has been appointed Chief Financial Officer of the corporation, the Treasurer shall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182"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29. Delegation of Authority</w:t>
      </w:r>
      <w:r>
        <w:rPr>
          <w:rFonts w:ascii="Times New Roman" w:cs="Times New Roman" w:eastAsia="Times New Roman" w:hAnsi="Times New Roman"/>
          <w:sz w:val="18"/>
          <w:szCs w:val="18"/>
          <w:color w:val="auto"/>
        </w:rPr>
        <w:t>. The Board of Directors may from time to time delegate the powers or duties of any officer to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agent, notwithstanding any provision hereof.</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30. Resignations</w:t>
      </w:r>
      <w:r>
        <w:rPr>
          <w:rFonts w:ascii="Times New Roman" w:cs="Times New Roman" w:eastAsia="Times New Roman" w:hAnsi="Times New Roman"/>
          <w:sz w:val="18"/>
          <w:szCs w:val="18"/>
          <w:color w:val="auto"/>
        </w:rPr>
        <w:t>. Any officer may resign at any time by giving notice in writing or by electronic transmission to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9"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31. Removal</w:t>
      </w:r>
      <w:r>
        <w:rPr>
          <w:rFonts w:ascii="Times New Roman" w:cs="Times New Roman" w:eastAsia="Times New Roman" w:hAnsi="Times New Roman"/>
          <w:sz w:val="18"/>
          <w:szCs w:val="18"/>
          <w:color w:val="auto"/>
        </w:rPr>
        <w:t>. Any officer may be removed from office at any time, either with or without cause, by the affirmative vote of a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directors in office at the time, or by the unanimous written consent of the directors in office at the time, or by any committee or by the Chief Executive Officer or other superior officers upon whom such power of removal may have been conferred by the Board of Directors.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6" w:name="page17"/>
    <w:bookmarkEnd w:id="16"/>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11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OWNED BY THE CORPORATION</w:t>
      </w:r>
    </w:p>
    <w:p>
      <w:pPr>
        <w:spacing w:after="0" w:line="203"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32. Execution of Corporate Instruments</w:t>
      </w:r>
      <w:r>
        <w:rPr>
          <w:rFonts w:ascii="Times New Roman" w:cs="Times New Roman" w:eastAsia="Times New Roman" w:hAnsi="Times New Roman"/>
          <w:sz w:val="18"/>
          <w:szCs w:val="18"/>
          <w:color w:val="auto"/>
        </w:rPr>
        <w:t>. The Board of Directors may, in its discretion, determine the method and designate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w:t>
      </w:r>
    </w:p>
    <w:p>
      <w:pPr>
        <w:spacing w:after="0" w:line="180"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62"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3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33. Voting of Securities Owned by the Corporation</w:t>
      </w:r>
      <w:r>
        <w:rPr>
          <w:rFonts w:ascii="Times New Roman" w:cs="Times New Roman" w:eastAsia="Times New Roman" w:hAnsi="Times New Roman"/>
          <w:sz w:val="18"/>
          <w:szCs w:val="18"/>
          <w:color w:val="auto"/>
        </w:rPr>
        <w:t>. All stock and other securities of other corporations owned or held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or any Vice President.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34. Form and Execution of Certificates</w:t>
      </w:r>
      <w:r>
        <w:rPr>
          <w:rFonts w:ascii="Times New Roman" w:cs="Times New Roman" w:eastAsia="Times New Roman" w:hAnsi="Times New Roman"/>
          <w:sz w:val="18"/>
          <w:szCs w:val="18"/>
          <w:color w:val="auto"/>
        </w:rPr>
        <w:t>. The shares of the corporation shall be represented by certificates, or shall be uncertificated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resolution or resolutions of the Board of Directors. Certificates for the shares of stock, if any, shall be in such form as is consistent with the Certificate of Incorporation and applicable law. Every holder of stock represented by certificate in the corporation shall be entitled to have a certificate signed by or in the name of the corporation by the Chairman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35. Lost Certificates</w:t>
      </w:r>
      <w:r>
        <w:rPr>
          <w:rFonts w:ascii="Times New Roman" w:cs="Times New Roman" w:eastAsia="Times New Roman" w:hAnsi="Times New Roman"/>
          <w:sz w:val="18"/>
          <w:szCs w:val="18"/>
          <w:color w:val="auto"/>
        </w:rPr>
        <w:t>. A new certificate or certificates shall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36. Transfers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60" w:firstLine="987"/>
        <w:spacing w:after="0" w:line="266" w:lineRule="auto"/>
        <w:tabs>
          <w:tab w:leader="none" w:pos="1246"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17" w:name="page18"/>
    <w:bookmarkEnd w:id="17"/>
    <w:p>
      <w:pPr>
        <w:ind w:left="4" w:right="20" w:firstLine="987"/>
        <w:spacing w:after="0" w:line="266" w:lineRule="auto"/>
        <w:tabs>
          <w:tab w:leader="none" w:pos="12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37. Fixing Record Dates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340" w:firstLine="987"/>
        <w:spacing w:after="0" w:line="272" w:lineRule="auto"/>
        <w:tabs>
          <w:tab w:leader="none" w:pos="1250" w:val="left"/>
        </w:tabs>
        <w:numPr>
          <w:ilvl w:val="1"/>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w:t>
      </w:r>
    </w:p>
    <w:p>
      <w:pPr>
        <w:spacing w:after="0" w:line="1" w:lineRule="exact"/>
        <w:rPr>
          <w:rFonts w:ascii="Times New Roman" w:cs="Times New Roman" w:eastAsia="Times New Roman" w:hAnsi="Times New Roman"/>
          <w:sz w:val="17"/>
          <w:szCs w:val="17"/>
          <w:b w:val="1"/>
          <w:bCs w:val="1"/>
          <w:color w:val="auto"/>
        </w:rPr>
      </w:pPr>
    </w:p>
    <w:p>
      <w:pPr>
        <w:ind w:left="4" w:right="60" w:hanging="4"/>
        <w:spacing w:after="0" w:line="253" w:lineRule="auto"/>
        <w:tabs>
          <w:tab w:leader="none" w:pos="34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adjourned meeting.</w:t>
      </w:r>
    </w:p>
    <w:p>
      <w:pPr>
        <w:spacing w:after="0" w:line="186"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6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83" w:lineRule="exact"/>
        <w:rPr>
          <w:sz w:val="20"/>
          <w:szCs w:val="20"/>
          <w:color w:val="auto"/>
        </w:rPr>
      </w:pPr>
    </w:p>
    <w:p>
      <w:pPr>
        <w:jc w:val="both"/>
        <w:ind w:left="4"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38. Registered Stockholders</w:t>
      </w:r>
      <w:r>
        <w:rPr>
          <w:rFonts w:ascii="Times New Roman" w:cs="Times New Roman" w:eastAsia="Times New Roman" w:hAnsi="Times New Roman"/>
          <w:sz w:val="18"/>
          <w:szCs w:val="18"/>
          <w:color w:val="auto"/>
        </w:rPr>
        <w:t>. 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color w:val="auto"/>
        </w:rPr>
        <w:t>THER SECURITIES OF THE CORPORATION</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39. Execution of Other Securities</w:t>
      </w:r>
      <w:r>
        <w:rPr>
          <w:rFonts w:ascii="Times New Roman" w:cs="Times New Roman" w:eastAsia="Times New Roman" w:hAnsi="Times New Roman"/>
          <w:sz w:val="18"/>
          <w:szCs w:val="18"/>
          <w:color w:val="auto"/>
        </w:rPr>
        <w:t>. 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34), may be signed by the Chairman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8" w:name="page19"/>
    <w:bookmarkEnd w:id="18"/>
    <w:p>
      <w:pPr>
        <w:ind w:left="4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117"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40. Declaration of Dividends</w:t>
      </w:r>
      <w:r>
        <w:rPr>
          <w:rFonts w:ascii="Times New Roman" w:cs="Times New Roman" w:eastAsia="Times New Roman" w:hAnsi="Times New Roman"/>
          <w:sz w:val="18"/>
          <w:szCs w:val="18"/>
          <w:color w:val="auto"/>
        </w:rPr>
        <w:t>. Dividends upon the capital stock of the corporation, subject to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7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Section 41. Dividend Reserve</w:t>
      </w:r>
      <w:r>
        <w:rPr>
          <w:rFonts w:ascii="Times New Roman" w:cs="Times New Roman" w:eastAsia="Times New Roman" w:hAnsi="Times New Roman"/>
          <w:sz w:val="17"/>
          <w:szCs w:val="17"/>
          <w:color w:val="auto"/>
        </w:rPr>
        <w:t>. Before payment of any dividend, there may be set aside out of any funds of the corporation available for dividends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b w:val="1"/>
          <w:bCs w:val="1"/>
          <w:color w:val="auto"/>
        </w:rPr>
        <w:t>ISCAL YEAR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42. Fiscal Year</w:t>
      </w:r>
      <w:r>
        <w:rPr>
          <w:rFonts w:ascii="Times New Roman" w:cs="Times New Roman" w:eastAsia="Times New Roman" w:hAnsi="Times New Roman"/>
          <w:sz w:val="18"/>
          <w:szCs w:val="18"/>
          <w:color w:val="auto"/>
        </w:rPr>
        <w:t>. The fiscal year of the corporation shall be fixed by resolution of the Board of Directors.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43. Indemnification of Directors, Officers, Employees and Other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20" w:firstLine="987"/>
        <w:spacing w:after="0" w:line="274" w:lineRule="auto"/>
        <w:tabs>
          <w:tab w:leader="none" w:pos="1250" w:val="left"/>
        </w:tabs>
        <w:numPr>
          <w:ilvl w:val="1"/>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Directors</w:t>
      </w:r>
      <w:r>
        <w:rPr>
          <w:rFonts w:ascii="Times New Roman" w:cs="Times New Roman" w:eastAsia="Times New Roman" w:hAnsi="Times New Roman"/>
          <w:sz w:val="17"/>
          <w:szCs w:val="17"/>
          <w:color w:val="auto"/>
        </w:rPr>
        <w:t>. The corporation shall indemnify its directors to the fullest extent not prohibited by the DGCL or any other applicable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 xml:space="preserve">provided, however, </w:t>
      </w:r>
      <w:r>
        <w:rPr>
          <w:rFonts w:ascii="Times New Roman" w:cs="Times New Roman" w:eastAsia="Times New Roman" w:hAnsi="Times New Roman"/>
          <w:sz w:val="17"/>
          <w:szCs w:val="17"/>
          <w:color w:val="auto"/>
        </w:rPr>
        <w:t>that the corporation may modify the extent of such indemnification by individual contracts with its directors; and,</w:t>
      </w:r>
      <w:r>
        <w:rPr>
          <w:rFonts w:ascii="Times New Roman" w:cs="Times New Roman" w:eastAsia="Times New Roman" w:hAnsi="Times New Roman"/>
          <w:sz w:val="17"/>
          <w:szCs w:val="17"/>
          <w:i w:val="1"/>
          <w:iCs w:val="1"/>
          <w:color w:val="auto"/>
        </w:rPr>
        <w:t xml:space="preserve"> provided, further, </w:t>
      </w:r>
      <w:r>
        <w:rPr>
          <w:rFonts w:ascii="Times New Roman" w:cs="Times New Roman" w:eastAsia="Times New Roman" w:hAnsi="Times New Roman"/>
          <w:sz w:val="17"/>
          <w:szCs w:val="17"/>
          <w:color w:val="auto"/>
        </w:rPr>
        <w:t>that the corporation shall not be required to indemnify any director in connection with any proceeding (or part thereof) initiated by such person unless</w:t>
      </w:r>
    </w:p>
    <w:p>
      <w:pPr>
        <w:ind w:left="224" w:hanging="224"/>
        <w:spacing w:after="0"/>
        <w:tabs>
          <w:tab w:leader="none" w:pos="2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expressly required to be made by law, (ii) the proceeding was authorized by the Board of Directors of the corporation,</w:t>
      </w:r>
    </w:p>
    <w:p>
      <w:pPr>
        <w:spacing w:after="0" w:line="9" w:lineRule="exact"/>
        <w:rPr>
          <w:sz w:val="20"/>
          <w:szCs w:val="20"/>
          <w:color w:val="auto"/>
        </w:rPr>
      </w:pPr>
    </w:p>
    <w:p>
      <w:pPr>
        <w:ind w:left="4" w:right="120" w:hanging="4"/>
        <w:spacing w:after="0" w:line="260" w:lineRule="auto"/>
        <w:tabs>
          <w:tab w:leader="none" w:pos="3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provided by the corporation, in its sole discretion, pursuant to the powers vested in the corporation under the DGCL or any other applicable law or (iv) such indemnification is required to be made under subsection (d).</w:t>
      </w:r>
    </w:p>
    <w:p>
      <w:pPr>
        <w:spacing w:after="0" w:line="177" w:lineRule="exact"/>
        <w:rPr>
          <w:rFonts w:ascii="Times New Roman" w:cs="Times New Roman" w:eastAsia="Times New Roman" w:hAnsi="Times New Roman"/>
          <w:sz w:val="18"/>
          <w:szCs w:val="18"/>
          <w:color w:val="auto"/>
        </w:rPr>
      </w:pPr>
    </w:p>
    <w:p>
      <w:pPr>
        <w:ind w:left="4" w:firstLine="987"/>
        <w:spacing w:after="0" w:line="268" w:lineRule="auto"/>
        <w:tabs>
          <w:tab w:leader="none" w:pos="126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Officers, Employees and Other Agents</w:t>
      </w:r>
      <w:r>
        <w:rPr>
          <w:rFonts w:ascii="Times New Roman" w:cs="Times New Roman" w:eastAsia="Times New Roman" w:hAnsi="Times New Roman"/>
          <w:sz w:val="18"/>
          <w:szCs w:val="18"/>
          <w:color w:val="auto"/>
        </w:rPr>
        <w:t>. The corporation shall have power to indemnify its officers, employees and other agents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DGCL or any other applicable law. The Board of Directors shall have the power to delegate the determination of whether indemnification shall be given to any such person to such officers or other persons as the Board of Directors shall determine.</w:t>
      </w:r>
    </w:p>
    <w:p>
      <w:pPr>
        <w:spacing w:after="0" w:line="170" w:lineRule="exact"/>
        <w:rPr>
          <w:rFonts w:ascii="Times New Roman" w:cs="Times New Roman" w:eastAsia="Times New Roman" w:hAnsi="Times New Roman"/>
          <w:sz w:val="18"/>
          <w:szCs w:val="18"/>
          <w:b w:val="1"/>
          <w:bCs w:val="1"/>
          <w:color w:val="auto"/>
        </w:rPr>
      </w:pPr>
    </w:p>
    <w:p>
      <w:pPr>
        <w:ind w:left="4" w:right="40" w:firstLine="987"/>
        <w:spacing w:after="0" w:line="254" w:lineRule="auto"/>
        <w:tabs>
          <w:tab w:leader="none" w:pos="124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The corporation shall advance to any person who was or is a party or is threatened to be made a party to any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pending or completed action, suit or proceeding, whether civil, criminal, administrative or investigative, by reason of the fact that he is or was a director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in connection with such proceeding;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DGCL requires, an advancement of expenses incurred by a director in his or her capacity as a director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19" w:name="page20"/>
    <w:bookmarkEnd w:id="19"/>
    <w:p>
      <w:pPr>
        <w:ind w:firstLine="987"/>
        <w:spacing w:after="0" w:line="253" w:lineRule="auto"/>
        <w:tabs>
          <w:tab w:leader="none" w:pos="125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Enforcement</w:t>
      </w:r>
      <w:r>
        <w:rPr>
          <w:rFonts w:ascii="Times New Roman" w:cs="Times New Roman" w:eastAsia="Times New Roman" w:hAnsi="Times New Roman"/>
          <w:sz w:val="18"/>
          <w:szCs w:val="18"/>
          <w:color w:val="auto"/>
        </w:rPr>
        <w:t>. Without the necessity of entering into an express contract, all rights to indemnification and advances to directors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Bylaw shall be deemed to be contractual rights and be effective to the same extent and as if provided for in a contract between the corporation and the director. Any right to indemnification or advances granted by this Bylaw to a director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the director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to enforce a right to indemnification or to an advancement of expenses hereunder, the burden of proving that the director is not entitled to be indemnified, or to such advancement of expenses, under this section or otherwise shall be on the corporation.</w:t>
      </w:r>
    </w:p>
    <w:p>
      <w:pPr>
        <w:spacing w:after="0" w:line="183" w:lineRule="exact"/>
        <w:rPr>
          <w:rFonts w:ascii="Times New Roman" w:cs="Times New Roman" w:eastAsia="Times New Roman" w:hAnsi="Times New Roman"/>
          <w:sz w:val="18"/>
          <w:szCs w:val="18"/>
          <w:b w:val="1"/>
          <w:bCs w:val="1"/>
          <w:color w:val="auto"/>
        </w:rPr>
      </w:pPr>
    </w:p>
    <w:p>
      <w:pPr>
        <w:ind w:firstLine="987"/>
        <w:spacing w:after="0" w:line="259" w:lineRule="auto"/>
        <w:tabs>
          <w:tab w:leader="none" w:pos="123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of Rights</w:t>
      </w:r>
      <w:r>
        <w:rPr>
          <w:rFonts w:ascii="Times New Roman" w:cs="Times New Roman" w:eastAsia="Times New Roman" w:hAnsi="Times New Roman"/>
          <w:sz w:val="18"/>
          <w:szCs w:val="18"/>
          <w:color w:val="auto"/>
        </w:rPr>
        <w:t>. The rights conferred on any person by this Bylaw shall not be exclusive of any other right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79" w:lineRule="exact"/>
        <w:rPr>
          <w:rFonts w:ascii="Times New Roman" w:cs="Times New Roman" w:eastAsia="Times New Roman" w:hAnsi="Times New Roman"/>
          <w:sz w:val="18"/>
          <w:szCs w:val="18"/>
          <w:b w:val="1"/>
          <w:bCs w:val="1"/>
          <w:color w:val="auto"/>
        </w:rPr>
      </w:pPr>
    </w:p>
    <w:p>
      <w:pPr>
        <w:ind w:right="60" w:firstLine="987"/>
        <w:spacing w:after="0" w:line="286" w:lineRule="auto"/>
        <w:tabs>
          <w:tab w:leader="none" w:pos="121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Survival of Rights</w:t>
      </w:r>
      <w:r>
        <w:rPr>
          <w:rFonts w:ascii="Times New Roman" w:cs="Times New Roman" w:eastAsia="Times New Roman" w:hAnsi="Times New Roman"/>
          <w:sz w:val="18"/>
          <w:szCs w:val="18"/>
          <w:color w:val="auto"/>
        </w:rPr>
        <w:t>. The rights conferred on any person by this Bylaw shall continue as to a person who has ceased to be a director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inure to the benefit of the heirs, executors and administrators of such a person.</w:t>
      </w:r>
    </w:p>
    <w:p>
      <w:pPr>
        <w:spacing w:after="0" w:line="154" w:lineRule="exact"/>
        <w:rPr>
          <w:rFonts w:ascii="Times New Roman" w:cs="Times New Roman" w:eastAsia="Times New Roman" w:hAnsi="Times New Roman"/>
          <w:sz w:val="18"/>
          <w:szCs w:val="18"/>
          <w:b w:val="1"/>
          <w:bCs w:val="1"/>
          <w:color w:val="auto"/>
        </w:rPr>
      </w:pPr>
    </w:p>
    <w:p>
      <w:pPr>
        <w:ind w:right="240" w:firstLine="987"/>
        <w:spacing w:after="0" w:line="286" w:lineRule="auto"/>
        <w:tabs>
          <w:tab w:leader="none" w:pos="124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To the fullest extent permitted by the DGCL or any other applicable law, the corporation, upon approval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purchase insurance on behalf of any person required or permitted to be indemnified pursuant to this section.</w:t>
      </w:r>
    </w:p>
    <w:p>
      <w:pPr>
        <w:spacing w:after="0" w:line="154" w:lineRule="exact"/>
        <w:rPr>
          <w:rFonts w:ascii="Times New Roman" w:cs="Times New Roman" w:eastAsia="Times New Roman" w:hAnsi="Times New Roman"/>
          <w:sz w:val="18"/>
          <w:szCs w:val="18"/>
          <w:b w:val="1"/>
          <w:bCs w:val="1"/>
          <w:color w:val="auto"/>
        </w:rPr>
      </w:pPr>
    </w:p>
    <w:p>
      <w:pPr>
        <w:ind w:right="200" w:firstLine="987"/>
        <w:spacing w:after="0" w:line="286" w:lineRule="auto"/>
        <w:tabs>
          <w:tab w:leader="none" w:pos="125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Any repeal or modification of this section shall only be prospective and shall not affect the rights under this Bylaw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at the time of the alleged occurrence of any action or omission to act that is the cause of any proceeding against any agent of the corporation.</w:t>
      </w:r>
    </w:p>
    <w:p>
      <w:pPr>
        <w:spacing w:after="0" w:line="154" w:lineRule="exact"/>
        <w:rPr>
          <w:rFonts w:ascii="Times New Roman" w:cs="Times New Roman" w:eastAsia="Times New Roman" w:hAnsi="Times New Roman"/>
          <w:sz w:val="18"/>
          <w:szCs w:val="18"/>
          <w:b w:val="1"/>
          <w:bCs w:val="1"/>
          <w:color w:val="auto"/>
        </w:rPr>
      </w:pPr>
    </w:p>
    <w:p>
      <w:pPr>
        <w:jc w:val="both"/>
        <w:ind w:firstLine="987"/>
        <w:spacing w:after="0" w:line="262" w:lineRule="auto"/>
        <w:tabs>
          <w:tab w:leader="none" w:pos="120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Saving Clause</w:t>
      </w:r>
      <w:r>
        <w:rPr>
          <w:rFonts w:ascii="Times New Roman" w:cs="Times New Roman" w:eastAsia="Times New Roman" w:hAnsi="Times New Roman"/>
          <w:sz w:val="18"/>
          <w:szCs w:val="18"/>
          <w:color w:val="auto"/>
        </w:rPr>
        <w:t>. If this Bylaw or any portion hereof shall be invalidated on any ground by any court of competent jurisdiction, then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nevertheless indemnify each director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to the full extent under any other applicable law.</w:t>
      </w:r>
    </w:p>
    <w:p>
      <w:pPr>
        <w:spacing w:after="0" w:line="176" w:lineRule="exact"/>
        <w:rPr>
          <w:rFonts w:ascii="Times New Roman" w:cs="Times New Roman" w:eastAsia="Times New Roman" w:hAnsi="Times New Roman"/>
          <w:sz w:val="18"/>
          <w:szCs w:val="18"/>
          <w:b w:val="1"/>
          <w:bCs w:val="1"/>
          <w:color w:val="auto"/>
        </w:rPr>
      </w:pPr>
    </w:p>
    <w:p>
      <w:pPr>
        <w:ind w:left="1220" w:hanging="233"/>
        <w:spacing w:after="0"/>
        <w:tabs>
          <w:tab w:leader="none" w:pos="12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Definitions</w:t>
      </w:r>
      <w:r>
        <w:rPr>
          <w:rFonts w:ascii="Times New Roman" w:cs="Times New Roman" w:eastAsia="Times New Roman" w:hAnsi="Times New Roman"/>
          <w:sz w:val="18"/>
          <w:szCs w:val="18"/>
          <w:color w:val="auto"/>
        </w:rPr>
        <w:t>. For the purposes of this Bylaw, the following definitions shall apply:</w:t>
      </w:r>
    </w:p>
    <w:p>
      <w:pPr>
        <w:spacing w:after="0" w:line="229" w:lineRule="exact"/>
        <w:rPr>
          <w:rFonts w:ascii="Times New Roman" w:cs="Times New Roman" w:eastAsia="Times New Roman" w:hAnsi="Times New Roman"/>
          <w:sz w:val="18"/>
          <w:szCs w:val="18"/>
          <w:b w:val="1"/>
          <w:bCs w:val="1"/>
          <w:color w:val="auto"/>
        </w:rPr>
      </w:pPr>
    </w:p>
    <w:p>
      <w:pPr>
        <w:ind w:right="760" w:firstLine="1428"/>
        <w:spacing w:after="0" w:line="266" w:lineRule="auto"/>
        <w:tabs>
          <w:tab w:leader="none" w:pos="1687"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75" w:lineRule="exact"/>
        <w:rPr>
          <w:rFonts w:ascii="Times New Roman" w:cs="Times New Roman" w:eastAsia="Times New Roman" w:hAnsi="Times New Roman"/>
          <w:sz w:val="18"/>
          <w:szCs w:val="18"/>
          <w:b w:val="1"/>
          <w:bCs w:val="1"/>
          <w:color w:val="auto"/>
        </w:rPr>
      </w:pPr>
    </w:p>
    <w:p>
      <w:pPr>
        <w:ind w:right="200" w:firstLine="1428"/>
        <w:spacing w:after="0" w:line="312" w:lineRule="auto"/>
        <w:tabs>
          <w:tab w:leader="none" w:pos="1687" w:val="left"/>
        </w:tabs>
        <w:numPr>
          <w:ilvl w:val="1"/>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139" w:lineRule="exact"/>
        <w:rPr>
          <w:rFonts w:ascii="Times New Roman" w:cs="Times New Roman" w:eastAsia="Times New Roman" w:hAnsi="Times New Roman"/>
          <w:sz w:val="17"/>
          <w:szCs w:val="17"/>
          <w:b w:val="1"/>
          <w:bCs w:val="1"/>
          <w:color w:val="auto"/>
        </w:rPr>
      </w:pPr>
    </w:p>
    <w:p>
      <w:pPr>
        <w:ind w:right="20" w:firstLine="1428"/>
        <w:spacing w:after="0" w:line="256" w:lineRule="auto"/>
        <w:tabs>
          <w:tab w:leader="none" w:pos="1687"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20" w:name="page21"/>
    <w:bookmarkEnd w:id="20"/>
    <w:p>
      <w:pPr>
        <w:ind w:right="460" w:firstLine="1428"/>
        <w:spacing w:after="0" w:line="266" w:lineRule="auto"/>
        <w:tabs>
          <w:tab w:leader="none" w:pos="168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75" w:lineRule="exact"/>
        <w:rPr>
          <w:rFonts w:ascii="Times New Roman" w:cs="Times New Roman" w:eastAsia="Times New Roman" w:hAnsi="Times New Roman"/>
          <w:sz w:val="18"/>
          <w:szCs w:val="18"/>
          <w:b w:val="1"/>
          <w:bCs w:val="1"/>
          <w:color w:val="auto"/>
        </w:rPr>
      </w:pPr>
    </w:p>
    <w:p>
      <w:pPr>
        <w:ind w:right="20" w:firstLine="1428"/>
        <w:spacing w:after="0" w:line="256" w:lineRule="auto"/>
        <w:tabs>
          <w:tab w:leader="none" w:pos="168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44.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2" w:lineRule="auto"/>
        <w:tabs>
          <w:tab w:leader="none" w:pos="124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Stockholders</w:t>
      </w:r>
      <w:r>
        <w:rPr>
          <w:rFonts w:ascii="Times New Roman" w:cs="Times New Roman" w:eastAsia="Times New Roman" w:hAnsi="Times New Roman"/>
          <w:sz w:val="18"/>
          <w:szCs w:val="18"/>
          <w:color w:val="auto"/>
        </w:rPr>
        <w:t>. Written notice to stockholders of stockholder meetings shall be given as provided in Section 7 herein.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76" w:lineRule="exact"/>
        <w:rPr>
          <w:rFonts w:ascii="Times New Roman" w:cs="Times New Roman" w:eastAsia="Times New Roman" w:hAnsi="Times New Roman"/>
          <w:sz w:val="18"/>
          <w:szCs w:val="18"/>
          <w:b w:val="1"/>
          <w:bCs w:val="1"/>
          <w:color w:val="auto"/>
        </w:rPr>
      </w:pPr>
    </w:p>
    <w:p>
      <w:pPr>
        <w:ind w:right="60" w:firstLine="987"/>
        <w:spacing w:after="0" w:line="262" w:lineRule="auto"/>
        <w:tabs>
          <w:tab w:leader="none" w:pos="125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Directors</w:t>
      </w:r>
      <w:r>
        <w:rPr>
          <w:rFonts w:ascii="Times New Roman" w:cs="Times New Roman" w:eastAsia="Times New Roman" w:hAnsi="Times New Roman"/>
          <w:sz w:val="18"/>
          <w:szCs w:val="18"/>
          <w:color w:val="auto"/>
        </w:rPr>
        <w:t>. Any notice required to be given to any director may be given by the method stated in subsection (a),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76" w:lineRule="exact"/>
        <w:rPr>
          <w:rFonts w:ascii="Times New Roman" w:cs="Times New Roman" w:eastAsia="Times New Roman" w:hAnsi="Times New Roman"/>
          <w:sz w:val="18"/>
          <w:szCs w:val="18"/>
          <w:b w:val="1"/>
          <w:bCs w:val="1"/>
          <w:color w:val="auto"/>
        </w:rPr>
      </w:pPr>
    </w:p>
    <w:p>
      <w:pPr>
        <w:ind w:firstLine="987"/>
        <w:spacing w:after="0" w:line="262" w:lineRule="auto"/>
        <w:tabs>
          <w:tab w:leader="none" w:pos="123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Affidavit of Mailing</w:t>
      </w:r>
      <w:r>
        <w:rPr>
          <w:rFonts w:ascii="Times New Roman" w:cs="Times New Roman" w:eastAsia="Times New Roman" w:hAnsi="Times New Roman"/>
          <w:sz w:val="18"/>
          <w:szCs w:val="18"/>
          <w:color w:val="auto"/>
        </w:rPr>
        <w:t>. An affidavit of mailing, executed by a duly authorized and competent employee of the corporation or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176" w:lineRule="exact"/>
        <w:rPr>
          <w:rFonts w:ascii="Times New Roman" w:cs="Times New Roman" w:eastAsia="Times New Roman" w:hAnsi="Times New Roman"/>
          <w:sz w:val="18"/>
          <w:szCs w:val="18"/>
          <w:b w:val="1"/>
          <w:bCs w:val="1"/>
          <w:color w:val="auto"/>
        </w:rPr>
      </w:pPr>
    </w:p>
    <w:p>
      <w:pPr>
        <w:ind w:right="100" w:firstLine="987"/>
        <w:spacing w:after="0" w:line="268" w:lineRule="auto"/>
        <w:tabs>
          <w:tab w:leader="none" w:pos="125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Methods of Notice</w:t>
      </w:r>
      <w:r>
        <w:rPr>
          <w:rFonts w:ascii="Times New Roman" w:cs="Times New Roman" w:eastAsia="Times New Roman" w:hAnsi="Times New Roman"/>
          <w:sz w:val="18"/>
          <w:szCs w:val="18"/>
          <w:color w:val="auto"/>
        </w:rPr>
        <w:t>. It shall not be necessary that the same method of giving notice be employed in respect of all recipients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one permissible method may be employed in respect of any one or more, and any other permissible method or methods may be employed in respect of any other or others.</w:t>
      </w:r>
    </w:p>
    <w:p>
      <w:pPr>
        <w:spacing w:after="0" w:line="170" w:lineRule="exact"/>
        <w:rPr>
          <w:rFonts w:ascii="Times New Roman" w:cs="Times New Roman" w:eastAsia="Times New Roman" w:hAnsi="Times New Roman"/>
          <w:sz w:val="18"/>
          <w:szCs w:val="18"/>
          <w:b w:val="1"/>
          <w:bCs w:val="1"/>
          <w:color w:val="auto"/>
        </w:rPr>
      </w:pPr>
    </w:p>
    <w:p>
      <w:pPr>
        <w:ind w:firstLine="987"/>
        <w:spacing w:after="0" w:line="256" w:lineRule="auto"/>
        <w:tabs>
          <w:tab w:leader="none" w:pos="1236"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to Person With Whom Communication Is Unlawful</w:t>
      </w:r>
      <w:r>
        <w:rPr>
          <w:rFonts w:ascii="Times New Roman" w:cs="Times New Roman" w:eastAsia="Times New Roman" w:hAnsi="Times New Roman"/>
          <w:sz w:val="18"/>
          <w:szCs w:val="18"/>
          <w:color w:val="auto"/>
        </w:rPr>
        <w:t>. Whenever notice is required to be given, under any provision of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1" w:name="page22"/>
    <w:bookmarkEnd w:id="21"/>
    <w:p>
      <w:pPr>
        <w:ind w:right="120" w:firstLine="987"/>
        <w:spacing w:after="0" w:line="259" w:lineRule="auto"/>
        <w:tabs>
          <w:tab w:leader="none" w:pos="121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Stockholders Sharing an Address</w:t>
      </w:r>
      <w:r>
        <w:rPr>
          <w:rFonts w:ascii="Times New Roman" w:cs="Times New Roman" w:eastAsia="Times New Roman" w:hAnsi="Times New Roman"/>
          <w:sz w:val="18"/>
          <w:szCs w:val="18"/>
          <w:color w:val="auto"/>
        </w:rPr>
        <w:t>. Except as otherwise prohibited under DGCL, any notice given under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45. Bylaw Amendments</w:t>
      </w:r>
      <w:r>
        <w:rPr>
          <w:rFonts w:ascii="Times New Roman" w:cs="Times New Roman" w:eastAsia="Times New Roman" w:hAnsi="Times New Roman"/>
          <w:sz w:val="18"/>
          <w:szCs w:val="18"/>
          <w:color w:val="auto"/>
        </w:rPr>
        <w:t>. Subject to the limitations set forth in Section 43(h) of these Bylaws or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Incorporation, the Board of Directors 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capital stock of the corporation entitled to vote generally in the election of directors, voting together as a single class.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LOANS TO OFFICERS OR EMPLOYEES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46. Loans to Officers or Employees</w:t>
      </w:r>
      <w:r>
        <w:rPr>
          <w:rFonts w:ascii="Times New Roman" w:cs="Times New Roman" w:eastAsia="Times New Roman" w:hAnsi="Times New Roman"/>
          <w:sz w:val="18"/>
          <w:szCs w:val="18"/>
          <w:color w:val="auto"/>
        </w:rPr>
        <w:t>. Except as otherwise prohibited by applicable law, including the Sarbanes-Oxley Act of 2002,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
    <w:nsid w:val="431BD7B7"/>
    <w:multiLevelType w:val="hybridMultilevel"/>
    <w:lvl w:ilvl="0">
      <w:lvlJc w:val="left"/>
      <w:lvlText w:val="(%1)"/>
      <w:numFmt w:val="decimal"/>
      <w:start w:val="30"/>
    </w:lvl>
    <w:lvl w:ilvl="1">
      <w:lvlJc w:val="left"/>
      <w:lvlText w:val="%2"/>
      <w:numFmt w:val="lowerLetter"/>
      <w:start w:val="1"/>
    </w:lvl>
    <w:lvl w:ilvl="2">
      <w:lvlJc w:val="left"/>
      <w:lvlText w:val="%3"/>
      <w:numFmt w:val="decimal"/>
      <w:start w:val="1"/>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1)"/>
      <w:numFmt w:val="lowerLetter"/>
      <w:start w:val="23"/>
    </w:lvl>
  </w:abstractNum>
  <w:abstractNum w:abstractNumId="5">
    <w:nsid w:val="257130A3"/>
    <w:multiLevelType w:val="hybridMultilevel"/>
    <w:lvl w:ilvl="0">
      <w:lvlJc w:val="left"/>
      <w:lvlText w:val="(%1)"/>
      <w:numFmt w:val="lowerLetter"/>
      <w:start w:val="26"/>
    </w:lvl>
  </w:abstractNum>
  <w:abstractNum w:abstractNumId="6">
    <w:nsid w:val="62BBD95A"/>
    <w:multiLevelType w:val="hybridMultilevel"/>
    <w:lvl w:ilvl="0">
      <w:lvlJc w:val="left"/>
      <w:lvlText w:val="%1"/>
      <w:numFmt w:val="decimal"/>
      <w:start w:val="1"/>
    </w:lvl>
    <w:lvl w:ilvl="1">
      <w:lvlJc w:val="left"/>
      <w:lvlText w:val="(%2)"/>
      <w:numFmt w:val="lowerLetter"/>
      <w:start w:val="3"/>
    </w:lvl>
  </w:abstractNum>
  <w:abstractNum w:abstractNumId="7">
    <w:nsid w:val="436C6125"/>
    <w:multiLevelType w:val="hybridMultilevel"/>
    <w:lvl w:ilvl="0">
      <w:lvlJc w:val="left"/>
      <w:lvlText w:val="(%1)"/>
      <w:numFmt w:val="decimal"/>
      <w:start w:val="5"/>
    </w:lvl>
    <w:lvl w:ilvl="1">
      <w:lvlJc w:val="left"/>
      <w:lvlText w:val="(%2)"/>
      <w:numFmt w:val="lowerLetter"/>
      <w:start w:val="4"/>
    </w:lvl>
  </w:abstractNum>
  <w:abstractNum w:abstractNumId="8">
    <w:nsid w:val="628C895D"/>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9">
    <w:nsid w:val="333AB105"/>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1"/>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4"/>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lowerLetter"/>
      <w:start w:val="1"/>
    </w:lvl>
  </w:abstractNum>
  <w:abstractNum w:abstractNumId="14">
    <w:nsid w:val="75A2A8D4"/>
    <w:multiLevelType w:val="hybridMultilevel"/>
    <w:lvl w:ilvl="0">
      <w:lvlJc w:val="left"/>
      <w:lvlText w:val="(%1)"/>
      <w:numFmt w:val="lowerLetter"/>
      <w:start w:val="1"/>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2"/>
    </w:lvl>
  </w:abstractNum>
  <w:abstractNum w:abstractNumId="18">
    <w:nsid w:val="B03E0C6"/>
    <w:multiLevelType w:val="hybridMultilevel"/>
    <w:lvl w:ilvl="0">
      <w:lvlJc w:val="left"/>
      <w:lvlText w:val="%1"/>
      <w:numFmt w:val="lowerLetter"/>
      <w:start w:val="1"/>
    </w:lvl>
    <w:lvl w:ilvl="1">
      <w:lvlJc w:val="left"/>
      <w:lvlText w:val="(%2)"/>
      <w:numFmt w:val="lowerLetter"/>
      <w:start w:val="1"/>
    </w:lvl>
  </w:abstractNum>
  <w:abstractNum w:abstractNumId="19">
    <w:nsid w:val="189A769B"/>
    <w:multiLevelType w:val="hybridMultilevel"/>
    <w:lvl w:ilvl="0">
      <w:lvlJc w:val="left"/>
      <w:lvlText w:val="(%1)"/>
      <w:numFmt w:val="lowerLetter"/>
      <w:start w:val="9"/>
    </w:lvl>
    <w:lvl w:ilvl="1">
      <w:lvlJc w:val="left"/>
      <w:lvlText w:val="(%2)"/>
      <w:numFmt w:val="lowerLetter"/>
      <w:start w:val="2"/>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lowerLetter"/>
      <w:start w:val="4"/>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decimal"/>
      <w:start w:val="1"/>
    </w:lvl>
    <w:lvl w:ilvl="1">
      <w:lvlJc w:val="left"/>
      <w:lvlText w:val="(%2)"/>
      <w:numFmt w:val="lowerLetter"/>
      <w:start w:val="1"/>
    </w:lvl>
  </w:abstractNum>
  <w:abstractNum w:abstractNumId="25">
    <w:nsid w:val="3A95F874"/>
    <w:multiLevelType w:val="hybridMultilevel"/>
    <w:lvl w:ilvl="0">
      <w:lvlJc w:val="left"/>
      <w:lvlText w:val="(%1)"/>
      <w:numFmt w:val="decimal"/>
      <w:start w:val="10"/>
    </w:lvl>
    <w:lvl w:ilvl="1">
      <w:lvlJc w:val="left"/>
      <w:lvlText w:val="(%2)"/>
      <w:numFmt w:val="lowerLetter"/>
      <w:start w:val="2"/>
    </w:lvl>
  </w:abstractNum>
  <w:abstractNum w:abstractNumId="26">
    <w:nsid w:val="8138641"/>
    <w:multiLevelType w:val="hybridMultilevel"/>
    <w:lvl w:ilvl="0">
      <w:lvlJc w:val="left"/>
      <w:lvlText w:val="%1"/>
      <w:numFmt w:val="lowerLetter"/>
      <w:start w:val="1"/>
    </w:lvl>
    <w:lvl w:ilvl="1">
      <w:lvlJc w:val="left"/>
      <w:lvlText w:val="(%2)"/>
      <w:numFmt w:val="lowerLetter"/>
      <w:start w:val="1"/>
    </w:lvl>
  </w:abstractNum>
  <w:abstractNum w:abstractNumId="27">
    <w:nsid w:val="1E7FF521"/>
    <w:multiLevelType w:val="hybridMultilevel"/>
    <w:lvl w:ilvl="0">
      <w:lvlJc w:val="left"/>
      <w:lvlText w:val="(%1)"/>
      <w:numFmt w:val="lowerLetter"/>
      <w:start w:val="9"/>
    </w:lvl>
    <w:lvl w:ilvl="1">
      <w:lvlJc w:val="left"/>
      <w:lvlText w:val="%2"/>
      <w:numFmt w:val="lowerLetter"/>
      <w:start w:val="1"/>
    </w:lvl>
  </w:abstractNum>
  <w:abstractNum w:abstractNumId="28">
    <w:nsid w:val="7C3DBD3D"/>
    <w:multiLevelType w:val="hybridMultilevel"/>
    <w:lvl w:ilvl="0">
      <w:lvlJc w:val="left"/>
      <w:lvlText w:val="(%1)"/>
      <w:numFmt w:val="lowerLetter"/>
      <w:start w:val="61"/>
    </w:lvl>
    <w:lvl w:ilvl="1">
      <w:lvlJc w:val="left"/>
      <w:lvlText w:val="(%2)"/>
      <w:numFmt w:val="lowerLetter"/>
      <w:start w:val="2"/>
    </w:lvl>
  </w:abstractNum>
  <w:abstractNum w:abstractNumId="29">
    <w:nsid w:val="737B8DDC"/>
    <w:multiLevelType w:val="hybridMultilevel"/>
    <w:lvl w:ilvl="0">
      <w:lvlJc w:val="left"/>
      <w:lvlText w:val="(%1)"/>
      <w:numFmt w:val="lowerLetter"/>
      <w:start w:val="4"/>
    </w:lvl>
    <w:lvl w:ilvl="1">
      <w:lvlJc w:val="left"/>
      <w:lvlText w:val="(%2)"/>
      <w:numFmt w:val="decimal"/>
      <w:start w:val="1"/>
    </w:lvl>
  </w:abstractNum>
  <w:abstractNum w:abstractNumId="30">
    <w:nsid w:val="6CEAF087"/>
    <w:multiLevelType w:val="hybridMultilevel"/>
    <w:lvl w:ilvl="0">
      <w:lvlJc w:val="left"/>
      <w:lvlText w:val="(%1)"/>
      <w:numFmt w:val="decimal"/>
      <w:start w:val="4"/>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2022-09-13T06:32:52Z</dcterms:created>
  <dcterms:modified xsi:type="dcterms:W3CDTF">2022-09-13T06:32:52Z</dcterms:modified>
</cp:coreProperties>
</file>