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Adagio Therapeutics,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500" w:type="dxa"/>
        <w:tblCellMar>
          <w:top w:w="0" w:type="dxa"/>
          <w:left w:w="0" w:type="dxa"/>
          <w:bottom w:w="0" w:type="dxa"/>
          <w:right w:w="0" w:type="dxa"/>
        </w:tblCellMar>
      </w:tblPr>
      <w:tr>
        <w:trPr>
          <w:trHeight w:val="142"/>
        </w:trPr>
        <w:tc>
          <w:tcPr>
            <w:tcW w:w="1980" w:type="dxa"/>
            <w:vAlign w:val="bottom"/>
          </w:tcPr>
          <w:p>
            <w:pPr>
              <w:jc w:val="center"/>
              <w:ind w:right="76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6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001-40703</w:t>
            </w:r>
          </w:p>
        </w:tc>
        <w:tc>
          <w:tcPr>
            <w:tcW w:w="1640" w:type="dxa"/>
            <w:vAlign w:val="bottom"/>
          </w:tcPr>
          <w:p>
            <w:pPr>
              <w:jc w:val="center"/>
              <w:ind w:left="848"/>
              <w:spacing w:after="0"/>
              <w:rPr>
                <w:sz w:val="20"/>
                <w:szCs w:val="20"/>
                <w:color w:val="auto"/>
              </w:rPr>
            </w:pPr>
            <w:r>
              <w:rPr>
                <w:rFonts w:ascii="Times New Roman" w:cs="Times New Roman" w:eastAsia="Times New Roman" w:hAnsi="Times New Roman"/>
                <w:sz w:val="12"/>
                <w:szCs w:val="12"/>
                <w:b w:val="1"/>
                <w:bCs w:val="1"/>
                <w:color w:val="auto"/>
                <w:w w:val="99"/>
              </w:rPr>
              <w:t>85-1403134</w:t>
            </w:r>
          </w:p>
        </w:tc>
      </w:tr>
      <w:tr>
        <w:trPr>
          <w:trHeight w:val="99"/>
        </w:trPr>
        <w:tc>
          <w:tcPr>
            <w:tcW w:w="1980" w:type="dxa"/>
            <w:vAlign w:val="bottom"/>
          </w:tcPr>
          <w:p>
            <w:pPr>
              <w:jc w:val="center"/>
              <w:ind w:right="788"/>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2260" w:type="dxa"/>
            <w:vAlign w:val="bottom"/>
          </w:tcPr>
          <w:p>
            <w:pPr>
              <w:ind w:left="84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4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980" w:type="dxa"/>
            <w:vAlign w:val="bottom"/>
          </w:tcPr>
          <w:p>
            <w:pPr>
              <w:jc w:val="center"/>
              <w:ind w:right="768"/>
              <w:spacing w:after="0"/>
              <w:rPr>
                <w:sz w:val="20"/>
                <w:szCs w:val="20"/>
                <w:color w:val="auto"/>
              </w:rPr>
            </w:pPr>
            <w:r>
              <w:rPr>
                <w:rFonts w:ascii="Times New Roman" w:cs="Times New Roman" w:eastAsia="Times New Roman" w:hAnsi="Times New Roman"/>
                <w:sz w:val="10"/>
                <w:szCs w:val="10"/>
                <w:b w:val="1"/>
                <w:bCs w:val="1"/>
                <w:color w:val="auto"/>
                <w:w w:val="97"/>
              </w:rPr>
              <w:t>of Incorporation)</w:t>
            </w:r>
          </w:p>
        </w:tc>
        <w:tc>
          <w:tcPr>
            <w:tcW w:w="226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28" w:lineRule="exact"/>
        <w:rPr>
          <w:sz w:val="24"/>
          <w:szCs w:val="24"/>
          <w:color w:val="auto"/>
        </w:rPr>
      </w:pPr>
    </w:p>
    <w:tbl>
      <w:tblPr>
        <w:tblLayout w:type="fixed"/>
        <w:tblInd w:w="1860" w:type="dxa"/>
        <w:tblCellMar>
          <w:top w:w="0" w:type="dxa"/>
          <w:left w:w="0" w:type="dxa"/>
          <w:bottom w:w="0" w:type="dxa"/>
          <w:right w:w="0" w:type="dxa"/>
        </w:tblCellMar>
      </w:tblPr>
      <w:tr>
        <w:trPr>
          <w:trHeight w:val="144"/>
        </w:trPr>
        <w:tc>
          <w:tcPr>
            <w:tcW w:w="2980" w:type="dxa"/>
            <w:vAlign w:val="bottom"/>
          </w:tcPr>
          <w:p>
            <w:pPr>
              <w:jc w:val="center"/>
              <w:ind w:right="1264"/>
              <w:spacing w:after="0"/>
              <w:rPr>
                <w:sz w:val="20"/>
                <w:szCs w:val="20"/>
                <w:color w:val="auto"/>
              </w:rPr>
            </w:pPr>
            <w:r>
              <w:rPr>
                <w:rFonts w:ascii="Times New Roman" w:cs="Times New Roman" w:eastAsia="Times New Roman" w:hAnsi="Times New Roman"/>
                <w:sz w:val="12"/>
                <w:szCs w:val="12"/>
                <w:b w:val="1"/>
                <w:bCs w:val="1"/>
                <w:color w:val="auto"/>
                <w:w w:val="99"/>
              </w:rPr>
              <w:t>1601 Trapelo Road, Suite 178</w:t>
            </w:r>
          </w:p>
        </w:tc>
        <w:tc>
          <w:tcPr>
            <w:tcW w:w="1780" w:type="dxa"/>
            <w:vAlign w:val="bottom"/>
          </w:tcPr>
          <w:p>
            <w:pPr>
              <w:spacing w:after="0"/>
              <w:rPr>
                <w:sz w:val="12"/>
                <w:szCs w:val="12"/>
                <w:color w:val="auto"/>
              </w:rPr>
            </w:pPr>
          </w:p>
        </w:tc>
      </w:tr>
      <w:tr>
        <w:trPr>
          <w:trHeight w:val="151"/>
        </w:trPr>
        <w:tc>
          <w:tcPr>
            <w:tcW w:w="2980" w:type="dxa"/>
            <w:vAlign w:val="bottom"/>
          </w:tcPr>
          <w:p>
            <w:pPr>
              <w:jc w:val="center"/>
              <w:ind w:right="1264"/>
              <w:spacing w:after="0"/>
              <w:rPr>
                <w:sz w:val="20"/>
                <w:szCs w:val="20"/>
                <w:color w:val="auto"/>
              </w:rPr>
            </w:pPr>
            <w:r>
              <w:rPr>
                <w:rFonts w:ascii="Times New Roman" w:cs="Times New Roman" w:eastAsia="Times New Roman" w:hAnsi="Times New Roman"/>
                <w:sz w:val="12"/>
                <w:szCs w:val="12"/>
                <w:b w:val="1"/>
                <w:bCs w:val="1"/>
                <w:color w:val="auto"/>
                <w:w w:val="99"/>
              </w:rPr>
              <w:t>Waltham, MA</w:t>
            </w: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02451</w:t>
            </w:r>
          </w:p>
        </w:tc>
      </w:tr>
      <w:tr>
        <w:trPr>
          <w:trHeight w:val="125"/>
        </w:trPr>
        <w:tc>
          <w:tcPr>
            <w:tcW w:w="2980" w:type="dxa"/>
            <w:vAlign w:val="bottom"/>
          </w:tcPr>
          <w:p>
            <w:pPr>
              <w:jc w:val="center"/>
              <w:ind w:right="1284"/>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1780" w:type="dxa"/>
            <w:vAlign w:val="bottom"/>
          </w:tcPr>
          <w:p>
            <w:pPr>
              <w:jc w:val="center"/>
              <w:ind w:left="1286"/>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(781) 819-0080</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130810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1"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ADGI</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7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4"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On September 12, 2022, the Company announced the upcoming name and ticker symbol change via a press release. A copy of the press release is filed herewith as Exhibit 99.1 and is incorporated by reference in this Item 8.01.</w:t>
      </w:r>
    </w:p>
    <w:p>
      <w:pPr>
        <w:spacing w:after="0" w:line="111"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On September 12, 2022, the Company issued a press release entitled “Invivyd Announces Multiple Next Generation COVID-19 Antibody Candidates and Selects Combination for Clinical Advancement Based on Positive in vitro Data Against Omicron Variants.” A copy of the press release is filed herewith as Exhibit 99.2 and is incorporated by reference in this Item 8.01.</w:t>
      </w:r>
    </w:p>
    <w:p>
      <w:pPr>
        <w:spacing w:after="0" w:line="119" w:lineRule="exact"/>
        <w:rPr>
          <w:sz w:val="20"/>
          <w:szCs w:val="20"/>
          <w:color w:val="auto"/>
        </w:rPr>
      </w:pPr>
    </w:p>
    <w:p>
      <w:pPr>
        <w:ind w:left="840" w:right="1099" w:firstLine="294"/>
        <w:spacing w:after="0" w:line="279" w:lineRule="auto"/>
        <w:rPr>
          <w:sz w:val="20"/>
          <w:szCs w:val="20"/>
          <w:color w:val="auto"/>
        </w:rPr>
      </w:pPr>
      <w:r>
        <w:rPr>
          <w:rFonts w:ascii="Times New Roman" w:cs="Times New Roman" w:eastAsia="Times New Roman" w:hAnsi="Times New Roman"/>
          <w:sz w:val="12"/>
          <w:szCs w:val="12"/>
          <w:color w:val="auto"/>
        </w:rPr>
        <w:t>On September 12, 2022, the Company posted a corporate presentation on its website at www.Invivyd.com. A copy of the presentation is filed herewith as Exhibit 99.3 and is incorporated by reference in this Item 8.01.</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340" w:type="dxa"/>
            <w:vAlign w:val="bottom"/>
            <w:vMerge w:val="restart"/>
          </w:tcPr>
          <w:p>
            <w:pPr>
              <w:ind w:left="7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280" w:type="dxa"/>
            <w:vAlign w:val="bottom"/>
          </w:tcPr>
          <w:p>
            <w:pPr>
              <w:spacing w:after="0"/>
              <w:rPr>
                <w:sz w:val="14"/>
                <w:szCs w:val="14"/>
                <w:color w:val="auto"/>
              </w:rPr>
            </w:pPr>
          </w:p>
        </w:tc>
        <w:tc>
          <w:tcPr>
            <w:tcW w:w="19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Press Release, dated September 12, 2022</w:t>
            </w:r>
          </w:p>
        </w:tc>
        <w:tc>
          <w:tcPr>
            <w:tcW w:w="478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280" w:type="dxa"/>
            <w:vAlign w:val="bottom"/>
          </w:tcPr>
          <w:p>
            <w:pPr>
              <w:spacing w:after="0"/>
              <w:rPr>
                <w:sz w:val="17"/>
                <w:szCs w:val="17"/>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Press Release, dated September 12, 2022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280" w:type="dxa"/>
            <w:vAlign w:val="bottom"/>
          </w:tcPr>
          <w:p>
            <w:pPr>
              <w:spacing w:after="0"/>
              <w:rPr>
                <w:sz w:val="17"/>
                <w:szCs w:val="17"/>
                <w:color w:val="auto"/>
              </w:rPr>
            </w:pPr>
          </w:p>
        </w:tc>
        <w:tc>
          <w:tcPr>
            <w:tcW w:w="2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Corporate Presentation, dated September 12, 2022</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80" w:type="dxa"/>
            <w:vAlign w:val="bottom"/>
          </w:tcPr>
          <w:p>
            <w:pPr>
              <w:spacing w:after="0"/>
              <w:rPr>
                <w:sz w:val="19"/>
                <w:szCs w:val="19"/>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07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b w:val="1"/>
          <w:bCs w:val="1"/>
          <w:color w:val="auto"/>
        </w:rPr>
        <w:t>ADAGIO THERAPEUTICS, INC.</w:t>
      </w:r>
    </w:p>
    <w:p>
      <w:pPr>
        <w:spacing w:after="0" w:line="154"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September 12, 2022</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Jill Andersen</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Legal Officer and Corporate Secretary</w:t>
      </w:r>
    </w:p>
    <w:p>
      <w:pPr>
        <w:sectPr>
          <w:pgSz w:w="11900" w:h="16838" w:orient="portrait"/>
          <w:cols w:equalWidth="0" w:num="1">
            <w:col w:w="9019"/>
          </w:cols>
          <w:pgMar w:left="1440" w:top="242" w:right="1440" w:bottom="1440" w:gutter="0" w:footer="0" w:header="0"/>
        </w:sectPr>
      </w:pPr>
    </w:p>
    <w:bookmarkStart w:id="3" w:name="page4"/>
    <w:bookmarkEnd w:id="3"/>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Adagio Therapeutics Announces Corporate Name Change to Invivyd</w:t>
      </w:r>
    </w:p>
    <w:p>
      <w:pPr>
        <w:spacing w:after="0" w:line="172" w:lineRule="exact"/>
        <w:rPr>
          <w:sz w:val="20"/>
          <w:szCs w:val="20"/>
          <w:color w:val="auto"/>
        </w:rPr>
      </w:pPr>
    </w:p>
    <w:p>
      <w:pPr>
        <w:ind w:left="1480" w:right="839" w:hanging="288"/>
        <w:spacing w:after="0" w:line="279"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name reflects Company focus on leveraging its integrated discovery platform to generate anti-viral antibodies that transcend the limits of naturally occurring immunity</w:t>
      </w:r>
    </w:p>
    <w:p>
      <w:pPr>
        <w:spacing w:after="0" w:line="48" w:lineRule="exact"/>
        <w:rPr>
          <w:rFonts w:ascii="Times New Roman" w:cs="Times New Roman" w:eastAsia="Times New Roman" w:hAnsi="Times New Roman"/>
          <w:sz w:val="12"/>
          <w:szCs w:val="12"/>
          <w:color w:val="auto"/>
        </w:rPr>
      </w:pPr>
    </w:p>
    <w:p>
      <w:pPr>
        <w:ind w:left="1480" w:right="1279" w:hanging="288"/>
        <w:spacing w:after="0" w:line="279" w:lineRule="auto"/>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Invivyd corporate mission is to provide antibody solutions that provide superior protection against viral diseases, starting with COVID-19</w:t>
      </w:r>
    </w:p>
    <w:p>
      <w:pPr>
        <w:spacing w:after="0" w:line="48"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Company’s shares to trade under new ticker symbol “IVVD” starting on September 13</w:t>
      </w:r>
    </w:p>
    <w:p>
      <w:pPr>
        <w:spacing w:after="0" w:line="146" w:lineRule="exact"/>
        <w:rPr>
          <w:sz w:val="20"/>
          <w:szCs w:val="20"/>
          <w:color w:val="auto"/>
        </w:rPr>
      </w:pPr>
    </w:p>
    <w:p>
      <w:pPr>
        <w:ind w:left="840" w:right="919"/>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WALTHAM, MASS; September 12, 2022 – </w:t>
      </w:r>
      <w:r>
        <w:rPr>
          <w:rFonts w:ascii="Times New Roman" w:cs="Times New Roman" w:eastAsia="Times New Roman" w:hAnsi="Times New Roman"/>
          <w:sz w:val="12"/>
          <w:szCs w:val="12"/>
          <w:color w:val="auto"/>
        </w:rPr>
        <w:t>Adagio Therapeutics, (Nasdaq: ADGI), a clinical-stage biopharmaceutical company on a mission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protect humanity from serious viral respiratory diseases, announced today that the Company has changed its name to Invivyd. This new name reflects the Company’s strategy for leveraging its integrated discovery platform to develop and commercialize antibodies that transcend the limits of the human immune system to better prevent and treat infectious respiratory viral diseases, beginning with COVID-19. In conjunction with the name change, the Company will begin trading under the new ticker symbol “IVVD” on the Nasdaq Global Market at market open on September 13, 2022.</w:t>
      </w:r>
    </w:p>
    <w:p>
      <w:pPr>
        <w:spacing w:after="0" w:line="123" w:lineRule="exact"/>
        <w:rPr>
          <w:sz w:val="20"/>
          <w:szCs w:val="20"/>
          <w:color w:val="auto"/>
        </w:rPr>
      </w:pPr>
    </w:p>
    <w:p>
      <w:pPr>
        <w:ind w:left="840" w:right="839"/>
        <w:spacing w:after="0" w:line="256" w:lineRule="auto"/>
        <w:rPr>
          <w:sz w:val="20"/>
          <w:szCs w:val="20"/>
          <w:color w:val="auto"/>
        </w:rPr>
      </w:pPr>
      <w:r>
        <w:rPr>
          <w:rFonts w:ascii="Times New Roman" w:cs="Times New Roman" w:eastAsia="Times New Roman" w:hAnsi="Times New Roman"/>
          <w:sz w:val="12"/>
          <w:szCs w:val="12"/>
          <w:color w:val="auto"/>
        </w:rPr>
        <w:t>“I’m excited for our new name as it reflects our commitment to advancing antibody solutions to overcome limitations in both the immune system and existing COVID-19 treatments,” said David Hering, Invivyd’s chief executive officer. “Our team understands how viruses are constantly evolving to exploit the limitations of the human immune system. Invivyd leverages a platform we believe is nimble enough to target a virus that will continue to change, and durable enough to increase the probability of providing a longer period of protection than other antibody solutions. Our goal is to change the paradigm for combatting viral infection by delivering rapid and lasting antibody immunity to protect the general public and ensure vulnerable populations are never left behind.”</w:t>
      </w:r>
    </w:p>
    <w:p>
      <w:pPr>
        <w:spacing w:after="0" w:line="125"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Invivyd (pronounced “in-viv-id”) has best-in-class antibody discovery and development capabilities working at the intersection of evolutionary virology, predictive modeling, and antibody engineering. The company’s discovery platform is designed with the aim of providing better solutions to protect the vulnerable with antibodies engineered to be superior to naturally occurring human antibodies.</w:t>
      </w:r>
    </w:p>
    <w:p>
      <w:pPr>
        <w:spacing w:after="0" w:line="119" w:lineRule="exact"/>
        <w:rPr>
          <w:sz w:val="20"/>
          <w:szCs w:val="20"/>
          <w:color w:val="auto"/>
        </w:rPr>
      </w:pPr>
    </w:p>
    <w:p>
      <w:pPr>
        <w:ind w:left="840" w:right="899"/>
        <w:spacing w:after="0" w:line="291" w:lineRule="auto"/>
        <w:rPr>
          <w:sz w:val="20"/>
          <w:szCs w:val="20"/>
          <w:color w:val="auto"/>
        </w:rPr>
      </w:pPr>
      <w:r>
        <w:rPr>
          <w:rFonts w:ascii="Times New Roman" w:cs="Times New Roman" w:eastAsia="Times New Roman" w:hAnsi="Times New Roman"/>
          <w:sz w:val="11"/>
          <w:szCs w:val="11"/>
          <w:color w:val="auto"/>
        </w:rPr>
        <w:t>“Now, three years into the human experience with SARS-CoV-2, it is more clear than ever that we need more durable, more effective prevention and treatment than can be achieved through the human immune response,” said Laura Walker, Ph.D., co-founder and chief scientific officer of Invivyd. “Invivyd has a powerful, best-in-class integrated discovery platform aimed at identifying and developing high quality molecules as viral evolution demands. I am thrilled with the opportunity to deploy our considerable expertise and resources toward providing ongoing protection to people in need.”</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Beyond COVID-19 the company has multiple antibody candidates in discovery stage for prevention of seasonal influenza.</w:t>
      </w:r>
    </w:p>
    <w:p>
      <w:pPr>
        <w:sectPr>
          <w:pgSz w:w="11900" w:h="16838" w:orient="portrait"/>
          <w:cols w:equalWidth="0" w:num="1">
            <w:col w:w="9019"/>
          </w:cols>
          <w:pgMar w:left="1440" w:top="125" w:right="1440" w:bottom="1440" w:gutter="0" w:footer="0" w:header="0"/>
        </w:sectPr>
      </w:pPr>
    </w:p>
    <w:bookmarkStart w:id="4" w:name="page5"/>
    <w:bookmarkEnd w:id="4"/>
    <w:p>
      <w:pPr>
        <w:ind w:left="840" w:right="1019"/>
        <w:spacing w:after="0" w:line="300"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Marc Elia, chairman of the Invivyd Board of Directors commented, “Viral respiratory diseases, including COVID-19, present unique challenges and impose an unacceptable burden on humankind. We are delighted to launch an enhanced corporate identity following a period of change that positions Invivyd to create a meaningful impact for the company’s stakeholders using its best-in-class integrated discovery platform and internal capabilities.”</w:t>
      </w:r>
    </w:p>
    <w:p>
      <w:pPr>
        <w:spacing w:after="0" w:line="1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Along with the new name, the Company has adopted a new logo and refreshed its corporate website to reflect the company’s strategy moving forward.</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Visit www.invivyd.com to learn more.</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Invivyd</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(Nasdaq: IVVD)</w:t>
      </w:r>
    </w:p>
    <w:p>
      <w:pPr>
        <w:spacing w:after="0" w:line="67" w:lineRule="exact"/>
        <w:rPr>
          <w:sz w:val="20"/>
          <w:szCs w:val="20"/>
          <w:color w:val="auto"/>
        </w:rPr>
      </w:pPr>
    </w:p>
    <w:p>
      <w:pPr>
        <w:ind w:left="840" w:right="859"/>
        <w:spacing w:after="0" w:line="254" w:lineRule="auto"/>
        <w:rPr>
          <w:sz w:val="20"/>
          <w:szCs w:val="20"/>
          <w:color w:val="auto"/>
        </w:rPr>
      </w:pPr>
      <w:r>
        <w:rPr>
          <w:rFonts w:ascii="Times New Roman" w:cs="Times New Roman" w:eastAsia="Times New Roman" w:hAnsi="Times New Roman"/>
          <w:sz w:val="12"/>
          <w:szCs w:val="12"/>
          <w:color w:val="auto"/>
        </w:rPr>
        <w:t>Invivyd, formerly Adagio Therapeutics (Nasdaq: ADGI), is a biopharmaceutical company on a mission to protect humanity from serious viral respiratory diseases. The company is developing antibodies to transcend the limits of naturally occurring immunity and provide superior protection from viral diseases, beginning with COVID-19. Invivyd’s technology works at the intersection of evolutionary virology, predictive modeling, and antibody engineering, and is designed to identify high-quality, long-lasting antibodies with a high barrier to viral escape. The company is generating a robust pipeline of products for use in both prevention and treatment of disease. Invivyd’s most advanced pipeline candidate is adintrevimab, an investigational monoclonal antibody which has demonstrated clinically meaningful results in global Phase 3 clinical trials against multiple variants of concern for the prevention and treatment of COVID-19. Adintrevimab is not approved for use in any country. The safety and efficacy of adintrevimab have not been established. The company also has multiple discovery stage candidates for the prevention of seasonal influenza. Visit www.invivyd.com to learn more.</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Cautionary Note Regarding Forward Looking Statements</w:t>
      </w:r>
    </w:p>
    <w:p>
      <w:pPr>
        <w:spacing w:after="0" w:line="82" w:lineRule="exact"/>
        <w:rPr>
          <w:sz w:val="20"/>
          <w:szCs w:val="20"/>
          <w:color w:val="auto"/>
        </w:rPr>
      </w:pPr>
    </w:p>
    <w:p>
      <w:pPr>
        <w:ind w:left="840" w:right="939"/>
        <w:spacing w:after="0" w:line="25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future of the COVID-19 landscape including the expectation of continued evolution and emergence of new variants and subvariants; our ongoing research and clinical development plans and the timing thereof; our plans to advance adintrevimab or other early stage candidates as a potential prophylaxis and treatment option for COVID-19, including disease caused by most variants, as either a single or combination agent; the potential for adintrevimab to demonstrate activity against predominant SARS-CoV-2 variant(s) in the U.S. and globally; our plans, technology and resources to develop therapeutic or preventative options for other infectious diseases, such as additional coronaviruses and seasonal influenza, in the U.S. and globally; and other statements that are not historical fact.</w:t>
      </w:r>
    </w:p>
    <w:p>
      <w:pPr>
        <w:sectPr>
          <w:pgSz w:w="11900" w:h="16838" w:orient="portrait"/>
          <w:cols w:equalWidth="0" w:num="1">
            <w:col w:w="9019"/>
          </w:cols>
          <w:pgMar w:left="1440" w:top="228" w:right="1440" w:bottom="1440" w:gutter="0" w:footer="0" w:header="0"/>
        </w:sectPr>
      </w:pPr>
    </w:p>
    <w:bookmarkStart w:id="5" w:name="page6"/>
    <w:bookmarkEnd w:id="5"/>
    <w:p>
      <w:pPr>
        <w:ind w:left="840" w:right="839"/>
        <w:spacing w:after="0" w:line="276"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June 30, 2022, each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This press release contains hyperlinks to information that is not deemed to be incorporated by reference in this press release.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 #</w:t>
      </w:r>
    </w:p>
    <w:p>
      <w:pPr>
        <w:sectPr>
          <w:pgSz w:w="11900" w:h="16838" w:orient="portrait"/>
          <w:cols w:equalWidth="0" w:num="1">
            <w:col w:w="9019"/>
          </w:cols>
          <w:pgMar w:left="1440" w:top="228" w:right="1440" w:bottom="1440" w:gutter="0" w:footer="0" w:header="0"/>
        </w:sectPr>
      </w:pPr>
    </w:p>
    <w:bookmarkStart w:id="6" w:name="page7"/>
    <w:bookmarkEnd w:id="6"/>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Contacts</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Tony Berry, Evoke Canale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774-317-0422</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anthony.berry@evokegroup.com</w:t>
      </w:r>
    </w:p>
    <w:p>
      <w:pPr>
        <w:spacing w:after="0" w:line="1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 Brinzey, ICR Westwicke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chris.brinzey@westwicke.com</w:t>
      </w:r>
    </w:p>
    <w:p>
      <w:pPr>
        <w:sectPr>
          <w:pgSz w:w="11900" w:h="16838" w:orient="portrait"/>
          <w:cols w:equalWidth="0" w:num="1">
            <w:col w:w="9019"/>
          </w:cols>
          <w:pgMar w:left="1440" w:top="224" w:right="1440" w:bottom="1440" w:gutter="0" w:footer="0" w:header="0"/>
        </w:sectPr>
      </w:pPr>
    </w:p>
    <w:bookmarkStart w:id="7" w:name="page8"/>
    <w:bookmarkEnd w:id="7"/>
    <w:p>
      <w:pPr>
        <w:ind w:left="756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152" w:lineRule="exact"/>
        <w:rPr>
          <w:sz w:val="20"/>
          <w:szCs w:val="20"/>
          <w:color w:val="auto"/>
        </w:rPr>
      </w:pPr>
    </w:p>
    <w:p>
      <w:pPr>
        <w:jc w:val="center"/>
        <w:ind w:left="840" w:right="839"/>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Invivyd Announces Multiple Next Generation COVID-19 Antibody Candidates and Selects Combination for Clinical Advancement Based on Positive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b w:val="1"/>
          <w:bCs w:val="1"/>
          <w:color w:val="auto"/>
        </w:rPr>
        <w:t xml:space="preserve"> Data Against Omicron Variants</w:t>
      </w:r>
    </w:p>
    <w:p>
      <w:pPr>
        <w:spacing w:after="0" w:line="122" w:lineRule="exact"/>
        <w:rPr>
          <w:sz w:val="20"/>
          <w:szCs w:val="20"/>
          <w:color w:val="auto"/>
        </w:rPr>
      </w:pPr>
    </w:p>
    <w:p>
      <w:pPr>
        <w:jc w:val="both"/>
        <w:ind w:left="1480" w:right="1119" w:hanging="360"/>
        <w:spacing w:after="0" w:line="330" w:lineRule="auto"/>
        <w:tabs>
          <w:tab w:leader="none" w:pos="148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Integrated discovery platform is producing a stream of candidate antibodies demonstrating broad in vitro neutralization against past variants of concern (e.g., D614G, beta, delta) and Omicron sublineages BA.1, BA.2, BA.4, BA.5 and BA.2.75, as well as SARS-CoV-1</w:t>
      </w:r>
    </w:p>
    <w:p>
      <w:pPr>
        <w:spacing w:after="0" w:line="21" w:lineRule="exact"/>
        <w:rPr>
          <w:rFonts w:ascii="Times New Roman" w:cs="Times New Roman" w:eastAsia="Times New Roman" w:hAnsi="Times New Roman"/>
          <w:sz w:val="11"/>
          <w:szCs w:val="11"/>
          <w:color w:val="auto"/>
        </w:rPr>
      </w:pPr>
    </w:p>
    <w:p>
      <w:pPr>
        <w:ind w:left="1480" w:hanging="360"/>
        <w:spacing w:after="0"/>
        <w:tabs>
          <w:tab w:leader="none" w:pos="148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Antibodies target highly conserved epitopes under low immune pressure</w:t>
      </w:r>
    </w:p>
    <w:p>
      <w:pPr>
        <w:spacing w:after="0" w:line="87" w:lineRule="exact"/>
        <w:rPr>
          <w:rFonts w:ascii="Times New Roman" w:cs="Times New Roman" w:eastAsia="Times New Roman" w:hAnsi="Times New Roman"/>
          <w:sz w:val="12"/>
          <w:szCs w:val="12"/>
          <w:i w:val="1"/>
          <w:iCs w:val="1"/>
          <w:color w:val="auto"/>
        </w:rPr>
      </w:pPr>
    </w:p>
    <w:p>
      <w:pPr>
        <w:ind w:left="1480" w:hanging="360"/>
        <w:spacing w:after="0"/>
        <w:tabs>
          <w:tab w:leader="none" w:pos="148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NVD200, a novel combination of two monoclonal antibodies, expected to advance into clinical trials in Q1 2023</w:t>
      </w:r>
    </w:p>
    <w:p>
      <w:pPr>
        <w:spacing w:after="0" w:line="148" w:lineRule="exact"/>
        <w:rPr>
          <w:sz w:val="20"/>
          <w:szCs w:val="20"/>
          <w:color w:val="auto"/>
        </w:rPr>
      </w:pPr>
    </w:p>
    <w:p>
      <w:pPr>
        <w:ind w:left="840" w:right="93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WALTHAM, MASS; September 12, 2022 – </w:t>
      </w:r>
      <w:r>
        <w:rPr>
          <w:rFonts w:ascii="Times New Roman" w:cs="Times New Roman" w:eastAsia="Times New Roman" w:hAnsi="Times New Roman"/>
          <w:sz w:val="12"/>
          <w:szCs w:val="12"/>
          <w:color w:val="auto"/>
        </w:rPr>
        <w:t>Invivyd, (Nasdaq: IVVD beginning September 13), formerly Adagio Therapeutics (Nasdaq: ADGI),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clinical-stage biopharmaceutical company on a mission to protect humanity from serious viral respiratory diseases, announced today that the Company has generated multiple next-generation candidate antibodies for the prevention and treatment of COVID-19, including two molecules designated for near-term clinical development in combination as NVD200. NVD200 is expected to enter the clinic in the first quarter of 2023.</w:t>
      </w:r>
    </w:p>
    <w:p>
      <w:pPr>
        <w:spacing w:after="0" w:line="121" w:lineRule="exact"/>
        <w:rPr>
          <w:sz w:val="20"/>
          <w:szCs w:val="20"/>
          <w:color w:val="auto"/>
        </w:rPr>
      </w:pPr>
    </w:p>
    <w:p>
      <w:pPr>
        <w:ind w:left="840" w:right="899"/>
        <w:spacing w:after="0" w:line="256" w:lineRule="auto"/>
        <w:rPr>
          <w:sz w:val="20"/>
          <w:szCs w:val="20"/>
          <w:color w:val="auto"/>
        </w:rPr>
      </w:pPr>
      <w:r>
        <w:rPr>
          <w:rFonts w:ascii="Times New Roman" w:cs="Times New Roman" w:eastAsia="Times New Roman" w:hAnsi="Times New Roman"/>
          <w:sz w:val="12"/>
          <w:szCs w:val="12"/>
          <w:color w:val="auto"/>
        </w:rPr>
        <w:t>The integrated Invivyd discovery platform generated dozens of potent and broadly neutralizing anti-SARS-CoV-2 monoclonal antibody candidates over the past two quarters. Now included in Invivyd’s pipeline are multiple novel discovery-stage molecules that were produced using the company’s deep expertise at the intersection of evolutionary virology, predictive modeling, and antibody engineering. These molecules are all designed to be high-functioning and long-lasting with a high barrier to viral escape. The company’s antibody candidates are tuned to optimize across potency, breadth of neutralization, barrier to escape, and half-life. Such antibodies may be deployed prior to exposure to SARS-CoV-2 to prevent disease or, once sick, to treat disease.</w:t>
      </w:r>
    </w:p>
    <w:p>
      <w:pPr>
        <w:spacing w:after="0" w:line="125" w:lineRule="exact"/>
        <w:rPr>
          <w:sz w:val="20"/>
          <w:szCs w:val="20"/>
          <w:color w:val="auto"/>
        </w:rPr>
      </w:pPr>
    </w:p>
    <w:p>
      <w:pPr>
        <w:ind w:left="840" w:right="839"/>
        <w:spacing w:after="0" w:line="255" w:lineRule="auto"/>
        <w:rPr>
          <w:sz w:val="20"/>
          <w:szCs w:val="20"/>
          <w:color w:val="auto"/>
        </w:rPr>
      </w:pPr>
      <w:r>
        <w:rPr>
          <w:rFonts w:ascii="Times New Roman" w:cs="Times New Roman" w:eastAsia="Times New Roman" w:hAnsi="Times New Roman"/>
          <w:sz w:val="12"/>
          <w:szCs w:val="12"/>
          <w:color w:val="auto"/>
        </w:rPr>
        <w:t>“COVID-19 continues to impose a significant and unacceptable burden on humanity, which is why I am pleased that our integrated discovery platform has been so productive at identifying novel candidates with potential to transcend the limitations of the human immune response,” said David Hering, CEO of Invivyd. “Our approach is designed to find unique molecules that target the validated SARS-CoV-2 spike protein at sites under limited immune pressure, which we expect to translate into a high barrier to viral escape. We are rapidly advancing NVD200, our novel combination candidate, toward the clinic with a Phase 1 clinical trial expected to start in the first quarter of next year. At the same time, we are diligently monitoring emerging variants to inform our development plans for the multiple additional discovery candidates in our pipeline, as well as innovating to provide a steady stream of new candidates to address the continuously evolving viral threat.”</w:t>
      </w:r>
    </w:p>
    <w:p>
      <w:pPr>
        <w:spacing w:after="0" w:line="124" w:lineRule="exact"/>
        <w:rPr>
          <w:sz w:val="20"/>
          <w:szCs w:val="20"/>
          <w:color w:val="auto"/>
        </w:rPr>
      </w:pPr>
    </w:p>
    <w:p>
      <w:pPr>
        <w:ind w:left="840" w:right="879"/>
        <w:spacing w:after="0" w:line="261" w:lineRule="auto"/>
        <w:rPr>
          <w:sz w:val="20"/>
          <w:szCs w:val="20"/>
          <w:color w:val="auto"/>
        </w:rPr>
      </w:pPr>
      <w:r>
        <w:rPr>
          <w:rFonts w:ascii="Times New Roman" w:cs="Times New Roman" w:eastAsia="Times New Roman" w:hAnsi="Times New Roman"/>
          <w:sz w:val="12"/>
          <w:szCs w:val="12"/>
          <w:color w:val="auto"/>
        </w:rPr>
        <w:t xml:space="preserve">NVD200 is a combination of two monoclonal antibodies which demonstrated potent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neutralizing activity against prior and current SARS-CoV-2 variants of concern, including Omicron BA.1, BA.2, BA.4, BA.5, and BA.2.75 sublineages, as well as the more antigenically divergent SARS-CoV-1. This antibody combination has been selected for neutralization potency, breadth of coverage, and non-dominant epitope recognition. The antibodies in the combination target non-overlapping epitopes that are rarely</w:t>
      </w:r>
    </w:p>
    <w:p>
      <w:pPr>
        <w:sectPr>
          <w:pgSz w:w="11900" w:h="16838" w:orient="portrait"/>
          <w:cols w:equalWidth="0" w:num="1">
            <w:col w:w="9019"/>
          </w:cols>
          <w:pgMar w:left="1440" w:top="125" w:right="1440" w:bottom="1440" w:gutter="0" w:footer="0" w:header="0"/>
        </w:sectPr>
      </w:pPr>
    </w:p>
    <w:bookmarkStart w:id="8" w:name="page9"/>
    <w:bookmarkEnd w:id="8"/>
    <w:p>
      <w:pPr>
        <w:ind w:left="840" w:right="95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targeted by endogenous neutralizing antibodies, which limits immune pressure on these sites and increases the probability of sustained utility in an evolving viral landscape. One of the antibodies in the combination is a re-engineered version of adintrevimab, the company’s most advanced product candidate, which met all primary endpoints with statistical significance in a pre-Omicron setting in global Phase 3 clinical trials for the prevention and treatment of COVID-19.</w:t>
      </w:r>
    </w:p>
    <w:p>
      <w:pPr>
        <w:spacing w:after="0" w:line="122"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“The multiple novel antibodies we have engineered further expand on our discovery work with adintrevimab and subsequent clinically meaningful results,” said Laura Walker, Ph.D., co-founder and chief scientific officer of Invivyd. “Over the past two years, remarkable advances have been made in our understanding of the plasticity of the SARS-CoV-2 receptor binding domain, the co-evolution of the virus and the human antibody response, and the importance of neutralization in protection, allowing us to select and engineer lead molecules that we believe will have sustained utility. We have also created a continuous discovery process to stay ahead of viral variation, so any gaps in coverage may be rapidly filled.”</w:t>
      </w:r>
    </w:p>
    <w:p>
      <w:pPr>
        <w:spacing w:after="0" w:line="125"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Invivyd’s platform includes continuous variant monitoring and extensive exploration of the vast universe of potential antibodies outside of the common human immune repertoire. The company has already identified hundreds of neutralizing monoclonal antibodies and selected them based on stringent selection criteria including potency, breadth of coverage across SARS-CoV-2 variants and other sarbecoviruses, immunorecessive epitope targeting, and specified developability criteria.</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Invivyd</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(Nasdaq: IVVD)</w:t>
      </w:r>
    </w:p>
    <w:p>
      <w:pPr>
        <w:spacing w:after="0" w:line="78" w:lineRule="exact"/>
        <w:rPr>
          <w:sz w:val="20"/>
          <w:szCs w:val="20"/>
          <w:color w:val="auto"/>
        </w:rPr>
      </w:pPr>
    </w:p>
    <w:p>
      <w:pPr>
        <w:ind w:left="840" w:right="839"/>
        <w:spacing w:after="0" w:line="254" w:lineRule="auto"/>
        <w:rPr>
          <w:sz w:val="20"/>
          <w:szCs w:val="20"/>
          <w:color w:val="auto"/>
        </w:rPr>
      </w:pPr>
      <w:r>
        <w:rPr>
          <w:rFonts w:ascii="Times New Roman" w:cs="Times New Roman" w:eastAsia="Times New Roman" w:hAnsi="Times New Roman"/>
          <w:sz w:val="12"/>
          <w:szCs w:val="12"/>
          <w:color w:val="auto"/>
        </w:rPr>
        <w:t>Invivyd, formerly Adagio Therapeutics (Nasdaq: ADGI), is a biopharmaceutical company on a mission to protect humanity from serious viral respiratory diseases. The company is developing antibodies to transcend the limits of naturally occurring immunity and provide superior protection from viral diseases, beginning with COVID-19. Invivyd’s technology works at the intersection of evolutionary virology, predictive modeling, and antibody engineering, and is designed to identify high-quality, long-lasting antibodies with a high barrier to viral escape. The company is generating a robust pipeline of products for use in both prevention and treatment of disease. NVD200, Invivyd’s first antibody combination product for COVID-19, is expected to enter the clinic in Q1 2023. Invivyd’s most advanced pipeline candidate is adintrevimab, an investigational monoclonal antibody which has demonstrated clinically meaningful results in global Phase 3 clinical trials against multiple variants of concern for the prevention and treatment of COVID-19. Adintrevimab is not approved for use in any country. The safety and efficacy of adintrevimab have not been established. The company also has multiple discovery stage candidates for the prevention of seasonal influenza. Visit www.invivyd.com to learn more.</w:t>
      </w:r>
    </w:p>
    <w:p>
      <w:pPr>
        <w:sectPr>
          <w:pgSz w:w="11900" w:h="16838" w:orient="portrait"/>
          <w:cols w:equalWidth="0" w:num="1">
            <w:col w:w="9019"/>
          </w:cols>
          <w:pgMar w:left="1440" w:top="228" w:right="1440" w:bottom="1440" w:gutter="0" w:footer="0" w:header="0"/>
        </w:sectPr>
      </w:pPr>
    </w:p>
    <w:bookmarkStart w:id="9" w:name="page10"/>
    <w:bookmarkEnd w:id="9"/>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Cautionary Note Regarding Forward Looking Statements</w:t>
      </w:r>
    </w:p>
    <w:p>
      <w:pPr>
        <w:spacing w:after="0" w:line="82" w:lineRule="exact"/>
        <w:rPr>
          <w:sz w:val="20"/>
          <w:szCs w:val="20"/>
          <w:color w:val="auto"/>
        </w:rPr>
      </w:pPr>
    </w:p>
    <w:p>
      <w:pPr>
        <w:ind w:left="840" w:right="859"/>
        <w:spacing w:after="0" w:line="251"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future of the COVID-19 landscape including the expectation of continued evolution and emergence of new variants and subvariants; our ongoing research and clinical development plans and the timing thereof; our plans to advance adintrevimab, NVD200, or other early stage candidates as a potential prophylaxis and treatment option for COVID-19, including disease caused by most variants, as either a single or combination agent, including our intention to initiate clinical development of NVD200 in the first quarter of 2023; the potential for adintrevimab and NVD200 to demonstrate activity against predominant SARS-CoV-2 variant(s) in the U.S. and globally; our plans, technology and resources to develop therapeutic or preventative options for other infectious diseases, such as additional coronaviruses and seasonal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NVD200,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NVD200,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June 30, 2022, each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9019"/>
          </w:cols>
          <w:pgMar w:left="1440" w:top="224" w:right="1440" w:bottom="1440" w:gutter="0" w:footer="0" w:header="0"/>
        </w:sectPr>
      </w:pPr>
    </w:p>
    <w:bookmarkStart w:id="10" w:name="page11"/>
    <w:bookmarkEnd w:id="10"/>
    <w:p>
      <w:pPr>
        <w:ind w:left="84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press release contains hyperlinks to information that is not deemed to be incorporated by reference in this press release.</w:t>
      </w:r>
    </w:p>
    <w:p>
      <w:pPr>
        <w:spacing w:after="0" w:line="162" w:lineRule="exact"/>
        <w:rPr>
          <w:sz w:val="20"/>
          <w:szCs w:val="20"/>
          <w:color w:val="auto"/>
        </w:rPr>
      </w:pPr>
    </w:p>
    <w:p>
      <w:pPr>
        <w:jc w:val="center"/>
        <w:spacing w:after="0"/>
        <w:tabs>
          <w:tab w:leader="none" w:pos="100" w:val="left"/>
          <w:tab w:leader="none" w:pos="100" w:val="left"/>
        </w:tabs>
        <w:rPr>
          <w:sz w:val="20"/>
          <w:szCs w:val="20"/>
          <w:color w:val="auto"/>
        </w:rPr>
      </w:pPr>
      <w:r>
        <w:rPr>
          <w:rFonts w:ascii="Times New Roman" w:cs="Times New Roman" w:eastAsia="Times New Roman" w:hAnsi="Times New Roman"/>
          <w:sz w:val="12"/>
          <w:szCs w:val="12"/>
          <w:color w:val="auto"/>
        </w:rPr>
        <w:t>#</w:t>
        <w:tab/>
        <w:t>#</w:t>
        <w:tab/>
        <w:t>#</w:t>
      </w:r>
    </w:p>
    <w:p>
      <w:pPr>
        <w:spacing w:after="0" w:line="2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Tony Berry, Evoke Canale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774-317-0422</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anthony.berry@evokegroup.com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 Brinzey, ICR Westwicke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chris.brinzey@westwicke.com</w:t>
      </w:r>
    </w:p>
    <w:p>
      <w:pPr>
        <w:sectPr>
          <w:pgSz w:w="11900" w:h="16838" w:orient="portrait"/>
          <w:cols w:equalWidth="0" w:num="1">
            <w:col w:w="9019"/>
          </w:cols>
          <w:pgMar w:left="1440" w:top="228" w:right="1440"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2022-09-12T06:48:46Z</dcterms:created>
  <dcterms:modified xsi:type="dcterms:W3CDTF">2022-09-12T06:48:46Z</dcterms:modified>
</cp:coreProperties>
</file>