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On March 20, 2025, Invivyd, Inc. (the “Company”) issued a press release announcing its financial results for the fourth quarter and year ended December 31, 2024, and recent business highlights. A copy of the press release is furnished as Exhibit 99.1 to this Current Report on Form 8-K and is incorporated by reference into this Item 2.02.</w:t>
      </w:r>
    </w:p>
    <w:p>
      <w:pPr>
        <w:spacing w:after="0" w:line="17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17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No.</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5332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-20320</wp:posOffset>
            </wp:positionV>
            <wp:extent cx="1713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20, 2025</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5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0574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720"/>
        <w:spacing w:after="0" w:line="276" w:lineRule="auto"/>
        <w:rPr>
          <w:sz w:val="20"/>
          <w:szCs w:val="20"/>
          <w:color w:val="auto"/>
        </w:rPr>
      </w:pPr>
      <w:r>
        <w:rPr>
          <w:rFonts w:ascii="Arial" w:cs="Arial" w:eastAsia="Arial" w:hAnsi="Arial"/>
          <w:sz w:val="29"/>
          <w:szCs w:val="29"/>
          <w:color w:val="auto"/>
        </w:rPr>
        <w:t>Invivyd Reports Fourth Quarter and Full-Year 2024 Financial Results and Provides Recent Business Highlights</w:t>
      </w:r>
    </w:p>
    <w:p>
      <w:pPr>
        <w:spacing w:after="0" w:line="67" w:lineRule="exact"/>
        <w:rPr>
          <w:sz w:val="20"/>
          <w:szCs w:val="20"/>
          <w:color w:val="auto"/>
        </w:rPr>
      </w:pPr>
    </w:p>
    <w:p>
      <w:pPr>
        <w:ind w:left="760" w:right="100" w:hanging="378"/>
        <w:spacing w:after="0" w:line="25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Achieved Q4 2024 PEMGARDA™ (pemivibart) net product revenue of $13.8 million, representing 48% growth over Q3 2024 net product revenue of $9.3 million; full-year 2024 net product revenue totaled $25.4 million</w:t>
      </w:r>
    </w:p>
    <w:p>
      <w:pPr>
        <w:spacing w:after="0" w:line="7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2024 year-end cash and cash equivalents of $69.3 million</w:t>
      </w:r>
    </w:p>
    <w:p>
      <w:pPr>
        <w:spacing w:after="0" w:line="148" w:lineRule="exact"/>
        <w:rPr>
          <w:rFonts w:ascii="Times New Roman" w:cs="Times New Roman" w:eastAsia="Times New Roman" w:hAnsi="Times New Roman"/>
          <w:sz w:val="18"/>
          <w:szCs w:val="18"/>
          <w:color w:val="auto"/>
        </w:rPr>
      </w:pPr>
    </w:p>
    <w:p>
      <w:pPr>
        <w:ind w:left="760" w:right="500" w:hanging="378"/>
        <w:spacing w:after="0" w:line="25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Continues to target near-term (by end of 1H 2025) profitability with existing cash and cash equivalents, anticipated growth of net product revenue, and continued reduction of manufacturing expenses</w:t>
      </w:r>
    </w:p>
    <w:p>
      <w:pPr>
        <w:spacing w:after="0" w:line="87" w:lineRule="exact"/>
        <w:rPr>
          <w:rFonts w:ascii="Times New Roman" w:cs="Times New Roman" w:eastAsia="Times New Roman" w:hAnsi="Times New Roman"/>
          <w:sz w:val="18"/>
          <w:szCs w:val="18"/>
          <w:color w:val="auto"/>
        </w:rPr>
      </w:pPr>
    </w:p>
    <w:p>
      <w:pPr>
        <w:jc w:val="both"/>
        <w:ind w:left="760" w:right="40" w:hanging="378"/>
        <w:spacing w:after="0" w:line="241"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Company announced in vitro neutralization data show continued, consistent neutralizing activity of PEMGARDA against LP.8.1, KP.3.1.1, and XEC, comprising the majority of SARS-CoV-2 variants currently circulating in the U.S, reinforcing the durability of PEMGARDA’s neutralizing activity shown amid viral evolution</w:t>
      </w:r>
    </w:p>
    <w:p>
      <w:pPr>
        <w:spacing w:after="0" w:line="90" w:lineRule="exact"/>
        <w:rPr>
          <w:rFonts w:ascii="Times New Roman" w:cs="Times New Roman" w:eastAsia="Times New Roman" w:hAnsi="Times New Roman"/>
          <w:sz w:val="18"/>
          <w:szCs w:val="18"/>
          <w:color w:val="auto"/>
        </w:rPr>
      </w:pPr>
    </w:p>
    <w:p>
      <w:pPr>
        <w:ind w:left="760" w:right="20" w:hanging="378"/>
        <w:spacing w:after="0" w:line="237"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Company announced positive Phase 1 clinical data for next-generation program VYD2311, evaluating multiple routes of administration and dose levels for a single dose, including intramuscular injection, for both safety and pharmacokinetics; in vitro neutralization potency of VYD2311 assessed across contemporary SARS-CoV-2 variants tested showed an average 17-fold greater neutralization potency than pemivibart</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WALTHAM, Mass., Mar. 20, 2025 (GLOBE NEWSWIRE) -- Invivyd, Inc. (Nasdaq: IVVD), a biopharmaceutical company devoted to delivering protection from serious viral infectious diseases, today announced financial results for the fourth quarter and full year ended December 31, 2024, and recent business highlights.</w:t>
      </w:r>
    </w:p>
    <w:p>
      <w:pPr>
        <w:spacing w:after="0" w:line="104"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“We are pleased with the significant PEMGARDA™ revenue growth of 48% in the fourth quarter, reflecting increased provider awareness and adoption,” said Bill Duke, Chief Financial Officer of Invivyd. “We look forward to raising further awareness of PEMGARDA in the healthcare community and working to achieve near-term profitability. In parallel, we are advancing VYD2311, our next generation monoclonal antibody that has demonstrated highly promising Phase 1 clinical data and has the potential to offer an improved route of administration to protect vulnerable patient populations from COVID-19.”</w:t>
      </w:r>
    </w:p>
    <w:p>
      <w:pPr>
        <w:spacing w:after="0" w:line="9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“With our impressive fourth quarter growth as our catalyst, we began 2025 with a newly transitioned, in-house sales force,” said Tim Lee, Chief Commercial Officer. “Vulnerable patient populations such as cancer patients, those undergoing or living with an organ transplant, and those who are on immunosuppressive therapies are at risk of the short-term and long-term systemic damage of COVID-19. With hospitalizations and deaths from COVID-19 greater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ind w:right="20"/>
        <w:spacing w:after="0" w:line="241" w:lineRule="auto"/>
        <w:rPr>
          <w:sz w:val="20"/>
          <w:szCs w:val="20"/>
          <w:color w:val="auto"/>
        </w:rPr>
      </w:pPr>
      <w:r>
        <w:rPr>
          <w:rFonts w:ascii="Arial" w:cs="Arial" w:eastAsia="Arial" w:hAnsi="Arial"/>
          <w:sz w:val="20"/>
          <w:szCs w:val="20"/>
          <w:color w:val="auto"/>
        </w:rPr>
        <w:t>influenza and RSV combined, it’s imperative to keep COVID-19 at the forefront of the minds of vulnerable patients and their healthcare providers – including hematologists, transplant physicians, infectious disease clinicians, rheumatologists and primary care doctors.”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PEMGARDA Neutralization Data Updates</w:t>
      </w:r>
    </w:p>
    <w:p>
      <w:pPr>
        <w:spacing w:after="0" w:line="149" w:lineRule="exact"/>
        <w:rPr>
          <w:rFonts w:ascii="Times New Roman" w:cs="Times New Roman" w:eastAsia="Times New Roman" w:hAnsi="Times New Roman"/>
          <w:sz w:val="20"/>
          <w:szCs w:val="20"/>
          <w:color w:val="auto"/>
        </w:rPr>
      </w:pPr>
    </w:p>
    <w:p>
      <w:pPr>
        <w:ind w:left="1540" w:right="220" w:hanging="514"/>
        <w:spacing w:after="0" w:line="234" w:lineRule="auto"/>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neutralization activity of PEMGARDA shown against currently dominant SARS-CoV-2 variants LP.8.1, KP.3.1.1 and XEC, comprising the majority of SARS-CoV-2 variants currently circulating in the U.S. This aligns with Invivyd’s broader clinical and virology data, which have consistently demonstrated structural stability of the targeted epitope of PEMGARDA and prolonged neutralizing activity against contemporary variants.</w:t>
      </w:r>
    </w:p>
    <w:p>
      <w:pPr>
        <w:spacing w:after="0" w:line="10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LP.8.1 in vitro neutralization data provided to the U.S. Food and Drug Administration (FDA)</w:t>
      </w:r>
    </w:p>
    <w:p>
      <w:pPr>
        <w:spacing w:after="0" w:line="13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Regulatory Developments</w:t>
      </w:r>
    </w:p>
    <w:p>
      <w:pPr>
        <w:spacing w:after="0" w:line="149" w:lineRule="exact"/>
        <w:rPr>
          <w:rFonts w:ascii="Times New Roman" w:cs="Times New Roman" w:eastAsia="Times New Roman" w:hAnsi="Times New Roman"/>
          <w:sz w:val="20"/>
          <w:szCs w:val="20"/>
          <w:color w:val="auto"/>
        </w:rPr>
      </w:pPr>
    </w:p>
    <w:p>
      <w:pPr>
        <w:ind w:left="1540" w:right="120" w:hanging="514"/>
        <w:spacing w:after="0" w:line="236" w:lineRule="auto"/>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 February 2025, the FDA declined Invivyd’s request to expand the existing emergency use authorization of PEMGARDA to include treatment of mild-to-moderate COVID-19 for immunocompromised patients who have no alternative therapeutic options. Invivyd has submitted a response requesting that the FDA reconsider and looks forward to meeting to discuss next steps.</w:t>
      </w:r>
    </w:p>
    <w:p>
      <w:pPr>
        <w:spacing w:after="0" w:line="6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Partnership &amp; Awareness Campaigns</w:t>
      </w:r>
    </w:p>
    <w:p>
      <w:pPr>
        <w:spacing w:after="0" w:line="149" w:lineRule="exact"/>
        <w:rPr>
          <w:rFonts w:ascii="Times New Roman" w:cs="Times New Roman" w:eastAsia="Times New Roman" w:hAnsi="Times New Roman"/>
          <w:sz w:val="20"/>
          <w:szCs w:val="20"/>
          <w:color w:val="auto"/>
        </w:rPr>
      </w:pPr>
    </w:p>
    <w:p>
      <w:pPr>
        <w:ind w:left="1540" w:right="320" w:hanging="514"/>
        <w:spacing w:after="0" w:line="256" w:lineRule="auto"/>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announced collaboration with renowned professional football coach Jim Harbaugh to elevate awareness of the ongoing impact of COVID-19 and options available to vulnerable populations.</w:t>
      </w:r>
    </w:p>
    <w:p>
      <w:pPr>
        <w:spacing w:after="0" w:line="4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Manufacturing &amp; Supply</w:t>
      </w:r>
    </w:p>
    <w:p>
      <w:pPr>
        <w:spacing w:after="0" w:line="135"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VYD2311 commercial manufacturing has been substantially completed.</w:t>
      </w:r>
    </w:p>
    <w:p>
      <w:pPr>
        <w:spacing w:after="0" w:line="106"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Minimal manufacturing expenses expected in 2025, contributing to ongoing cost reductions​.</w:t>
      </w:r>
    </w:p>
    <w:p>
      <w:pPr>
        <w:spacing w:after="0" w:line="10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Recent Pipeline Highlights</w:t>
      </w:r>
    </w:p>
    <w:p>
      <w:pPr>
        <w:spacing w:after="0" w:line="149" w:lineRule="exact"/>
        <w:rPr>
          <w:rFonts w:ascii="Times New Roman" w:cs="Times New Roman" w:eastAsia="Times New Roman" w:hAnsi="Times New Roman"/>
          <w:sz w:val="20"/>
          <w:szCs w:val="20"/>
          <w:color w:val="auto"/>
        </w:rPr>
      </w:pPr>
    </w:p>
    <w:p>
      <w:pPr>
        <w:ind w:left="1540" w:right="620" w:hanging="514"/>
        <w:spacing w:after="0" w:line="256" w:lineRule="auto"/>
        <w:tabs>
          <w:tab w:leader="none" w:pos="15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Positive Phase 1 clinical data announced in February 2025 for VYD2311, a next-generation monoclonal antibody for COVID-19</w:t>
      </w:r>
    </w:p>
    <w:p>
      <w:pPr>
        <w:spacing w:after="0" w:line="48" w:lineRule="exact"/>
        <w:rPr>
          <w:rFonts w:ascii="Times New Roman" w:cs="Times New Roman" w:eastAsia="Times New Roman" w:hAnsi="Times New Roman"/>
          <w:sz w:val="20"/>
          <w:szCs w:val="20"/>
          <w:color w:val="auto"/>
        </w:rPr>
      </w:pPr>
    </w:p>
    <w:p>
      <w:pPr>
        <w:ind w:left="2040" w:right="60" w:hanging="505"/>
        <w:spacing w:after="0" w:line="241" w:lineRule="auto"/>
        <w:tabs>
          <w:tab w:leader="none" w:pos="20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Phase 1 clinical data, combined with antiviral assessment and COVID-19 antiviral correlate of protection data, including Invivyd's Phase 3 CANOPY clinical trial data for pemivibart, support a potentially attractive clinical profile for VYD2311.</w:t>
      </w:r>
    </w:p>
    <w:p>
      <w:pPr>
        <w:spacing w:after="0" w:line="62" w:lineRule="exact"/>
        <w:rPr>
          <w:rFonts w:ascii="Times New Roman" w:cs="Times New Roman" w:eastAsia="Times New Roman" w:hAnsi="Times New Roman"/>
          <w:sz w:val="20"/>
          <w:szCs w:val="20"/>
          <w:color w:val="auto"/>
        </w:rPr>
      </w:pPr>
    </w:p>
    <w:p>
      <w:pPr>
        <w:ind w:left="2040" w:hanging="505"/>
        <w:spacing w:after="0" w:line="256" w:lineRule="auto"/>
        <w:tabs>
          <w:tab w:leader="none" w:pos="2040" w:val="left"/>
        </w:tabs>
        <w:numPr>
          <w:ilvl w:val="2"/>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VYD2311 pooled, blinded adverse events were mild or moderate and thus far deemed unrelated to study drug or largely related to injection site reaction or infusion reactions.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5" w:name="page6"/>
    <w:bookmarkEnd w:id="5"/>
    <w:p>
      <w:pPr>
        <w:spacing w:after="0" w:line="82" w:lineRule="exact"/>
        <w:rPr>
          <w:sz w:val="20"/>
          <w:szCs w:val="20"/>
          <w:color w:val="auto"/>
        </w:rPr>
      </w:pPr>
    </w:p>
    <w:p>
      <w:pPr>
        <w:ind w:left="1540" w:right="260" w:hanging="514"/>
        <w:spacing w:after="0" w:line="241" w:lineRule="auto"/>
        <w:tabs>
          <w:tab w:leader="none" w:pos="15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February 2025, the company announced that in vitro neutralization potency of VYD2311 assessed across contemporary SARS-CoV-2 variants tested showed an average 17-fold greater neutralization potency than pemivibart.</w:t>
      </w:r>
    </w:p>
    <w:p>
      <w:pPr>
        <w:spacing w:after="0" w:line="62" w:lineRule="exact"/>
        <w:rPr>
          <w:rFonts w:ascii="Times New Roman" w:cs="Times New Roman" w:eastAsia="Times New Roman" w:hAnsi="Times New Roman"/>
          <w:sz w:val="20"/>
          <w:szCs w:val="20"/>
          <w:color w:val="auto"/>
        </w:rPr>
      </w:pPr>
    </w:p>
    <w:p>
      <w:pPr>
        <w:ind w:left="2040" w:right="40" w:hanging="505"/>
        <w:spacing w:after="0" w:line="260" w:lineRule="auto"/>
        <w:tabs>
          <w:tab w:leader="none" w:pos="204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VYD2311 has also demonstrated stable epitope and clinically meaningful in vitro neutralization against LP.8.1 providing further validation of the company’s integrated technology platform’s potential to produce monoclonal antibodies with broad and durable viral protection along with improved drug properties.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Full-Year 2024 Financial Results</w:t>
      </w:r>
    </w:p>
    <w:p>
      <w:pPr>
        <w:spacing w:after="0" w:line="121" w:lineRule="exact"/>
        <w:rPr>
          <w:sz w:val="20"/>
          <w:szCs w:val="20"/>
          <w:color w:val="auto"/>
        </w:rPr>
      </w:pPr>
    </w:p>
    <w:p>
      <w:pPr>
        <w:ind w:left="760" w:right="240" w:hanging="378"/>
        <w:spacing w:after="0" w:line="285" w:lineRule="auto"/>
        <w:tabs>
          <w:tab w:leader="none" w:pos="76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Reported full year 2024 net product revenue of PEMGARDA of $25.4 million. Reported $13.8 million of net</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revenue of PEMGARDA in Q4 2024, marking a 48% increase when compared to $9.3 million in Q3 2024.</w:t>
      </w:r>
    </w:p>
    <w:p>
      <w:pPr>
        <w:spacing w:after="0" w:line="60"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were $69.3 million as of December 31, 2024.</w:t>
      </w:r>
    </w:p>
    <w:p>
      <w:pPr>
        <w:spacing w:after="0" w:line="147" w:lineRule="exact"/>
        <w:rPr>
          <w:rFonts w:ascii="Times New Roman" w:cs="Times New Roman" w:eastAsia="Times New Roman" w:hAnsi="Times New Roman"/>
          <w:sz w:val="20"/>
          <w:szCs w:val="20"/>
          <w:color w:val="auto"/>
        </w:rPr>
      </w:pPr>
    </w:p>
    <w:p>
      <w:pPr>
        <w:ind w:left="760" w:right="240" w:hanging="378"/>
        <w:spacing w:after="0" w:line="237"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Research &amp; Development (R&amp;D) Expenses</w:t>
      </w:r>
      <w:r>
        <w:rPr>
          <w:rFonts w:ascii="Arial" w:cs="Arial" w:eastAsia="Arial" w:hAnsi="Arial"/>
          <w:sz w:val="20"/>
          <w:szCs w:val="20"/>
          <w:color w:val="auto"/>
        </w:rPr>
        <w:t>: R&amp;D expenses were $137.3 million for the year ended December 31,</w:t>
      </w:r>
      <w:r>
        <w:rPr>
          <w:rFonts w:ascii="Arial" w:cs="Arial" w:eastAsia="Arial" w:hAnsi="Arial"/>
          <w:sz w:val="20"/>
          <w:szCs w:val="20"/>
          <w:b w:val="1"/>
          <w:bCs w:val="1"/>
          <w:color w:val="auto"/>
        </w:rPr>
        <w:t xml:space="preserve"> </w:t>
      </w:r>
      <w:r>
        <w:rPr>
          <w:rFonts w:ascii="Arial" w:cs="Arial" w:eastAsia="Arial" w:hAnsi="Arial"/>
          <w:sz w:val="20"/>
          <w:szCs w:val="20"/>
          <w:color w:val="auto"/>
        </w:rPr>
        <w:t>2024, compared to $163.6 million (inclusive of in-process R&amp;D) for the comparable period in 2023. This decrease is primarily attributable to lower personnel costs and commercial manufacturing costs of PEMGARDA, partially offset by commercial manufacturing costs of VYD2311 in 2024.</w:t>
      </w:r>
    </w:p>
    <w:p>
      <w:pPr>
        <w:spacing w:after="0" w:line="89" w:lineRule="exact"/>
        <w:rPr>
          <w:rFonts w:ascii="Times New Roman" w:cs="Times New Roman" w:eastAsia="Times New Roman" w:hAnsi="Times New Roman"/>
          <w:sz w:val="20"/>
          <w:szCs w:val="20"/>
          <w:color w:val="auto"/>
        </w:rPr>
      </w:pPr>
    </w:p>
    <w:p>
      <w:pPr>
        <w:ind w:left="760" w:right="40" w:hanging="378"/>
        <w:spacing w:after="0" w:line="242"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Selling, General &amp; Administrative (SG&amp;A) Expenses: </w:t>
      </w:r>
      <w:r>
        <w:rPr>
          <w:rFonts w:ascii="Arial" w:cs="Arial" w:eastAsia="Arial" w:hAnsi="Arial"/>
          <w:sz w:val="20"/>
          <w:szCs w:val="20"/>
          <w:color w:val="auto"/>
        </w:rPr>
        <w:t>SG&amp;A expenses were $63.4 million for the year ended</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2024, compared to $49.1 million for the comparable period in 2023. This increase is primarily attributable to an increase in personnel costs and costs associated with commercialization of PEMGARDA.</w:t>
      </w:r>
    </w:p>
    <w:p>
      <w:pPr>
        <w:spacing w:after="0" w:line="99" w:lineRule="exact"/>
        <w:rPr>
          <w:rFonts w:ascii="Times New Roman" w:cs="Times New Roman" w:eastAsia="Times New Roman" w:hAnsi="Times New Roman"/>
          <w:sz w:val="20"/>
          <w:szCs w:val="20"/>
          <w:color w:val="auto"/>
        </w:rPr>
      </w:pPr>
    </w:p>
    <w:p>
      <w:pPr>
        <w:ind w:left="760" w:right="200" w:hanging="378"/>
        <w:spacing w:after="0" w:line="242"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and Net Loss per Share: </w:t>
      </w:r>
      <w:r>
        <w:rPr>
          <w:rFonts w:ascii="Arial" w:cs="Arial" w:eastAsia="Arial" w:hAnsi="Arial"/>
          <w:sz w:val="20"/>
          <w:szCs w:val="20"/>
          <w:color w:val="auto"/>
        </w:rPr>
        <w:t>Net loss was $169.9 million for the year ended December 31, 2024,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$198.6 million for the comparable period in 2023. Basic and diluted net loss per share was $1.43 for the year ended December 31, 2024, compared to $1.81 for the comparable period in 2023.</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PEMGARDA</w:t>
      </w:r>
    </w:p>
    <w:p>
      <w:pPr>
        <w:spacing w:after="0" w:line="123"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360"/>
        <w:spacing w:after="0" w:line="241" w:lineRule="auto"/>
        <w:rPr>
          <w:sz w:val="20"/>
          <w:szCs w:val="20"/>
          <w:color w:val="auto"/>
        </w:rPr>
      </w:pPr>
      <w:r>
        <w:rPr>
          <w:rFonts w:ascii="Arial" w:cs="Arial" w:eastAsia="Arial" w:hAnsi="Arial"/>
          <w:sz w:val="20"/>
          <w:szCs w:val="20"/>
          <w:color w:val="auto"/>
        </w:rPr>
        <w:t>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86"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95"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05"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1181735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VYD2311</w:t>
      </w:r>
    </w:p>
    <w:p>
      <w:pPr>
        <w:spacing w:after="0" w:line="137"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91"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137"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Trademarks are the property of their respective owners.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 Looking Statements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goal of near-term profitability; the company’s expectations regarding anticipated net product revenue growth and continued reduction of manufacturing expenses; the future of the COVID-19 landscape and potential impact of COVID-19 on certain patients; the company’s plans to raise further awareness of PEMGARDA in the healthcare community; the company’s ongoing research and development activities, as well as future potential research and development efforts; the ongoing in vitro neutralizing activity of PEMGARDA and VYD2311 against dominant SARS-CoV-2 variants; the potential of PEMGARDA as a mAb for pre-exposure prophylaxis (prevention) of COVID-19 in certain adults and adolescents who have moderate-to-severe immune compromise; the company’s expectations regarding engagement with the FDA; the potential of VYD2311 as a novel mAb candidate that may be 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spacing w:after="0" w:line="226" w:lineRule="auto"/>
        <w:rPr>
          <w:sz w:val="20"/>
          <w:szCs w:val="20"/>
          <w:color w:val="auto"/>
        </w:rPr>
      </w:pPr>
      <w:r>
        <w:rPr>
          <w:rFonts w:ascii="Arial" w:cs="Arial" w:eastAsia="Arial" w:hAnsi="Arial"/>
          <w:sz w:val="20"/>
          <w:szCs w:val="20"/>
          <w:color w:val="auto"/>
        </w:rPr>
        <w:t>deliver clinically meaningful titer levels through more patient-friendly means;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and reimbursement, or future revenue generated by PEMGARDA; how long the EUA granted by the FDA for PEMGARDA will remain in effect and whether the EUA is revised or revoked by the FDA; the ability to maintain a continued acceptable safety, tolerability and efficacy profile of any product candidate following regulatory authorization or approval; the success of the company’s in-house sales force, and company’s ability to maintain and expand sales, marketing and distribution capabilities to successfully commercialize PEMGARDA; changes in expected or existing competition; changes in the regulatory environment; the outcome of the company’s engagement with regulators; uncertainties related to the regulatory authorization or approval process, and available development and regulatory pathways; the timing, progress and results of the company’s discovery, preclinical and clinical development activities; unexpected safety or efficacy data observed during preclinical studies or clinical trials;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potential variability in neutralizing activity of product candidates tested in different assays, such as pseudovirus assays and authentic assays; variability of results in models and methods used to predict activity against SARS-CoV-2 variants; whether the epitope that pemivibart and VYD2311 targets remains structurally intact; whether the company’s product candidates are able to demonstrate and sustain neutralizing activity against major SARS-CoV-2 variants, particularly in the face of viral evolution; whether the company’s integrated technology platform is able to produce mAbs with broad and durable viral protection along with improved drug properties; the company’s reliance on third parties; clinical trial site activation or enrollment rates; the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filed with the Securities and Exchange Commission (SEC), and in the company’s other filings with the SEC, and in its future reports to be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9" w:name="page10"/>
    <w:bookmarkEnd w:id="9"/>
    <w:p>
      <w:pPr>
        <w:spacing w:after="0" w:line="241" w:lineRule="auto"/>
        <w:rPr>
          <w:sz w:val="20"/>
          <w:szCs w:val="20"/>
          <w:color w:val="auto"/>
        </w:rPr>
      </w:pPr>
      <w:r>
        <w:rPr>
          <w:rFonts w:ascii="Arial" w:cs="Arial" w:eastAsia="Arial" w:hAnsi="Arial"/>
          <w:sz w:val="20"/>
          <w:szCs w:val="20"/>
          <w:color w:val="auto"/>
        </w:rPr>
        <w:t>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ind w:right="9440" w:firstLine="8"/>
        <w:spacing w:after="0" w:line="264"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208-1747 media@invivyd.com</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9180" w:firstLine="8"/>
        <w:spacing w:after="0" w:line="264" w:lineRule="auto"/>
        <w:tabs>
          <w:tab w:leader="none" w:pos="517" w:val="left"/>
        </w:tabs>
        <w:numPr>
          <w:ilvl w:val="0"/>
          <w:numId w:val="7"/>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1630045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10" w:name="page11"/>
    <w:bookmarkEnd w:id="10"/>
    <w:p>
      <w:pPr>
        <w:jc w:val="center"/>
        <w:ind w:right="60"/>
        <w:spacing w:after="0"/>
        <w:rPr>
          <w:sz w:val="20"/>
          <w:szCs w:val="20"/>
          <w:color w:val="auto"/>
        </w:rPr>
      </w:pPr>
      <w:r>
        <w:rPr>
          <w:rFonts w:ascii="Arial" w:cs="Arial" w:eastAsia="Arial" w:hAnsi="Arial"/>
          <w:sz w:val="19"/>
          <w:szCs w:val="19"/>
          <w:b w:val="1"/>
          <w:bCs w:val="1"/>
          <w:color w:val="auto"/>
        </w:rPr>
        <w:t>INVIVYD, INC.</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CONDENSED CONSOLIDATED BALANCE SHEETS</w:t>
      </w:r>
    </w:p>
    <w:p>
      <w:pPr>
        <w:jc w:val="center"/>
        <w:ind w:right="20"/>
        <w:spacing w:after="0" w:line="237" w:lineRule="auto"/>
        <w:rPr>
          <w:sz w:val="20"/>
          <w:szCs w:val="20"/>
          <w:color w:val="auto"/>
        </w:rPr>
      </w:pPr>
      <w:r>
        <w:rPr>
          <w:rFonts w:ascii="Arial" w:cs="Arial" w:eastAsia="Arial" w:hAnsi="Arial"/>
          <w:sz w:val="19"/>
          <w:szCs w:val="19"/>
          <w:b w:val="1"/>
          <w:bCs w:val="1"/>
          <w:color w:val="auto"/>
        </w:rPr>
        <w:t>(UNAUDITED)</w:t>
      </w: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100"/>
          </w:cols>
          <w:pgMar w:left="400" w:top="14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Inventory, net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200" w:type="dxa"/>
            <w:vAlign w:val="bottom"/>
          </w:tcPr>
          <w:p>
            <w:pPr>
              <w:spacing w:after="0"/>
              <w:rPr>
                <w:sz w:val="19"/>
                <w:szCs w:val="19"/>
                <w:color w:val="auto"/>
              </w:rPr>
            </w:pPr>
          </w:p>
        </w:tc>
        <w:tc>
          <w:tcPr>
            <w:tcW w:w="14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34"/>
        </w:trPr>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761"/>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69,349</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200,641</w:t>
            </w:r>
          </w:p>
        </w:tc>
      </w:tr>
      <w:tr>
        <w:trPr>
          <w:trHeight w:val="243"/>
        </w:trPr>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10,906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24,240</w:t>
            </w:r>
          </w:p>
        </w:tc>
      </w:tr>
      <w:tr>
        <w:trPr>
          <w:trHeight w:val="248"/>
        </w:trPr>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100,681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224,881</w:t>
            </w:r>
          </w:p>
        </w:tc>
      </w:tr>
      <w:tr>
        <w:trPr>
          <w:trHeight w:val="257"/>
        </w:trPr>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25,907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57"/>
        </w:trPr>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2,229</w:t>
            </w:r>
          </w:p>
        </w:tc>
      </w:tr>
      <w:tr>
        <w:trPr>
          <w:trHeight w:val="218"/>
        </w:trPr>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21"/>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129,515</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229,181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-1729740</wp:posOffset>
            </wp:positionV>
            <wp:extent cx="705485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-1412240</wp:posOffset>
            </wp:positionV>
            <wp:extent cx="705485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-777875</wp:posOffset>
            </wp:positionV>
            <wp:extent cx="705485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16256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-461010</wp:posOffset>
            </wp:positionV>
            <wp:extent cx="70548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-1095375</wp:posOffset>
            </wp:positionV>
            <wp:extent cx="70548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-144145</wp:posOffset>
            </wp:positionV>
            <wp:extent cx="705485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6700" w:space="720"/>
            <w:col w:w="3680"/>
          </w:cols>
          <w:pgMar w:left="400" w:top="1422"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Liabilities, Preferred Stock and Stockholders’ Equity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05485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6256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54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10,448</w:t>
            </w: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4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AEDFB"/>
            </w:tcBorders>
            <w:shd w:val="clear" w:color="auto" w:fill="CAEDFB"/>
          </w:tcPr>
          <w:p>
            <w:pPr>
              <w:ind w:left="140"/>
              <w:spacing w:after="0" w:line="216" w:lineRule="exact"/>
              <w:rPr>
                <w:sz w:val="20"/>
                <w:szCs w:val="20"/>
                <w:color w:val="auto"/>
              </w:rPr>
            </w:pPr>
            <w:r>
              <w:rPr>
                <w:rFonts w:ascii="Arial" w:cs="Arial" w:eastAsia="Arial" w:hAnsi="Arial"/>
                <w:sz w:val="16"/>
                <w:szCs w:val="16"/>
                <w:color w:val="auto"/>
              </w:rPr>
              <w:t>Accrued expenses</w:t>
            </w:r>
            <w:r>
              <w:rPr>
                <w:rFonts w:ascii="Arial" w:cs="Arial" w:eastAsia="Arial" w:hAnsi="Arial"/>
                <w:sz w:val="21"/>
                <w:szCs w:val="21"/>
                <w:color w:val="auto"/>
                <w:vertAlign w:val="superscript"/>
              </w:rPr>
              <w:t>(1)</w:t>
            </w:r>
          </w:p>
        </w:tc>
        <w:tc>
          <w:tcPr>
            <w:tcW w:w="54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50,197</w:t>
            </w:r>
          </w:p>
        </w:tc>
        <w:tc>
          <w:tcPr>
            <w:tcW w:w="220" w:type="dxa"/>
            <w:vAlign w:val="bottom"/>
            <w:tcBorders>
              <w:bottom w:val="single" w:sz="8" w:color="CAEDFB"/>
            </w:tcBorders>
            <w:shd w:val="clear" w:color="auto" w:fill="CAEDFB"/>
          </w:tcPr>
          <w:p>
            <w:pPr>
              <w:spacing w:after="0"/>
              <w:rPr>
                <w:sz w:val="20"/>
                <w:szCs w:val="20"/>
                <w:color w:val="auto"/>
              </w:rPr>
            </w:pPr>
          </w:p>
        </w:tc>
        <w:tc>
          <w:tcPr>
            <w:tcW w:w="52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40,860</w:t>
            </w:r>
          </w:p>
        </w:tc>
        <w:tc>
          <w:tcPr>
            <w:tcW w:w="120" w:type="dxa"/>
            <w:vAlign w:val="bottom"/>
            <w:tcBorders>
              <w:bottom w:val="single" w:sz="8" w:color="CAEDFB"/>
            </w:tcBorders>
            <w:shd w:val="clear" w:color="auto" w:fill="CAEDF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140"/>
              <w:spacing w:after="0"/>
              <w:rPr>
                <w:sz w:val="20"/>
                <w:szCs w:val="20"/>
                <w:color w:val="auto"/>
              </w:rPr>
            </w:pPr>
            <w:r>
              <w:rPr>
                <w:rFonts w:ascii="Arial" w:cs="Arial" w:eastAsia="Arial" w:hAnsi="Arial"/>
                <w:sz w:val="16"/>
                <w:szCs w:val="16"/>
                <w:color w:val="auto"/>
              </w:rPr>
              <w:t>Operating lease liabilities, current</w:t>
            </w: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1,304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420" w:type="dxa"/>
            <w:vAlign w:val="bottom"/>
            <w:tcBorders>
              <w:bottom w:val="single" w:sz="8" w:color="CAEDFB"/>
            </w:tcBorders>
            <w:shd w:val="clear" w:color="auto" w:fill="CAEDFB"/>
          </w:tcPr>
          <w:p>
            <w:pPr>
              <w:ind w:left="140"/>
              <w:spacing w:after="0"/>
              <w:rPr>
                <w:sz w:val="20"/>
                <w:szCs w:val="20"/>
                <w:color w:val="auto"/>
              </w:rPr>
            </w:pPr>
            <w:r>
              <w:rPr>
                <w:rFonts w:ascii="Arial" w:cs="Arial" w:eastAsia="Arial" w:hAnsi="Arial"/>
                <w:sz w:val="16"/>
                <w:szCs w:val="16"/>
                <w:color w:val="auto"/>
              </w:rPr>
              <w:t>Other current liability</w:t>
            </w:r>
          </w:p>
        </w:tc>
        <w:tc>
          <w:tcPr>
            <w:tcW w:w="540" w:type="dxa"/>
            <w:vAlign w:val="bottom"/>
            <w:tcBorders>
              <w:bottom w:val="single" w:sz="8" w:color="CAEDFB"/>
            </w:tcBorders>
            <w:shd w:val="clear" w:color="auto" w:fill="CAEDFB"/>
          </w:tcPr>
          <w:p>
            <w:pPr>
              <w:spacing w:after="0"/>
              <w:rPr>
                <w:sz w:val="21"/>
                <w:szCs w:val="21"/>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AEDFB"/>
            </w:tcBorders>
            <w:shd w:val="clear" w:color="auto" w:fill="CAEDFB"/>
          </w:tcPr>
          <w:p>
            <w:pPr>
              <w:spacing w:after="0"/>
              <w:rPr>
                <w:sz w:val="21"/>
                <w:szCs w:val="21"/>
                <w:color w:val="auto"/>
              </w:rPr>
            </w:pPr>
          </w:p>
        </w:tc>
        <w:tc>
          <w:tcPr>
            <w:tcW w:w="520" w:type="dxa"/>
            <w:vAlign w:val="bottom"/>
            <w:tcBorders>
              <w:bottom w:val="single" w:sz="8" w:color="CAEDFB"/>
            </w:tcBorders>
            <w:shd w:val="clear" w:color="auto" w:fill="CAEDFB"/>
          </w:tcPr>
          <w:p>
            <w:pPr>
              <w:spacing w:after="0"/>
              <w:rPr>
                <w:sz w:val="21"/>
                <w:szCs w:val="21"/>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AEDFB"/>
            </w:tcBorders>
            <w:shd w:val="clear" w:color="auto" w:fill="CAEDF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AEDFB"/>
            </w:tcBorders>
          </w:tcPr>
          <w:p>
            <w:pPr>
              <w:ind w:left="28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61,976</w:t>
            </w:r>
          </w:p>
        </w:tc>
        <w:tc>
          <w:tcPr>
            <w:tcW w:w="220" w:type="dxa"/>
            <w:vAlign w:val="bottom"/>
            <w:tcBorders>
              <w:top w:val="single" w:sz="8" w:color="CAEDFB"/>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50,291</w:t>
            </w:r>
          </w:p>
        </w:tc>
        <w:tc>
          <w:tcPr>
            <w:tcW w:w="120" w:type="dxa"/>
            <w:vAlign w:val="bottom"/>
            <w:tcBorders>
              <w:top w:val="single" w:sz="8" w:color="CAEDF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AEDFB"/>
            </w:tcBorders>
            <w:shd w:val="clear" w:color="auto" w:fill="CAEDFB"/>
          </w:tcPr>
          <w:p>
            <w:pPr>
              <w:spacing w:after="0"/>
              <w:rPr>
                <w:sz w:val="20"/>
                <w:szCs w:val="20"/>
                <w:color w:val="auto"/>
              </w:rPr>
            </w:pPr>
            <w:r>
              <w:rPr>
                <w:rFonts w:ascii="Arial" w:cs="Arial" w:eastAsia="Arial" w:hAnsi="Arial"/>
                <w:sz w:val="16"/>
                <w:szCs w:val="16"/>
                <w:color w:val="auto"/>
              </w:rPr>
              <w:t>Operating lease liabilities, non-current</w:t>
            </w:r>
          </w:p>
        </w:tc>
        <w:tc>
          <w:tcPr>
            <w:tcW w:w="54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AEDFB"/>
            </w:tcBorders>
            <w:shd w:val="clear" w:color="auto" w:fill="CAEDFB"/>
          </w:tcPr>
          <w:p>
            <w:pPr>
              <w:spacing w:after="0"/>
              <w:rPr>
                <w:sz w:val="20"/>
                <w:szCs w:val="20"/>
                <w:color w:val="auto"/>
              </w:rPr>
            </w:pPr>
          </w:p>
        </w:tc>
        <w:tc>
          <w:tcPr>
            <w:tcW w:w="52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AEDFB"/>
            </w:tcBorders>
            <w:shd w:val="clear" w:color="auto" w:fill="CAEDF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line="230" w:lineRule="exact"/>
              <w:rPr>
                <w:sz w:val="20"/>
                <w:szCs w:val="20"/>
                <w:color w:val="auto"/>
              </w:rPr>
            </w:pPr>
            <w:r>
              <w:rPr>
                <w:rFonts w:ascii="Arial" w:cs="Arial" w:eastAsia="Arial" w:hAnsi="Arial"/>
                <w:sz w:val="16"/>
                <w:szCs w:val="16"/>
                <w:color w:val="auto"/>
              </w:rPr>
              <w:t>Other non-current liability</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420" w:type="dxa"/>
            <w:vAlign w:val="bottom"/>
            <w:tcBorders>
              <w:bottom w:val="single" w:sz="8" w:color="CAEDFB"/>
            </w:tcBorders>
            <w:shd w:val="clear" w:color="auto" w:fill="CAEDFB"/>
          </w:tcPr>
          <w:p>
            <w:pPr>
              <w:ind w:left="28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61,976</w:t>
            </w:r>
          </w:p>
        </w:tc>
        <w:tc>
          <w:tcPr>
            <w:tcW w:w="220" w:type="dxa"/>
            <w:vAlign w:val="bottom"/>
            <w:tcBorders>
              <w:bottom w:val="single" w:sz="8" w:color="CAEDFB"/>
            </w:tcBorders>
            <w:shd w:val="clear" w:color="auto" w:fill="CAEDFB"/>
          </w:tcPr>
          <w:p>
            <w:pPr>
              <w:spacing w:after="0"/>
              <w:rPr>
                <w:sz w:val="20"/>
                <w:szCs w:val="20"/>
                <w:color w:val="auto"/>
              </w:rPr>
            </w:pPr>
          </w:p>
        </w:tc>
        <w:tc>
          <w:tcPr>
            <w:tcW w:w="52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51,713</w:t>
            </w:r>
          </w:p>
        </w:tc>
        <w:tc>
          <w:tcPr>
            <w:tcW w:w="120" w:type="dxa"/>
            <w:vAlign w:val="bottom"/>
            <w:tcBorders>
              <w:bottom w:val="single" w:sz="8" w:color="CAEDFB"/>
            </w:tcBorders>
            <w:shd w:val="clear" w:color="auto" w:fill="CAEDFB"/>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20" w:type="dxa"/>
            <w:vAlign w:val="bottom"/>
            <w:tcBorders>
              <w:top w:val="single" w:sz="8" w:color="CAEDFB"/>
            </w:tcBorders>
          </w:tcPr>
          <w:p>
            <w:pPr>
              <w:spacing w:after="0"/>
              <w:rPr>
                <w:sz w:val="20"/>
                <w:szCs w:val="20"/>
                <w:color w:val="auto"/>
              </w:rPr>
            </w:pPr>
            <w:r>
              <w:rPr>
                <w:rFonts w:ascii="Arial" w:cs="Arial" w:eastAsia="Arial" w:hAnsi="Arial"/>
                <w:sz w:val="16"/>
                <w:szCs w:val="16"/>
                <w:color w:val="auto"/>
              </w:rPr>
              <w:t>Commitments and contingencies</w:t>
            </w: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AEDFB"/>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AEDFB"/>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AEDFB"/>
            </w:tcBorders>
            <w:shd w:val="clear" w:color="auto" w:fill="CAEDFB"/>
          </w:tcPr>
          <w:p>
            <w:pPr>
              <w:spacing w:after="0"/>
              <w:rPr>
                <w:sz w:val="20"/>
                <w:szCs w:val="20"/>
                <w:color w:val="auto"/>
              </w:rPr>
            </w:pPr>
            <w:r>
              <w:rPr>
                <w:rFonts w:ascii="Arial" w:cs="Arial" w:eastAsia="Arial" w:hAnsi="Arial"/>
                <w:sz w:val="16"/>
                <w:szCs w:val="16"/>
                <w:color w:val="auto"/>
              </w:rPr>
              <w:t>Stockholders’ equity (deficit):</w:t>
            </w:r>
          </w:p>
        </w:tc>
        <w:tc>
          <w:tcPr>
            <w:tcW w:w="54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spacing w:after="0"/>
              <w:rPr>
                <w:sz w:val="20"/>
                <w:szCs w:val="20"/>
                <w:color w:val="auto"/>
              </w:rPr>
            </w:pPr>
          </w:p>
        </w:tc>
        <w:tc>
          <w:tcPr>
            <w:tcW w:w="220" w:type="dxa"/>
            <w:vAlign w:val="bottom"/>
            <w:tcBorders>
              <w:bottom w:val="single" w:sz="8" w:color="CAEDFB"/>
            </w:tcBorders>
            <w:shd w:val="clear" w:color="auto" w:fill="CAEDFB"/>
          </w:tcPr>
          <w:p>
            <w:pPr>
              <w:spacing w:after="0"/>
              <w:rPr>
                <w:sz w:val="20"/>
                <w:szCs w:val="20"/>
                <w:color w:val="auto"/>
              </w:rPr>
            </w:pPr>
          </w:p>
        </w:tc>
        <w:tc>
          <w:tcPr>
            <w:tcW w:w="520" w:type="dxa"/>
            <w:vAlign w:val="bottom"/>
            <w:tcBorders>
              <w:bottom w:val="single" w:sz="8" w:color="CAEDFB"/>
            </w:tcBorders>
            <w:shd w:val="clear" w:color="auto" w:fill="CAEDFB"/>
          </w:tcPr>
          <w:p>
            <w:pPr>
              <w:spacing w:after="0"/>
              <w:rPr>
                <w:sz w:val="20"/>
                <w:szCs w:val="20"/>
                <w:color w:val="auto"/>
              </w:rPr>
            </w:pPr>
          </w:p>
        </w:tc>
        <w:tc>
          <w:tcPr>
            <w:tcW w:w="114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360"/>
              <w:spacing w:after="0" w:line="175" w:lineRule="exact"/>
              <w:rPr>
                <w:sz w:val="20"/>
                <w:szCs w:val="20"/>
                <w:color w:val="auto"/>
              </w:rPr>
            </w:pPr>
            <w:r>
              <w:rPr>
                <w:rFonts w:ascii="Arial" w:cs="Arial" w:eastAsia="Arial" w:hAnsi="Arial"/>
                <w:sz w:val="16"/>
                <w:szCs w:val="16"/>
                <w:color w:val="auto"/>
              </w:rPr>
              <w:t>Preferred stock (undesignated), $0.0001 par value; 10,000,000 shares</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20" w:type="dxa"/>
            <w:vAlign w:val="bottom"/>
          </w:tcPr>
          <w:p>
            <w:pPr>
              <w:ind w:left="500"/>
              <w:spacing w:after="0"/>
              <w:rPr>
                <w:sz w:val="20"/>
                <w:szCs w:val="20"/>
                <w:color w:val="auto"/>
              </w:rPr>
            </w:pPr>
            <w:r>
              <w:rPr>
                <w:rFonts w:ascii="Arial" w:cs="Arial" w:eastAsia="Arial" w:hAnsi="Arial"/>
                <w:sz w:val="16"/>
                <w:szCs w:val="16"/>
                <w:color w:val="auto"/>
              </w:rPr>
              <w:t>authorized and no shares issued and outstanding at December 31, 2024 and December 31,</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7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shd w:val="clear" w:color="auto" w:fill="CAEDFB"/>
          </w:tcPr>
          <w:p>
            <w:pPr>
              <w:ind w:left="360"/>
              <w:spacing w:after="0" w:line="175" w:lineRule="exact"/>
              <w:rPr>
                <w:sz w:val="20"/>
                <w:szCs w:val="20"/>
                <w:color w:val="auto"/>
              </w:rPr>
            </w:pPr>
            <w:r>
              <w:rPr>
                <w:rFonts w:ascii="Arial" w:cs="Arial" w:eastAsia="Arial" w:hAnsi="Arial"/>
                <w:sz w:val="16"/>
                <w:szCs w:val="16"/>
                <w:color w:val="auto"/>
              </w:rPr>
              <w:t>Common stock, $0.0001 par value; 1,000,000,000 shares authorized,</w:t>
            </w:r>
          </w:p>
        </w:tc>
        <w:tc>
          <w:tcPr>
            <w:tcW w:w="540" w:type="dxa"/>
            <w:vAlign w:val="bottom"/>
            <w:shd w:val="clear" w:color="auto" w:fill="CAEDFB"/>
          </w:tcPr>
          <w:p>
            <w:pPr>
              <w:spacing w:after="0"/>
              <w:rPr>
                <w:sz w:val="15"/>
                <w:szCs w:val="15"/>
                <w:color w:val="auto"/>
              </w:rPr>
            </w:pPr>
          </w:p>
        </w:tc>
        <w:tc>
          <w:tcPr>
            <w:tcW w:w="114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520" w:type="dxa"/>
            <w:vAlign w:val="bottom"/>
            <w:shd w:val="clear" w:color="auto" w:fill="CAEDFB"/>
          </w:tcPr>
          <w:p>
            <w:pPr>
              <w:spacing w:after="0"/>
              <w:rPr>
                <w:sz w:val="15"/>
                <w:szCs w:val="15"/>
                <w:color w:val="auto"/>
              </w:rPr>
            </w:pPr>
          </w:p>
        </w:tc>
        <w:tc>
          <w:tcPr>
            <w:tcW w:w="1140" w:type="dxa"/>
            <w:vAlign w:val="bottom"/>
            <w:shd w:val="clear" w:color="auto" w:fill="CAEDFB"/>
          </w:tcPr>
          <w:p>
            <w:pPr>
              <w:spacing w:after="0"/>
              <w:rPr>
                <w:sz w:val="15"/>
                <w:szCs w:val="15"/>
                <w:color w:val="auto"/>
              </w:rPr>
            </w:pPr>
          </w:p>
        </w:tc>
        <w:tc>
          <w:tcPr>
            <w:tcW w:w="120" w:type="dxa"/>
            <w:vAlign w:val="bottom"/>
            <w:shd w:val="clear" w:color="auto" w:fill="CAEDF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AEDFB"/>
          </w:tcPr>
          <w:p>
            <w:pPr>
              <w:ind w:left="500"/>
              <w:spacing w:after="0"/>
              <w:rPr>
                <w:sz w:val="20"/>
                <w:szCs w:val="20"/>
                <w:color w:val="auto"/>
              </w:rPr>
            </w:pPr>
            <w:r>
              <w:rPr>
                <w:rFonts w:ascii="Arial" w:cs="Arial" w:eastAsia="Arial" w:hAnsi="Arial"/>
                <w:sz w:val="16"/>
                <w:szCs w:val="16"/>
                <w:color w:val="auto"/>
              </w:rPr>
              <w:t>119,835,162 shares issued and outstanding at December 31, 2024;</w:t>
            </w:r>
          </w:p>
        </w:tc>
        <w:tc>
          <w:tcPr>
            <w:tcW w:w="540" w:type="dxa"/>
            <w:vAlign w:val="bottom"/>
            <w:shd w:val="clear" w:color="auto" w:fill="CAEDFB"/>
          </w:tcPr>
          <w:p>
            <w:pPr>
              <w:spacing w:after="0"/>
              <w:rPr>
                <w:sz w:val="16"/>
                <w:szCs w:val="16"/>
                <w:color w:val="auto"/>
              </w:rPr>
            </w:pPr>
          </w:p>
        </w:tc>
        <w:tc>
          <w:tcPr>
            <w:tcW w:w="1140" w:type="dxa"/>
            <w:vAlign w:val="bottom"/>
            <w:shd w:val="clear" w:color="auto" w:fill="CAEDFB"/>
          </w:tcPr>
          <w:p>
            <w:pPr>
              <w:spacing w:after="0"/>
              <w:rPr>
                <w:sz w:val="16"/>
                <w:szCs w:val="16"/>
                <w:color w:val="auto"/>
              </w:rPr>
            </w:pPr>
          </w:p>
        </w:tc>
        <w:tc>
          <w:tcPr>
            <w:tcW w:w="220" w:type="dxa"/>
            <w:vAlign w:val="bottom"/>
            <w:shd w:val="clear" w:color="auto" w:fill="CAEDFB"/>
          </w:tcPr>
          <w:p>
            <w:pPr>
              <w:spacing w:after="0"/>
              <w:rPr>
                <w:sz w:val="16"/>
                <w:szCs w:val="16"/>
                <w:color w:val="auto"/>
              </w:rPr>
            </w:pPr>
          </w:p>
        </w:tc>
        <w:tc>
          <w:tcPr>
            <w:tcW w:w="520" w:type="dxa"/>
            <w:vAlign w:val="bottom"/>
            <w:shd w:val="clear" w:color="auto" w:fill="CAEDFB"/>
          </w:tcPr>
          <w:p>
            <w:pPr>
              <w:spacing w:after="0"/>
              <w:rPr>
                <w:sz w:val="16"/>
                <w:szCs w:val="16"/>
                <w:color w:val="auto"/>
              </w:rPr>
            </w:pPr>
          </w:p>
        </w:tc>
        <w:tc>
          <w:tcPr>
            <w:tcW w:w="1140" w:type="dxa"/>
            <w:vAlign w:val="bottom"/>
            <w:shd w:val="clear" w:color="auto" w:fill="CAEDFB"/>
          </w:tcPr>
          <w:p>
            <w:pPr>
              <w:spacing w:after="0"/>
              <w:rPr>
                <w:sz w:val="16"/>
                <w:szCs w:val="16"/>
                <w:color w:val="auto"/>
              </w:rPr>
            </w:pPr>
          </w:p>
        </w:tc>
        <w:tc>
          <w:tcPr>
            <w:tcW w:w="120" w:type="dxa"/>
            <w:vAlign w:val="bottom"/>
            <w:shd w:val="clear" w:color="auto" w:fill="CAEDF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20" w:type="dxa"/>
            <w:vAlign w:val="bottom"/>
            <w:shd w:val="clear" w:color="auto" w:fill="CAEDFB"/>
          </w:tcPr>
          <w:p>
            <w:pPr>
              <w:ind w:left="500"/>
              <w:spacing w:after="0"/>
              <w:rPr>
                <w:sz w:val="20"/>
                <w:szCs w:val="20"/>
                <w:color w:val="auto"/>
              </w:rPr>
            </w:pPr>
            <w:r>
              <w:rPr>
                <w:rFonts w:ascii="Arial" w:cs="Arial" w:eastAsia="Arial" w:hAnsi="Arial"/>
                <w:sz w:val="16"/>
                <w:szCs w:val="16"/>
                <w:color w:val="auto"/>
              </w:rPr>
              <w:t>110,160,684 shares issued and outstanding at December 31, 2023</w:t>
            </w:r>
          </w:p>
        </w:tc>
        <w:tc>
          <w:tcPr>
            <w:tcW w:w="540" w:type="dxa"/>
            <w:vAlign w:val="bottom"/>
            <w:shd w:val="clear" w:color="auto" w:fill="CAEDFB"/>
          </w:tcPr>
          <w:p>
            <w:pPr>
              <w:spacing w:after="0"/>
              <w:rPr>
                <w:sz w:val="18"/>
                <w:szCs w:val="18"/>
                <w:color w:val="auto"/>
              </w:rPr>
            </w:pPr>
          </w:p>
        </w:tc>
        <w:tc>
          <w:tcPr>
            <w:tcW w:w="1140" w:type="dxa"/>
            <w:vAlign w:val="bottom"/>
            <w:vMerge w:val="restart"/>
            <w:shd w:val="clear" w:color="auto" w:fill="CAEDFB"/>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AEDFB"/>
          </w:tcPr>
          <w:p>
            <w:pPr>
              <w:spacing w:after="0"/>
              <w:rPr>
                <w:sz w:val="18"/>
                <w:szCs w:val="18"/>
                <w:color w:val="auto"/>
              </w:rPr>
            </w:pPr>
          </w:p>
        </w:tc>
        <w:tc>
          <w:tcPr>
            <w:tcW w:w="520" w:type="dxa"/>
            <w:vAlign w:val="bottom"/>
            <w:shd w:val="clear" w:color="auto" w:fill="CAEDFB"/>
          </w:tcPr>
          <w:p>
            <w:pPr>
              <w:spacing w:after="0"/>
              <w:rPr>
                <w:sz w:val="18"/>
                <w:szCs w:val="18"/>
                <w:color w:val="auto"/>
              </w:rPr>
            </w:pPr>
          </w:p>
        </w:tc>
        <w:tc>
          <w:tcPr>
            <w:tcW w:w="1140" w:type="dxa"/>
            <w:vAlign w:val="bottom"/>
            <w:vMerge w:val="restart"/>
            <w:shd w:val="clear" w:color="auto" w:fill="CAEDFB"/>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AEDFB"/>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420" w:type="dxa"/>
            <w:vAlign w:val="bottom"/>
            <w:shd w:val="clear" w:color="auto" w:fill="CAEDFB"/>
          </w:tcPr>
          <w:p>
            <w:pPr>
              <w:spacing w:after="0"/>
              <w:rPr>
                <w:sz w:val="15"/>
                <w:szCs w:val="15"/>
                <w:color w:val="auto"/>
              </w:rPr>
            </w:pPr>
          </w:p>
        </w:tc>
        <w:tc>
          <w:tcPr>
            <w:tcW w:w="540" w:type="dxa"/>
            <w:vAlign w:val="bottom"/>
            <w:shd w:val="clear" w:color="auto" w:fill="CAEDFB"/>
          </w:tcPr>
          <w:p>
            <w:pPr>
              <w:spacing w:after="0"/>
              <w:rPr>
                <w:sz w:val="15"/>
                <w:szCs w:val="15"/>
                <w:color w:val="auto"/>
              </w:rPr>
            </w:pPr>
          </w:p>
        </w:tc>
        <w:tc>
          <w:tcPr>
            <w:tcW w:w="1140" w:type="dxa"/>
            <w:vAlign w:val="bottom"/>
            <w:vMerge w:val="continue"/>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520" w:type="dxa"/>
            <w:vAlign w:val="bottom"/>
            <w:shd w:val="clear" w:color="auto" w:fill="CAEDFB"/>
          </w:tcPr>
          <w:p>
            <w:pPr>
              <w:spacing w:after="0"/>
              <w:rPr>
                <w:sz w:val="15"/>
                <w:szCs w:val="15"/>
                <w:color w:val="auto"/>
              </w:rPr>
            </w:pPr>
          </w:p>
        </w:tc>
        <w:tc>
          <w:tcPr>
            <w:tcW w:w="1140" w:type="dxa"/>
            <w:vAlign w:val="bottom"/>
            <w:vMerge w:val="continue"/>
            <w:shd w:val="clear" w:color="auto" w:fill="CAEDFB"/>
          </w:tcPr>
          <w:p>
            <w:pPr>
              <w:spacing w:after="0"/>
              <w:rPr>
                <w:sz w:val="15"/>
                <w:szCs w:val="15"/>
                <w:color w:val="auto"/>
              </w:rPr>
            </w:pPr>
          </w:p>
        </w:tc>
        <w:tc>
          <w:tcPr>
            <w:tcW w:w="120" w:type="dxa"/>
            <w:vAlign w:val="bottom"/>
            <w:shd w:val="clear" w:color="auto" w:fill="CAEDFB"/>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969,526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909,539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7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AEDFB"/>
            </w:tcBorders>
            <w:shd w:val="clear" w:color="auto" w:fill="CAEDFB"/>
          </w:tcPr>
          <w:p>
            <w:pPr>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bottom w:val="single" w:sz="8" w:color="CAEDFB"/>
            </w:tcBorders>
            <w:shd w:val="clear" w:color="auto" w:fill="CAEDFB"/>
          </w:tcPr>
          <w:p>
            <w:pPr>
              <w:spacing w:after="0"/>
              <w:rPr>
                <w:sz w:val="19"/>
                <w:szCs w:val="19"/>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AEDFB"/>
            </w:tcBorders>
            <w:shd w:val="clear" w:color="auto" w:fill="CAEDFB"/>
          </w:tcPr>
          <w:p>
            <w:pPr>
              <w:spacing w:after="0"/>
              <w:rPr>
                <w:sz w:val="19"/>
                <w:szCs w:val="19"/>
                <w:color w:val="auto"/>
              </w:rPr>
            </w:pPr>
          </w:p>
        </w:tc>
        <w:tc>
          <w:tcPr>
            <w:tcW w:w="520" w:type="dxa"/>
            <w:vAlign w:val="bottom"/>
            <w:tcBorders>
              <w:bottom w:val="single" w:sz="8" w:color="CAEDFB"/>
            </w:tcBorders>
            <w:shd w:val="clear" w:color="auto" w:fill="CAEDFB"/>
          </w:tcPr>
          <w:p>
            <w:pPr>
              <w:spacing w:after="0"/>
              <w:rPr>
                <w:sz w:val="19"/>
                <w:szCs w:val="19"/>
                <w:color w:val="auto"/>
              </w:rPr>
            </w:pPr>
          </w:p>
        </w:tc>
        <w:tc>
          <w:tcPr>
            <w:tcW w:w="1140" w:type="dxa"/>
            <w:vAlign w:val="bottom"/>
            <w:tcBorders>
              <w:bottom w:val="single" w:sz="8" w:color="CAEDFB"/>
            </w:tcBorders>
            <w:shd w:val="clear" w:color="auto" w:fill="CAEDFB"/>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AEDFB"/>
            </w:tcBorders>
            <w:shd w:val="clear" w:color="auto" w:fill="CAEDF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Accumulated deficit</w:t>
            </w:r>
          </w:p>
        </w:tc>
        <w:tc>
          <w:tcPr>
            <w:tcW w:w="5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(901,994)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(732,069)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4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AEDFB"/>
            </w:tcBorders>
            <w:shd w:val="clear" w:color="auto" w:fill="CAEDFB"/>
          </w:tcPr>
          <w:p>
            <w:pPr>
              <w:ind w:left="28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shd w:val="clear" w:color="auto" w:fill="CAEDFB"/>
          </w:tcPr>
          <w:p>
            <w:pPr>
              <w:spacing w:after="0"/>
              <w:rPr>
                <w:sz w:val="19"/>
                <w:szCs w:val="19"/>
                <w:color w:val="auto"/>
              </w:rPr>
            </w:pPr>
          </w:p>
        </w:tc>
        <w:tc>
          <w:tcPr>
            <w:tcW w:w="1140" w:type="dxa"/>
            <w:vAlign w:val="bottom"/>
            <w:tcBorders>
              <w:bottom w:val="single" w:sz="8" w:color="auto"/>
            </w:tcBorders>
            <w:shd w:val="clear" w:color="auto" w:fill="CAEDFB"/>
          </w:tcPr>
          <w:p>
            <w:pPr>
              <w:jc w:val="right"/>
              <w:spacing w:after="0"/>
              <w:rPr>
                <w:sz w:val="20"/>
                <w:szCs w:val="20"/>
                <w:color w:val="auto"/>
              </w:rPr>
            </w:pPr>
            <w:r>
              <w:rPr>
                <w:rFonts w:ascii="Arial" w:cs="Arial" w:eastAsia="Arial" w:hAnsi="Arial"/>
                <w:sz w:val="16"/>
                <w:szCs w:val="16"/>
                <w:color w:val="auto"/>
              </w:rPr>
              <w:t>67,539</w:t>
            </w:r>
          </w:p>
        </w:tc>
        <w:tc>
          <w:tcPr>
            <w:tcW w:w="220" w:type="dxa"/>
            <w:vAlign w:val="bottom"/>
            <w:tcBorders>
              <w:bottom w:val="single" w:sz="8" w:color="CAEDFB"/>
            </w:tcBorders>
            <w:shd w:val="clear" w:color="auto" w:fill="CAEDFB"/>
          </w:tcPr>
          <w:p>
            <w:pPr>
              <w:spacing w:after="0"/>
              <w:rPr>
                <w:sz w:val="19"/>
                <w:szCs w:val="19"/>
                <w:color w:val="auto"/>
              </w:rPr>
            </w:pPr>
          </w:p>
        </w:tc>
        <w:tc>
          <w:tcPr>
            <w:tcW w:w="520" w:type="dxa"/>
            <w:vAlign w:val="bottom"/>
            <w:tcBorders>
              <w:bottom w:val="single" w:sz="8" w:color="auto"/>
            </w:tcBorders>
            <w:shd w:val="clear" w:color="auto" w:fill="CAEDFB"/>
          </w:tcPr>
          <w:p>
            <w:pPr>
              <w:spacing w:after="0"/>
              <w:rPr>
                <w:sz w:val="19"/>
                <w:szCs w:val="19"/>
                <w:color w:val="auto"/>
              </w:rPr>
            </w:pPr>
          </w:p>
        </w:tc>
        <w:tc>
          <w:tcPr>
            <w:tcW w:w="1140" w:type="dxa"/>
            <w:vAlign w:val="bottom"/>
            <w:tcBorders>
              <w:bottom w:val="single" w:sz="8" w:color="auto"/>
            </w:tcBorders>
            <w:shd w:val="clear" w:color="auto" w:fill="CAEDFB"/>
          </w:tcPr>
          <w:p>
            <w:pPr>
              <w:jc w:val="right"/>
              <w:spacing w:after="0"/>
              <w:rPr>
                <w:sz w:val="20"/>
                <w:szCs w:val="20"/>
                <w:color w:val="auto"/>
              </w:rPr>
            </w:pPr>
            <w:r>
              <w:rPr>
                <w:rFonts w:ascii="Arial" w:cs="Arial" w:eastAsia="Arial" w:hAnsi="Arial"/>
                <w:sz w:val="16"/>
                <w:szCs w:val="16"/>
                <w:color w:val="auto"/>
              </w:rPr>
              <w:t>177,468</w:t>
            </w:r>
          </w:p>
        </w:tc>
        <w:tc>
          <w:tcPr>
            <w:tcW w:w="120" w:type="dxa"/>
            <w:vAlign w:val="bottom"/>
            <w:tcBorders>
              <w:bottom w:val="single" w:sz="8" w:color="CAEDFB"/>
            </w:tcBorders>
            <w:shd w:val="clear" w:color="auto" w:fill="CAEDFB"/>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80"/>
              <w:spacing w:after="0"/>
              <w:rPr>
                <w:sz w:val="20"/>
                <w:szCs w:val="20"/>
                <w:color w:val="auto"/>
              </w:rPr>
            </w:pPr>
            <w:r>
              <w:rPr>
                <w:rFonts w:ascii="Arial" w:cs="Arial" w:eastAsia="Arial" w:hAnsi="Arial"/>
                <w:sz w:val="16"/>
                <w:szCs w:val="16"/>
                <w:color w:val="auto"/>
              </w:rPr>
              <w:t>Total liabilities, preferred stock and stockholders’ equity</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129,515</w:t>
            </w:r>
          </w:p>
        </w:tc>
        <w:tc>
          <w:tcPr>
            <w:tcW w:w="7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229,181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-2699385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-2699385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-2065020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-2065020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-162560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-162560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4" w:lineRule="exact"/>
        <w:rPr>
          <w:sz w:val="20"/>
          <w:szCs w:val="20"/>
          <w:color w:val="auto"/>
        </w:rPr>
      </w:pPr>
    </w:p>
    <w:p>
      <w:pPr>
        <w:ind w:left="680" w:hanging="37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Includes related-party amounts of $1,274 and $0 for the years ended December 31, 2024 and 2023, respectively.</w:t>
      </w:r>
    </w:p>
    <w:p>
      <w:pPr>
        <w:spacing w:after="0" w:line="26" w:lineRule="exact"/>
        <w:rPr>
          <w:rFonts w:ascii="Times New Roman" w:cs="Times New Roman" w:eastAsia="Times New Roman" w:hAnsi="Times New Roman"/>
          <w:sz w:val="18"/>
          <w:szCs w:val="18"/>
          <w:color w:val="auto"/>
        </w:rPr>
      </w:pPr>
    </w:p>
    <w:p>
      <w:pPr>
        <w:ind w:left="680" w:hanging="37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Includes related-party amounts of $0 and $700 for the years ended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884555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22" w:right="399" w:bottom="1440" w:gutter="0" w:footer="0" w:header="0"/>
          <w:type w:val="continuous"/>
        </w:sectPr>
      </w:pPr>
    </w:p>
    <w:bookmarkStart w:id="11" w:name="page12"/>
    <w:bookmarkEnd w:id="11"/>
    <w:p>
      <w:pPr>
        <w:jc w:val="center"/>
        <w:ind w:right="60"/>
        <w:spacing w:after="0"/>
        <w:rPr>
          <w:sz w:val="20"/>
          <w:szCs w:val="20"/>
          <w:color w:val="auto"/>
        </w:rPr>
      </w:pPr>
      <w:r>
        <w:rPr>
          <w:rFonts w:ascii="Arial" w:cs="Arial" w:eastAsia="Arial" w:hAnsi="Arial"/>
          <w:sz w:val="19"/>
          <w:szCs w:val="19"/>
          <w:b w:val="1"/>
          <w:bCs w:val="1"/>
          <w:color w:val="auto"/>
        </w:rPr>
        <w:t>INVIVYD, INC.</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w:t>
      </w:r>
    </w:p>
    <w:p>
      <w:pPr>
        <w:jc w:val="center"/>
        <w:spacing w:after="0"/>
        <w:rPr>
          <w:sz w:val="20"/>
          <w:szCs w:val="20"/>
          <w:color w:val="auto"/>
        </w:rPr>
      </w:pPr>
      <w:r>
        <w:rPr>
          <w:rFonts w:ascii="Arial" w:cs="Arial" w:eastAsia="Arial" w:hAnsi="Arial"/>
          <w:sz w:val="19"/>
          <w:szCs w:val="19"/>
          <w:b w:val="1"/>
          <w:bCs w:val="1"/>
          <w:color w:val="auto"/>
        </w:rPr>
        <w:t>(In thousands, except share and per share amounts)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Product revenue, net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costs and expenses: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Cost of product revenue</w:t>
      </w:r>
      <w:r>
        <w:rPr>
          <w:rFonts w:ascii="Arial" w:cs="Arial" w:eastAsia="Arial" w:hAnsi="Arial"/>
          <w:sz w:val="21"/>
          <w:szCs w:val="21"/>
          <w:color w:val="auto"/>
          <w:vertAlign w:val="superscript"/>
        </w:rPr>
        <w:t>(1)</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(2)</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Acquired in-process research and development </w:t>
      </w:r>
      <w:r>
        <w:rPr>
          <w:rFonts w:ascii="Arial" w:cs="Arial" w:eastAsia="Arial" w:hAnsi="Arial"/>
          <w:sz w:val="20"/>
          <w:szCs w:val="20"/>
          <w:color w:val="auto"/>
          <w:vertAlign w:val="superscript"/>
        </w:rPr>
        <w:t>(3)</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operating costs and expenses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operations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income, net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Year Ended December</w:t>
            </w:r>
          </w:p>
        </w:tc>
        <w:tc>
          <w:tcPr>
            <w:tcW w:w="220" w:type="dxa"/>
            <w:vAlign w:val="bottom"/>
          </w:tcPr>
          <w:p>
            <w:pPr>
              <w:spacing w:after="0"/>
              <w:rPr>
                <w:sz w:val="14"/>
                <w:szCs w:val="14"/>
                <w:color w:val="auto"/>
              </w:rPr>
            </w:pPr>
          </w:p>
        </w:tc>
        <w:tc>
          <w:tcPr>
            <w:tcW w:w="17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Year Ended December</w:t>
            </w:r>
          </w:p>
        </w:tc>
      </w:tr>
      <w:tr>
        <w:trPr>
          <w:trHeight w:val="189"/>
        </w:trPr>
        <w:tc>
          <w:tcPr>
            <w:tcW w:w="380" w:type="dxa"/>
            <w:vAlign w:val="bottom"/>
          </w:tcPr>
          <w:p>
            <w:pPr>
              <w:spacing w:after="0"/>
              <w:rPr>
                <w:sz w:val="16"/>
                <w:szCs w:val="16"/>
                <w:color w:val="auto"/>
              </w:rPr>
            </w:pPr>
          </w:p>
        </w:tc>
        <w:tc>
          <w:tcPr>
            <w:tcW w:w="1260" w:type="dxa"/>
            <w:vAlign w:val="bottom"/>
          </w:tcPr>
          <w:p>
            <w:pPr>
              <w:jc w:val="right"/>
              <w:ind w:right="641"/>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701"/>
              <w:spacing w:after="0"/>
              <w:rPr>
                <w:sz w:val="20"/>
                <w:szCs w:val="20"/>
                <w:color w:val="auto"/>
              </w:rPr>
            </w:pPr>
            <w:r>
              <w:rPr>
                <w:rFonts w:ascii="Arial" w:cs="Arial" w:eastAsia="Arial" w:hAnsi="Arial"/>
                <w:sz w:val="14"/>
                <w:szCs w:val="14"/>
                <w:b w:val="1"/>
                <w:bCs w:val="1"/>
                <w:color w:val="auto"/>
              </w:rPr>
              <w:t>31,</w:t>
            </w:r>
          </w:p>
        </w:tc>
      </w:tr>
      <w:tr>
        <w:trPr>
          <w:trHeight w:val="171"/>
        </w:trPr>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2023</w:t>
            </w:r>
          </w:p>
        </w:tc>
      </w:tr>
      <w:tr>
        <w:trPr>
          <w:trHeight w:val="479"/>
        </w:trPr>
        <w:tc>
          <w:tcPr>
            <w:tcW w:w="380" w:type="dxa"/>
            <w:vAlign w:val="bottom"/>
          </w:tcPr>
          <w:p>
            <w:pPr>
              <w:jc w:val="right"/>
              <w:ind w:right="204"/>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25,384</w:t>
            </w:r>
          </w:p>
        </w:tc>
        <w:tc>
          <w:tcPr>
            <w:tcW w:w="6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25,384</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91"/>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137,254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158,658</w:t>
            </w:r>
          </w:p>
        </w:tc>
      </w:tr>
      <w:tr>
        <w:trPr>
          <w:trHeight w:val="243"/>
        </w:trPr>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4,975</w:t>
            </w:r>
          </w:p>
        </w:tc>
      </w:tr>
      <w:tr>
        <w:trPr>
          <w:trHeight w:val="232"/>
        </w:trPr>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63,388</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49,125</w:t>
            </w:r>
          </w:p>
        </w:tc>
      </w:tr>
      <w:tr>
        <w:trPr>
          <w:trHeight w:val="223"/>
        </w:trPr>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202,260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212,758</w:t>
            </w:r>
          </w:p>
        </w:tc>
      </w:tr>
      <w:tr>
        <w:trPr>
          <w:trHeight w:val="196"/>
        </w:trPr>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(176,876)</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(212,758)</w:t>
            </w:r>
          </w:p>
        </w:tc>
      </w:tr>
      <w:tr>
        <w:trPr>
          <w:trHeight w:val="479"/>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6,951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-1851025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-1224915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-916305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-307975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-1534160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-599440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00" w:space="720"/>
            <w:col w:w="3720"/>
          </w:cols>
          <w:pgMar w:left="320" w:top="142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other income, net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6,951</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Net loss</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(169,925)</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(198,643)</w:t>
            </w:r>
          </w:p>
        </w:tc>
        <w:tc>
          <w:tcPr>
            <w:tcW w:w="120" w:type="dxa"/>
            <w:vAlign w:val="bottom"/>
          </w:tcPr>
          <w:p>
            <w:pPr>
              <w:spacing w:after="0"/>
              <w:rPr>
                <w:sz w:val="18"/>
                <w:szCs w:val="18"/>
                <w:color w:val="auto"/>
              </w:rPr>
            </w:pPr>
          </w:p>
        </w:tc>
      </w:tr>
      <w:tr>
        <w:trPr>
          <w:trHeight w:val="217"/>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4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189"/>
        </w:trPr>
        <w:tc>
          <w:tcPr>
            <w:tcW w:w="7520" w:type="dxa"/>
            <w:vAlign w:val="bottom"/>
          </w:tcPr>
          <w:p>
            <w:pPr>
              <w:ind w:left="160"/>
              <w:spacing w:after="0"/>
              <w:rPr>
                <w:sz w:val="20"/>
                <w:szCs w:val="20"/>
                <w:color w:val="auto"/>
              </w:rPr>
            </w:pPr>
            <w:r>
              <w:rPr>
                <w:rFonts w:ascii="Arial" w:cs="Arial" w:eastAsia="Arial" w:hAnsi="Arial"/>
                <w:sz w:val="16"/>
                <w:szCs w:val="16"/>
                <w:color w:val="auto"/>
              </w:rPr>
              <w:t>Unrealized gain on available-for-sale securities, net of tax</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6"/>
                <w:szCs w:val="16"/>
                <w:color w:val="auto"/>
              </w:rPr>
            </w:pP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(169,917)</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(198,384)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75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6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52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Weighted-average common shares outstanding, basic and diluted</w:t>
            </w:r>
          </w:p>
        </w:tc>
        <w:tc>
          <w:tcPr>
            <w:tcW w:w="4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118,555,073</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109,526,053</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-890905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-325120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-307975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Includes related-party amounts of $1,027 and $0 for the years ended December 31, 2024 and 2023, respectively.</w:t>
      </w:r>
    </w:p>
    <w:p>
      <w:pPr>
        <w:spacing w:after="0" w:line="2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Includes related-party amounts of $4,546 and $8,418 for the years ended December 31, 2024 and 2023, respectively.</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Includes related-party amounts of $0 and $4,975 for the years ended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781"/>
    </w:lvl>
  </w:abstractNum>
  <w:abstractNum w:abstractNumId="6">
    <w:nsid w:val="7545E146"/>
    <w:multiLevelType w:val="hybridMultilevel"/>
    <w:lvl w:ilvl="0">
      <w:lvlJc w:val="left"/>
      <w:lvlText w:val="(%1)"/>
      <w:numFmt w:val="decimal"/>
      <w:start w:val="78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2025-03-20T07:12:51Z</dcterms:created>
  <dcterms:modified xsi:type="dcterms:W3CDTF">2025-03-20T07:12:51Z</dcterms:modified>
</cp:coreProperties>
</file>