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0000FF"/>
        </w:rPr>
        <w:t>INVIVYD,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00534A102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Ajay Royan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Mithril Capital Management, 111 Congress Avenue, Suite 500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Austin, TX, 78701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512-717-3770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08/22/2025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Mithril II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11,241,580.00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11,241,580.00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11,241,580.00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4.8 %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shares are held of record by Mithril II (as defined in Item 2(a) of the Original Schedule 13D). Mithril II UGP (as</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7"/>
              </w:rPr>
              <w:t>defined in Item 2(a) of the Original Schedule 13D) is the general partner of Mithril II GP (as defined in Item 2(a) of the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Original Schedule 13D), which is the general partner of Mithril II, and each of Mithril II UGP and Mithril II GP may</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be deemed to have shared voting, investment and dispositive power with respect to these securities. Ajay Royan, a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member of the Issuer's board of directors, is the sole managing member of Mithril II UGP. Ajay Royan and Peter Thiel</w:t>
      </w:r>
    </w:p>
    <w:p>
      <w:pPr>
        <w:spacing w:after="0" w:line="2"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are the members of the investment committee established by Mithril II GP. The investment committee makes all investment decisions with respect to the shares held by Mithril II and may be deemed to have shared voting, investment and dispositive power with respect to these securities. The percentage in Row 13 is based on 233,122,834 shares of Common Stock (as defined in Item 1 of the Original Schedule 13D) outstanding as of October 30, 2025, as set forth in the Issuer's quarterly report on Form 10-Q for the quarter ended September 30, 2025, filed with the United States Securities and Exchange Commission (the "Commission") on November 6, 2025 (the Form 10-Q).</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Mithril II GP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26" w:right="339" w:bottom="0" w:gutter="0" w:footer="0" w:header="0"/>
        </w:sectPr>
      </w:pPr>
    </w:p>
    <w:bookmarkStart w:id="2" w:name="page3"/>
    <w:bookmarkEnd w:id="2"/>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11,241,580.00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11,241,580.00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11,241,580.00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4.8 %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shares are held of record by Mithril II. Mithril II UGP is the general partner of Mithril II GP, which is the general</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partner of Mithril II, and each of Mithril II UGP and Mithril II GP may be deemed to have shared voting, investment</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and dispositive power with respect to these securities. Ajay Royan, a member of the Issuer's board of directors, is the</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sole managing member of Mithril II UGP. Ajay Royan and Peter Thiel are the members of the investment committee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established by Mithril II GP. The investment committee makes all investment decisions with respect to the shares held</w:t>
      </w:r>
    </w:p>
    <w:p>
      <w:pPr>
        <w:spacing w:after="0" w:line="1" w:lineRule="exact"/>
        <w:rPr>
          <w:sz w:val="20"/>
          <w:szCs w:val="20"/>
          <w:color w:val="auto"/>
        </w:rPr>
      </w:pPr>
    </w:p>
    <w:p>
      <w:pPr>
        <w:jc w:val="both"/>
        <w:ind w:left="920"/>
        <w:spacing w:after="0" w:line="235" w:lineRule="auto"/>
        <w:rPr>
          <w:sz w:val="20"/>
          <w:szCs w:val="20"/>
          <w:color w:val="auto"/>
        </w:rPr>
      </w:pPr>
      <w:r>
        <w:rPr>
          <w:rFonts w:ascii="Times New Roman" w:cs="Times New Roman" w:eastAsia="Times New Roman" w:hAnsi="Times New Roman"/>
          <w:sz w:val="22"/>
          <w:szCs w:val="22"/>
          <w:color w:val="auto"/>
        </w:rPr>
        <w:t>by Mithril II and may be deemed to have shared voting, investment and dispositive power with respect to these securities. The percentage in Row 13 is based on 233,122,834 shares of Common Stock outstanding as of October 30, 2025, as set forth in the Form 10-Q.</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Mithril II UGP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2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11" w:right="339" w:bottom="0" w:gutter="0" w:footer="0" w:header="0"/>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3"/>
                <w:szCs w:val="23"/>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11,241,580.00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11,241,580.00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11,241,580.00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shares are held of record by Mithril II. Mithril II UGP is the general partner of Mithril II GP, which is the general</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partner of Mithril II, and each of Mithril II UGP and Mithril II GP may be deemed to have shared voting, investment</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and dispositive power with respect to these securities. Ajay Royan, a member of the Issuer's board of directors, is the</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sole managing member of Mithril II UGP. Ajay Royan and Peter Thiel are the members of the investment committee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established by Mithril II GP. The investment committee makes all investment decisions with respect to the shares held</w:t>
      </w:r>
    </w:p>
    <w:p>
      <w:pPr>
        <w:spacing w:after="0" w:line="1" w:lineRule="exact"/>
        <w:rPr>
          <w:sz w:val="20"/>
          <w:szCs w:val="20"/>
          <w:color w:val="auto"/>
        </w:rPr>
      </w:pPr>
    </w:p>
    <w:p>
      <w:pPr>
        <w:jc w:val="both"/>
        <w:ind w:left="920"/>
        <w:spacing w:after="0" w:line="235" w:lineRule="auto"/>
        <w:rPr>
          <w:sz w:val="20"/>
          <w:szCs w:val="20"/>
          <w:color w:val="auto"/>
        </w:rPr>
      </w:pPr>
      <w:r>
        <w:rPr>
          <w:rFonts w:ascii="Times New Roman" w:cs="Times New Roman" w:eastAsia="Times New Roman" w:hAnsi="Times New Roman"/>
          <w:sz w:val="22"/>
          <w:szCs w:val="22"/>
          <w:color w:val="auto"/>
        </w:rPr>
        <w:t>by Mithril II and may be deemed to have shared voting, investment and dispositive power with respect to these securities. The percentage in Row 13 is based on 233,122,834 shares of Common Stock outstanding as of October 30, 2025, as set forth in the Form 10-Q.</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Ajay Royan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CANADA (FEDERAL LEVEL)</w:t>
      </w:r>
    </w:p>
    <w:p>
      <w:pPr>
        <w:sectPr>
          <w:pgSz w:w="11900" w:h="16838" w:orient="portrait"/>
          <w:cols w:equalWidth="0" w:num="1">
            <w:col w:w="11240"/>
          </w:cols>
          <w:pgMar w:left="320" w:top="612" w:right="339" w:bottom="0" w:gutter="0" w:footer="0" w:header="0"/>
        </w:sectPr>
      </w:pPr>
    </w:p>
    <w:bookmarkStart w:id="4" w:name="page5"/>
    <w:bookmarkEnd w:id="4"/>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  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110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46"/>
        </w:trPr>
        <w:tc>
          <w:tcPr>
            <w:tcW w:w="1100" w:type="dxa"/>
            <w:vAlign w:val="bottom"/>
          </w:tcPr>
          <w:p>
            <w:pPr>
              <w:spacing w:after="0" w:line="246"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340"/>
              <w:spacing w:after="0" w:line="246" w:lineRule="exact"/>
              <w:rPr>
                <w:sz w:val="20"/>
                <w:szCs w:val="20"/>
                <w:color w:val="auto"/>
              </w:rPr>
            </w:pPr>
            <w:r>
              <w:rPr>
                <w:rFonts w:ascii="Times New Roman" w:cs="Times New Roman" w:eastAsia="Times New Roman" w:hAnsi="Times New Roman"/>
                <w:sz w:val="22"/>
                <w:szCs w:val="22"/>
                <w:color w:val="auto"/>
              </w:rPr>
              <w:t>11,241,580.00</w:t>
            </w:r>
          </w:p>
        </w:tc>
        <w:tc>
          <w:tcPr>
            <w:tcW w:w="0" w:type="dxa"/>
            <w:vAlign w:val="bottom"/>
          </w:tcPr>
          <w:p>
            <w:pPr>
              <w:spacing w:after="0"/>
              <w:rPr>
                <w:sz w:val="1"/>
                <w:szCs w:val="1"/>
                <w:color w:val="auto"/>
              </w:rPr>
            </w:pPr>
          </w:p>
        </w:tc>
      </w:tr>
      <w:tr>
        <w:trPr>
          <w:trHeight w:val="216"/>
        </w:trPr>
        <w:tc>
          <w:tcPr>
            <w:tcW w:w="11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0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100" w:type="dxa"/>
            <w:vAlign w:val="bottom"/>
            <w:vMerge w:val="continue"/>
          </w:tcPr>
          <w:p>
            <w:pPr>
              <w:spacing w:after="0"/>
              <w:rPr>
                <w:sz w:val="15"/>
                <w:szCs w:val="15"/>
                <w:color w:val="auto"/>
              </w:rPr>
            </w:pPr>
          </w:p>
        </w:tc>
        <w:tc>
          <w:tcPr>
            <w:tcW w:w="74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69"/>
        </w:trPr>
        <w:tc>
          <w:tcPr>
            <w:tcW w:w="1100" w:type="dxa"/>
            <w:vAlign w:val="bottom"/>
          </w:tcPr>
          <w:p>
            <w:pPr>
              <w:spacing w:after="0"/>
              <w:rPr>
                <w:sz w:val="5"/>
                <w:szCs w:val="5"/>
                <w:color w:val="auto"/>
              </w:rPr>
            </w:pPr>
          </w:p>
        </w:tc>
        <w:tc>
          <w:tcPr>
            <w:tcW w:w="7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11,241,580.00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11,241,580.00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4.8 %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shares are held of record by Mithril II. Mithril II UGP is the general partner of Mithril II GP, which is the general</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partner of Mithril II, and each of Mithril II UGP and Mithril II GP may be deemed to have shared voting, investment</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and dispositive power with respect to these securities. Ajay Royan, a member of the Issuer's board of directors, is the</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sole managing member of Mithril II UGP. Ajay Royan and Peter Thiel are the members of the investment committee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established by Mithril II GP. The investment committee makes all investment decisions with respect to the shares held</w:t>
      </w:r>
    </w:p>
    <w:p>
      <w:pPr>
        <w:spacing w:after="0" w:line="1" w:lineRule="exact"/>
        <w:rPr>
          <w:sz w:val="20"/>
          <w:szCs w:val="20"/>
          <w:color w:val="auto"/>
        </w:rPr>
      </w:pPr>
    </w:p>
    <w:p>
      <w:pPr>
        <w:jc w:val="both"/>
        <w:ind w:left="920"/>
        <w:spacing w:after="0" w:line="235" w:lineRule="auto"/>
        <w:rPr>
          <w:sz w:val="20"/>
          <w:szCs w:val="20"/>
          <w:color w:val="auto"/>
        </w:rPr>
      </w:pPr>
      <w:r>
        <w:rPr>
          <w:rFonts w:ascii="Times New Roman" w:cs="Times New Roman" w:eastAsia="Times New Roman" w:hAnsi="Times New Roman"/>
          <w:sz w:val="22"/>
          <w:szCs w:val="22"/>
          <w:color w:val="auto"/>
        </w:rPr>
        <w:t>by Mithril II and may be deemed to have shared voting, investment and dispositive power with respect to these securities. The percentage in Row 13 is based on 233,122,834 shares of Common Stock outstanding as of October 30, 2025, as set forth in the Form 10-Q.</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Peter Thiel</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11,241,580.00</w:t>
            </w:r>
          </w:p>
        </w:tc>
        <w:tc>
          <w:tcPr>
            <w:tcW w:w="0" w:type="dxa"/>
            <w:vAlign w:val="bottom"/>
          </w:tcPr>
          <w:p>
            <w:pPr>
              <w:spacing w:after="0"/>
              <w:rPr>
                <w:sz w:val="1"/>
                <w:szCs w:val="1"/>
                <w:color w:val="auto"/>
              </w:rPr>
            </w:pPr>
          </w:p>
        </w:tc>
      </w:tr>
      <w:tr>
        <w:trPr>
          <w:trHeight w:val="70"/>
        </w:trPr>
        <w:tc>
          <w:tcPr>
            <w:tcW w:w="11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930" w:orient="portrait"/>
          <w:cols w:equalWidth="0" w:num="1">
            <w:col w:w="11240"/>
          </w:cols>
          <w:pgMar w:left="320" w:top="102" w:right="339" w:bottom="0" w:gutter="0" w:footer="0" w:header="0"/>
        </w:sectPr>
      </w:pPr>
    </w:p>
    <w:bookmarkStart w:id="5" w:name="page6"/>
    <w:bookmarkEnd w:id="5"/>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71"/>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4"/>
                <w:szCs w:val="24"/>
                <w:color w:val="auto"/>
              </w:rPr>
            </w:pP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860" w:type="dxa"/>
            <w:vAlign w:val="bottom"/>
          </w:tcPr>
          <w:p>
            <w:pPr>
              <w:spacing w:after="0"/>
              <w:rPr>
                <w:sz w:val="22"/>
                <w:szCs w:val="22"/>
                <w:color w:val="auto"/>
              </w:rPr>
            </w:pP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4"/>
                <w:szCs w:val="24"/>
                <w:color w:val="auto"/>
              </w:rPr>
            </w:pP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11,241,580.00</w:t>
            </w:r>
          </w:p>
        </w:tc>
        <w:tc>
          <w:tcPr>
            <w:tcW w:w="0" w:type="dxa"/>
            <w:vAlign w:val="bottom"/>
          </w:tcPr>
          <w:p>
            <w:pPr>
              <w:spacing w:after="0"/>
              <w:rPr>
                <w:sz w:val="1"/>
                <w:szCs w:val="1"/>
                <w:color w:val="auto"/>
              </w:rPr>
            </w:pPr>
          </w:p>
        </w:tc>
      </w:tr>
      <w:tr>
        <w:trPr>
          <w:trHeight w:val="338"/>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11,241,580.00</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7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4.8 %</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shares are held of record by Mithril II. Mithril II UGP is the general partner of Mithril II GP, which is the general</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partner of Mithril II, and each of Mithril II UGP and Mithril II GP may be deemed to have shared voting, investment</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and dispositive power with respect to these securities. Ajay Royan, a member of the Issuer's board of directors, is the</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sole managing member of Mithril II UGP. Ajay Royan and Peter Thiel are the members of the investment committee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established by Mithril II GP. The investment committee makes all investment decisions with respect to the shares held</w:t>
      </w:r>
    </w:p>
    <w:p>
      <w:pPr>
        <w:spacing w:after="0" w:line="1" w:lineRule="exact"/>
        <w:rPr>
          <w:sz w:val="20"/>
          <w:szCs w:val="20"/>
          <w:color w:val="auto"/>
        </w:rPr>
      </w:pPr>
    </w:p>
    <w:p>
      <w:pPr>
        <w:jc w:val="both"/>
        <w:ind w:left="920"/>
        <w:spacing w:after="0" w:line="235" w:lineRule="auto"/>
        <w:rPr>
          <w:sz w:val="20"/>
          <w:szCs w:val="20"/>
          <w:color w:val="auto"/>
        </w:rPr>
      </w:pPr>
      <w:r>
        <w:rPr>
          <w:rFonts w:ascii="Times New Roman" w:cs="Times New Roman" w:eastAsia="Times New Roman" w:hAnsi="Times New Roman"/>
          <w:sz w:val="22"/>
          <w:szCs w:val="22"/>
          <w:color w:val="auto"/>
        </w:rPr>
        <w:t>by Mithril II and may be deemed to have shared voting, investment and dispositive power with respect to these securities. The percentage in Row 13 is based on 233,122,834 shares of Common Stock outstanding as of October 30, 2025, as set forth in the Form 10-Q.</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INVIVYD,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209 Church Street, New Haven, CONNECTICUT , 06510.</w:t>
      </w:r>
    </w:p>
    <w:p>
      <w:pPr>
        <w:spacing w:after="0" w:line="20" w:lineRule="exact"/>
        <w:rPr>
          <w:sz w:val="20"/>
          <w:szCs w:val="20"/>
          <w:color w:val="auto"/>
        </w:rPr>
      </w:pPr>
    </w:p>
    <w:p>
      <w:pPr>
        <w:jc w:val="right"/>
        <w:ind w:left="40" w:right="40"/>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5 (this "Amendment No. 5") amends and supplements the Schedule 13D originally filed by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Reporting Persons with the Commission on August 20, 2021, as it has been amended by Amendment No. 1 filed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the Commission on March 30, 2022, Amendment No. 2 filed with the Commission on April 26, 2022, Amendment No. 3 filed with the Commission on June 24, 2022 and Amendment No. 4 filed with the Commission on July 5, 2022 (collectively, the "Original Schedule 13D"). This Amendment No. 5 is being filed to update the aggregate percentage of the Common Stock owned by the Reporting Persons due to dilution caused by the Issuer's sales of additional shares of its Common Stock from time to time since the date of the filing of Amendment No. 4 and not in connection with a disposition of any shares by the Reporting Persons. Such dilution resulted in a decrease of over one percent (1%) in the aggregate percentage ownership reported by the Reporting Persons in Amendment No. 4. Only those items that are hereby reported are amended; all other items reported in the Original Schedule 13D remain unchanged. Information given in response to each item shall be deemed incorporated by reference in all other items, as applicable. Capitalized terms not defined in this Amendment No. 5 have the meanings ascribed to them in the</w:t>
      </w:r>
    </w:p>
    <w:p>
      <w:pPr>
        <w:spacing w:after="0" w:line="25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Original Schedule 13D.</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right="180" w:hanging="912"/>
        <w:spacing w:after="0" w:line="185" w:lineRule="auto"/>
        <w:tabs>
          <w:tab w:leader="none" w:pos="960" w:val="left"/>
        </w:tabs>
        <w:numPr>
          <w:ilvl w:val="0"/>
          <w:numId w:val="1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See Items 7-11 and 13 of the cover pages of this Amendment No. 3 for each Reporting Person and the corresponding comments.</w:t>
      </w:r>
    </w:p>
    <w:p>
      <w:pPr>
        <w:spacing w:after="0" w:line="17" w:lineRule="exact"/>
        <w:rPr>
          <w:rFonts w:ascii="Times New Roman" w:cs="Times New Roman" w:eastAsia="Times New Roman" w:hAnsi="Times New Roman"/>
          <w:sz w:val="39"/>
          <w:szCs w:val="39"/>
          <w:color w:val="auto"/>
          <w:vertAlign w:val="subscript"/>
        </w:rPr>
      </w:pPr>
    </w:p>
    <w:p>
      <w:pPr>
        <w:ind w:left="960" w:right="180" w:hanging="912"/>
        <w:spacing w:after="0" w:line="185" w:lineRule="auto"/>
        <w:tabs>
          <w:tab w:leader="none" w:pos="960" w:val="left"/>
        </w:tabs>
        <w:numPr>
          <w:ilvl w:val="0"/>
          <w:numId w:val="1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See Items 7-11 and 13 of the cover pages of this Amendment No. 3 for each Reporting Person and the corresponding comments.</w:t>
      </w:r>
    </w:p>
    <w:p>
      <w:pPr>
        <w:spacing w:after="0" w:line="17" w:lineRule="exact"/>
        <w:rPr>
          <w:rFonts w:ascii="Times New Roman" w:cs="Times New Roman" w:eastAsia="Times New Roman" w:hAnsi="Times New Roman"/>
          <w:sz w:val="39"/>
          <w:szCs w:val="39"/>
          <w:color w:val="auto"/>
          <w:vertAlign w:val="subscript"/>
        </w:rPr>
      </w:pPr>
    </w:p>
    <w:p>
      <w:pPr>
        <w:ind w:left="960" w:right="620" w:hanging="912"/>
        <w:spacing w:after="0" w:line="185" w:lineRule="auto"/>
        <w:tabs>
          <w:tab w:leader="none" w:pos="960" w:val="left"/>
        </w:tabs>
        <w:numPr>
          <w:ilvl w:val="0"/>
          <w:numId w:val="1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reported in this Amendment No. 5, none of the Reporting Persons has effected any transactions in the Issuer's securities within the past 60 days.</w:t>
      </w:r>
    </w:p>
    <w:p>
      <w:pPr>
        <w:spacing w:after="0" w:line="17" w:lineRule="exact"/>
        <w:rPr>
          <w:sz w:val="20"/>
          <w:szCs w:val="20"/>
          <w:color w:val="auto"/>
        </w:rPr>
      </w:pPr>
    </w:p>
    <w:p>
      <w:pPr>
        <w:ind w:left="960" w:hanging="912"/>
        <w:spacing w:after="0"/>
        <w:tabs>
          <w:tab w:leader="none" w:pos="9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August 22, 2025.</w:t>
      </w:r>
    </w:p>
    <w:p>
      <w:pPr>
        <w:sectPr>
          <w:pgSz w:w="11900" w:h="16838" w:orient="portrait"/>
          <w:cols w:equalWidth="0" w:num="1">
            <w:col w:w="11240"/>
          </w:cols>
          <w:pgMar w:left="320" w:top="111" w:right="339" w:bottom="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Mithril II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Ajay Royan</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Ajay Royan, Managing Member of Mithril II</w:t>
      </w:r>
    </w:p>
    <w:p>
      <w:pPr>
        <w:spacing w:after="0" w:line="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Name/Title: UGP LLC, the general partner of Mithril II GP</w:t>
      </w:r>
    </w:p>
    <w:p>
      <w:pPr>
        <w:ind w:left="6520"/>
        <w:spacing w:after="0"/>
        <w:rPr>
          <w:sz w:val="20"/>
          <w:szCs w:val="20"/>
          <w:color w:val="auto"/>
        </w:rPr>
      </w:pPr>
      <w:r>
        <w:rPr>
          <w:rFonts w:ascii="Times New Roman" w:cs="Times New Roman" w:eastAsia="Times New Roman" w:hAnsi="Times New Roman"/>
          <w:sz w:val="22"/>
          <w:szCs w:val="22"/>
          <w:color w:val="auto"/>
        </w:rPr>
        <w:t>LP, the general partner of Mithril II LP</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Mithril II GP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Ajay Royan</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Ajay Royan, Managing Member of Mithril II</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UGP LLC, the general partner of Mithril GP LP</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Mithril II UGP LLC</w:t>
      </w:r>
    </w:p>
    <w:p>
      <w:pPr>
        <w:spacing w:after="0" w:line="152"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Ajay Royan</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Ajay Royan, Managing Member</w:t>
      </w:r>
    </w:p>
    <w:p>
      <w:pPr>
        <w:spacing w:after="0" w:line="44"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Ajay Royan</w:t>
      </w:r>
    </w:p>
    <w:p>
      <w:pPr>
        <w:spacing w:after="0" w:line="152" w:lineRule="exact"/>
        <w:rPr>
          <w:sz w:val="20"/>
          <w:szCs w:val="20"/>
          <w:color w:val="auto"/>
        </w:rPr>
      </w:pPr>
    </w:p>
    <w:p>
      <w:pPr>
        <w:ind w:left="2360"/>
        <w:spacing w:after="0"/>
        <w:tabs>
          <w:tab w:leader="none" w:pos="3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Ajay Royan</w:t>
      </w:r>
    </w:p>
    <w:p>
      <w:pPr>
        <w:spacing w:after="0" w:line="4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Name/Title: Ajay Royan</w:t>
      </w:r>
    </w:p>
    <w:p>
      <w:pPr>
        <w:spacing w:after="0" w:line="44" w:lineRule="exact"/>
        <w:rPr>
          <w:sz w:val="20"/>
          <w:szCs w:val="20"/>
          <w:color w:val="auto"/>
        </w:rPr>
      </w:pPr>
    </w:p>
    <w:p>
      <w:pPr>
        <w:ind w:left="2360"/>
        <w:spacing w:after="0"/>
        <w:tabs>
          <w:tab w:leader="none" w:pos="3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Peter Thiel</w:t>
      </w:r>
    </w:p>
    <w:p>
      <w:pPr>
        <w:spacing w:after="0" w:line="152" w:lineRule="exact"/>
        <w:rPr>
          <w:sz w:val="20"/>
          <w:szCs w:val="20"/>
          <w:color w:val="auto"/>
        </w:rPr>
      </w:pPr>
    </w:p>
    <w:p>
      <w:pPr>
        <w:ind w:left="2280"/>
        <w:spacing w:after="0"/>
        <w:tabs>
          <w:tab w:leader="none" w:pos="3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Thiel</w:t>
      </w:r>
    </w:p>
    <w:p>
      <w:pPr>
        <w:spacing w:after="0" w:line="4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Name/Title: Peter Thiel</w:t>
      </w:r>
    </w:p>
    <w:p>
      <w:pPr>
        <w:spacing w:after="0" w:line="44" w:lineRule="exact"/>
        <w:rPr>
          <w:sz w:val="20"/>
          <w:szCs w:val="20"/>
          <w:color w:val="auto"/>
        </w:rPr>
      </w:pPr>
    </w:p>
    <w:p>
      <w:pPr>
        <w:ind w:left="2280"/>
        <w:spacing w:after="0"/>
        <w:tabs>
          <w:tab w:leader="none" w:pos="3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sectPr>
      <w:pgSz w:w="11900" w:h="16838" w:orient="portrait"/>
      <w:cols w:equalWidth="0" w:num="1">
        <w:col w:w="10920"/>
      </w:cols>
      <w:pgMar w:left="580" w:top="13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2"/>
      <w:numFmt w:val="bullet"/>
      <w:start w:val="1"/>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5"/>
      <w:numFmt w:val="bullet"/>
      <w:start w:val="1"/>
    </w:lvl>
  </w:abstractNum>
  <w:abstractNum w:abstractNumId="7">
    <w:nsid w:val="216231B"/>
    <w:multiLevelType w:val="hybridMultilevel"/>
    <w:lvl w:ilvl="0">
      <w:lvlJc w:val="left"/>
      <w:lvlText w:val="2"/>
      <w:numFmt w:val="bullet"/>
      <w:start w:val="1"/>
    </w:lvl>
  </w:abstractNum>
  <w:abstractNum w:abstractNumId="8">
    <w:nsid w:val="1F16E9E8"/>
    <w:multiLevelType w:val="hybridMultilevel"/>
    <w:lvl w:ilvl="0">
      <w:lvlJc w:val="left"/>
      <w:lvlText w:val="3"/>
      <w:numFmt w:val="bullet"/>
      <w:start w:val="1"/>
    </w:lvl>
  </w:abstractNum>
  <w:abstractNum w:abstractNumId="9">
    <w:nsid w:val="1190CDE7"/>
    <w:multiLevelType w:val="hybridMultilevel"/>
    <w:lvl w:ilvl="0">
      <w:lvlJc w:val="left"/>
      <w:lvlText w:val="2"/>
      <w:numFmt w:val="bullet"/>
      <w:start w:val="1"/>
    </w:lvl>
  </w:abstractNum>
  <w:abstractNum w:abstractNumId="10">
    <w:nsid w:val="66EF438D"/>
    <w:multiLevelType w:val="hybridMultilevel"/>
    <w:lvl w:ilvl="0">
      <w:lvlJc w:val="left"/>
      <w:lvlText w:val="3"/>
      <w:numFmt w:val="bullet"/>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2025-11-12T16:15:58Z</dcterms:created>
  <dcterms:modified xsi:type="dcterms:W3CDTF">2025-11-12T16:15:58Z</dcterms:modified>
</cp:coreProperties>
</file>