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MCLAUGHLIN KEVIN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209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Invivyd, Inc.</w:t>
              </w:r>
            </w:hyperlink>
            <w:r>
              <w:rPr/>
              <w:t xml:space="preserve"> [ </w:t>
            </w:r>
            <w:r>
              <w:rPr>
                <w:rFonts w:ascii="Times;serif" w:hAnsi="Times;serif"/>
                <w:color w:val="0000FF"/>
                <w:sz w:val="24"/>
                <w:shd w:fill="FFFFFF" w:val="clear"/>
              </w:rPr>
              <w:t>IVVD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May 19, 2026 and vests in full upon the earlier of (i) May 19, 2027 or (ii) the date of the Issuer's 2027 Annual Meeting of Stockholders,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Kevin F. McLaughlin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4938" TargetMode="External"/><Relationship Id="rId5" Type="http://schemas.openxmlformats.org/officeDocument/2006/relationships/hyperlink" Target="http://www.sec.gov/cgi-bin/browse-edgar?action=getcompany&amp;CIK=0001832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3303</Characters>
  <CharactersWithSpaces>3856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