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0001545672</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ADIMAB,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5000000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19750000.00</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110114960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01/19/2024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Private Acquisition</w:t>
            </w:r>
          </w:p>
        </w:tc>
        <w:tc>
          <w:tcPr>
            <w:tcW w:w="1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8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08/06/2021 from</w:t>
            </w:r>
          </w:p>
        </w:tc>
        <w:tc>
          <w:tcPr>
            <w:tcW w:w="14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w w:val="99"/>
              </w:rPr>
              <w:t>26687906</w:t>
            </w:r>
          </w:p>
        </w:tc>
        <w:tc>
          <w:tcPr>
            <w:tcW w:w="24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rPr>
              <w:t>08/06/2021 Cash</w:t>
            </w:r>
          </w:p>
        </w:tc>
      </w:tr>
      <w:tr>
        <w:trPr>
          <w:trHeight w:val="282"/>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Issuer/Affiliate</w:t>
            </w:r>
          </w:p>
        </w:tc>
        <w:tc>
          <w:tcPr>
            <w:tcW w:w="1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01/19/2024</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McGovern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2024-01-19T15:31:10Z</dcterms:created>
  <dcterms:modified xsi:type="dcterms:W3CDTF">2024-01-19T15:31:10Z</dcterms:modified>
</cp:coreProperties>
</file>