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333-267643</w:t>
      </w:r>
    </w:p>
    <w:p>
      <w:pPr>
        <w:spacing w:after="0" w:line="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October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160020</wp:posOffset>
            </wp:positionV>
            <wp:extent cx="259715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715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$75,000,000</w:t>
      </w:r>
    </w:p>
    <w:p>
      <w:pPr>
        <w:spacing w:after="0" w:line="2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120" w:right="80"/>
        <w:spacing w:after="0" w:line="230" w:lineRule="auto"/>
        <w:rPr>
          <w:sz w:val="20"/>
          <w:szCs w:val="20"/>
          <w:color w:val="auto"/>
        </w:rPr>
      </w:pPr>
      <w:r>
        <w:rPr>
          <w:rFonts w:ascii="Times New Roman" w:cs="Times New Roman" w:eastAsia="Times New Roman" w:hAnsi="Times New Roman"/>
          <w:sz w:val="18"/>
          <w:szCs w:val="18"/>
          <w:color w:val="auto"/>
        </w:rPr>
        <w:t>We have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the Sales Agreement, with Cantor Fitzgerald &amp; Co., or Cantor, relating to shares of our common stock, par value $0.0001 per share, offered by this prospectus supplement and the accompanying prospectus. In accordance with the terms of the Sales Agreement, we may offer and sell shares of our common stock having an aggregate offering price of up to $75,000,000 from time to time through Cantor, acting as sales agent, pursuant to this prospectus supplement.</w:t>
      </w:r>
    </w:p>
    <w:p>
      <w:pPr>
        <w:spacing w:after="0" w:line="198" w:lineRule="exact"/>
        <w:rPr>
          <w:sz w:val="24"/>
          <w:szCs w:val="24"/>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“IVVD.” On December 19, 2023, the last reported sale price of our common stock on The Nasdaq Global Market was $3.32 per share.</w:t>
      </w:r>
    </w:p>
    <w:p>
      <w:pPr>
        <w:spacing w:after="0" w:line="162" w:lineRule="exact"/>
        <w:rPr>
          <w:sz w:val="24"/>
          <w:szCs w:val="24"/>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may be made in sales deemed to be “at the market offerings” as defined in Rule 415(a)(4) promulgated under the Securities Act of 1933, as amended, or the Securities Act, including sales made directly on or through The Nasdaq Global Market or any other existing trading market for the shares of our common stock. Subject to terms of the Sales Agreement, Cantor is not required to sell any specific number or dollar amounts of common stock but will act as our sales agent using commercially reasonable efforts consistent with its normal trading and sales practices, on mutually agreed terms between Cantor and us. There is no arrangement for funds to be received in any escrow, trust or similar arrangement.</w:t>
      </w:r>
    </w:p>
    <w:p>
      <w:pPr>
        <w:spacing w:after="0" w:line="187" w:lineRule="exact"/>
        <w:rPr>
          <w:sz w:val="24"/>
          <w:szCs w:val="24"/>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Cantor will be entitled to compensation under the terms of the Sales Agreement at a commission rate of 3.0% of the gross sales price per share sold. In connection with the sale of our common stock on our behalf, Cantor will be deemed to be an “underwriter” within the meaning of the Securities Act and the compensation of Cantor will be deemed to be underwriting commissions or discounts. We have also agreed to provide indemnification and contributions to Cantor against certain civil liabilities, including liabilities under the Securities Act. See “Plan of Distribution.”</w:t>
      </w:r>
    </w:p>
    <w:p>
      <w:pPr>
        <w:spacing w:after="0" w:line="180" w:lineRule="exact"/>
        <w:rPr>
          <w:sz w:val="24"/>
          <w:szCs w:val="24"/>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by the Jumpstart Our Business Startups Act of 2012 and, as such, we are subject to reduced public company reporting requirements for this prospectus supplement and future filings. Refer to the section entitled “Implications of Being an Emerging Growth Company” beginning on page S-1 of this prospectus supplement for more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right="180"/>
        <w:spacing w:after="0" w:line="263" w:lineRule="auto"/>
        <w:rPr>
          <w:sz w:val="20"/>
          <w:szCs w:val="20"/>
          <w:color w:val="auto"/>
        </w:rPr>
      </w:pPr>
      <w:r>
        <w:rPr>
          <w:rFonts w:ascii="Times New Roman" w:cs="Times New Roman" w:eastAsia="Times New Roman" w:hAnsi="Times New Roman"/>
          <w:sz w:val="21"/>
          <w:szCs w:val="21"/>
          <w:b w:val="1"/>
          <w:bCs w:val="1"/>
          <w:color w:val="auto"/>
        </w:rPr>
        <w:t>Investing in our common stock involves a high degree of risk. See “</w:t>
      </w:r>
      <w:r>
        <w:rPr>
          <w:rFonts w:ascii="Times New Roman" w:cs="Times New Roman" w:eastAsia="Times New Roman" w:hAnsi="Times New Roman"/>
          <w:sz w:val="21"/>
          <w:szCs w:val="21"/>
          <w:b w:val="1"/>
          <w:bCs w:val="1"/>
          <w:u w:val="single" w:color="auto"/>
          <w:color w:val="0000EE"/>
        </w:rPr>
        <w:t>Risk Factors</w:t>
      </w:r>
      <w:r>
        <w:rPr>
          <w:rFonts w:ascii="Times New Roman" w:cs="Times New Roman" w:eastAsia="Times New Roman" w:hAnsi="Times New Roman"/>
          <w:sz w:val="21"/>
          <w:szCs w:val="21"/>
          <w:b w:val="1"/>
          <w:bCs w:val="1"/>
          <w:color w:val="auto"/>
        </w:rPr>
        <w:t>” beginning on page S-5 of this prospectus supplement and elsewhere in this prospectus supplement, the accompanying base prospectus and the other documents that are incorporated by reference in this prospectus supplement and the accompanying prospectus.</w:t>
      </w:r>
    </w:p>
    <w:p>
      <w:pPr>
        <w:spacing w:after="0" w:line="160" w:lineRule="exact"/>
        <w:rPr>
          <w:sz w:val="24"/>
          <w:szCs w:val="24"/>
          <w:color w:val="auto"/>
        </w:rPr>
      </w:pPr>
    </w:p>
    <w:p>
      <w:pPr>
        <w:jc w:val="both"/>
        <w:ind w:left="120" w:right="50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139700</wp:posOffset>
            </wp:positionV>
            <wp:extent cx="1920240" cy="368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December 22, 2023</w:t>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4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6"/>
            <w:vMerge w:val="restart"/>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16"/>
            <w:vMerge w:val="continue"/>
          </w:tcPr>
          <w:p>
            <w:pPr>
              <w:spacing w:after="0"/>
              <w:rPr>
                <w:sz w:val="14"/>
                <w:szCs w:val="14"/>
                <w:color w:val="auto"/>
              </w:rPr>
            </w:pPr>
          </w:p>
        </w:tc>
        <w:tc>
          <w:tcPr>
            <w:tcW w:w="7120" w:type="dxa"/>
            <w:vAlign w:val="bottom"/>
            <w:gridSpan w:val="6"/>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8"/>
          </w:tcPr>
          <w:p>
            <w:pPr>
              <w:spacing w:after="0"/>
              <w:rPr>
                <w:sz w:val="17"/>
                <w:szCs w:val="17"/>
                <w:color w:val="auto"/>
              </w:rPr>
            </w:pPr>
          </w:p>
        </w:tc>
        <w:tc>
          <w:tcPr>
            <w:tcW w:w="728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NOTE REGARDING FORWARD-LOOKING STATEMENTS</w:t>
            </w:r>
          </w:p>
        </w:tc>
        <w:tc>
          <w:tcPr>
            <w:tcW w:w="60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700" w:type="dxa"/>
            <w:vAlign w:val="bottom"/>
            <w:gridSpan w:val="2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52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38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561"/>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10560" w:type="dxa"/>
            <w:vAlign w:val="bottom"/>
            <w:gridSpan w:val="22"/>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MARKET, INDUSTRY AND OTHER DATA</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2400" w:type="dxa"/>
            <w:vAlign w:val="bottom"/>
            <w:tcBorders>
              <w:top w:val="single" w:sz="8" w:color="0000EE"/>
            </w:tcBorders>
            <w:gridSpan w:val="11"/>
          </w:tcPr>
          <w:p>
            <w:pPr>
              <w:spacing w:after="0"/>
              <w:rPr>
                <w:sz w:val="17"/>
                <w:szCs w:val="17"/>
                <w:color w:val="auto"/>
              </w:rPr>
            </w:pPr>
          </w:p>
        </w:tc>
        <w:tc>
          <w:tcPr>
            <w:tcW w:w="724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GENERAL DESCRIPTION OF OUR SECURITIES</w:t>
            </w:r>
          </w:p>
        </w:tc>
        <w:tc>
          <w:tcPr>
            <w:tcW w:w="674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COMMON STOCK</w:t>
            </w:r>
          </w:p>
        </w:tc>
        <w:tc>
          <w:tcPr>
            <w:tcW w:w="718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700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440" w:type="dxa"/>
            <w:vAlign w:val="bottom"/>
            <w:gridSpan w:val="10"/>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120" w:type="dxa"/>
            <w:vAlign w:val="bottom"/>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UNITS</w:t>
            </w:r>
          </w:p>
        </w:tc>
        <w:tc>
          <w:tcPr>
            <w:tcW w:w="712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440" w:type="dxa"/>
            <w:vAlign w:val="bottom"/>
            <w:gridSpan w:val="10"/>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11"/>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7"/>
          </w:tcPr>
          <w:p>
            <w:pPr>
              <w:spacing w:after="0"/>
              <w:rPr>
                <w:sz w:val="17"/>
                <w:szCs w:val="17"/>
                <w:color w:val="auto"/>
              </w:rPr>
            </w:pPr>
          </w:p>
        </w:tc>
        <w:tc>
          <w:tcPr>
            <w:tcW w:w="676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“shelf” registration statement on Form S-3 that we filed with the Securities and Exchange Commission, or SEC, on September 28, 2022, and which was declared effective by the SEC on October 5, 2022.</w:t>
      </w:r>
    </w:p>
    <w:p>
      <w:pPr>
        <w:spacing w:after="0" w:line="16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our common stock and adds to and updates the information contained in the accompanying prospectus. The second part, the accompanying prospectus, provides more general information, some of which may not apply to this offering. Generally, when we refer to this prospectus, we are referring to both parts of this document combined. To the extent there is a conflict between the information contained in this prospectus supplement and the information contained in the accompanying prospectus, you should rely on the information in this prospectus supplement.</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the offering of shares of our common stock. Before buying any of the shares of common stock offered hereby, we urge you to read carefully this prospectus supplement and the accompanying prospectus, together with the information incorporated herein by reference as described below under the heading “Incorporation of Certain Information by Reference.” This prospectus supplement contains information about the common stock offered hereby and may add to, update or change information in the accompanying prospectus.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and the accompanying 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not, and Cantor has not, authorized anyone to provide you with different or additional information.</w:t>
      </w:r>
    </w:p>
    <w:p>
      <w:pPr>
        <w:spacing w:after="0" w:line="207"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color w:val="auto"/>
        </w:rPr>
        <w:t>We are not making offers to sell or solicitations to buy our common stock in any jurisdiction in which an offer or solicitation is not authorized or in which the person making that offer or solicitation is not qualified to do so or to anyone to whom it is unlawful to make an offer or solicitation. You should assume that the information in this prospectus supplement and the accompanying prospectus is accurate only as of the date on the front of the respective document and that any information that we have incorporated by reference is accurate only as of the date of the document incorporated by reference, regardless of the time of delivery of this prospectus supplement or the accompanying prospectus or the time of any sale of our common stock.</w:t>
      </w:r>
    </w:p>
    <w:p>
      <w:pPr>
        <w:spacing w:after="0" w:line="168"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herein by reference as exhibits to the registration statement, and you may obtain copies of those documents as described below under the section entitled “Where You Can Find More Information.”</w:t>
      </w:r>
    </w:p>
    <w:p>
      <w:pPr>
        <w:spacing w:after="0" w:line="183" w:lineRule="exact"/>
        <w:rPr>
          <w:sz w:val="20"/>
          <w:szCs w:val="20"/>
          <w:color w:val="auto"/>
        </w:rPr>
      </w:pPr>
    </w:p>
    <w:p>
      <w:pPr>
        <w:ind w:left="120" w:right="36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and incorporate by reference market data and industry statistics and forecasts that are based on independent industry publications and other publicly-available information. Although we believe these sources are reliable, we do not guarantee the accuracy or completeness of this information and we have not independently verified this information. Although we are not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aware of any misstatements regarding the market and industry data presented in this prospectus supplement, the accompanying prospectus or the documents incorporated herein by reference, these estimates involve risks and uncertainties and are subject to change based on various factors, including those discussed under the headings “Risk Factors” in this prospectus supplement and the accompanying prospectus, and under similar headings in the other documents that are incorporated herein by reference. Accordingly, investors should not place undue reliance on this information.</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References in this prospectus supplement to the terms “the Company,” “Invivyd,” “we,” “our” and “us” or other similar terms mean Invivyd, Inc. and our wholly-owned subsidiaries, unless we state otherwise or the context indicates otherwise.</w:t>
      </w:r>
    </w:p>
    <w:p>
      <w:pPr>
        <w:spacing w:after="0" w:line="16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“Invivyd,” “Invymab” and the Invivyd logo are our trademarks. This prospectus supplement and the accompanying prospectus and the documents incorporated by reference herein and therein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04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us and this offering and does not contain all of the information that you should consider in making your investment decision. You should carefully read this entire prospectus supplement and the accompanying prospectus, including the risks and uncertainties discussed under the heading “Risk Factors” beginning on page S-5 of this prospectus supplement, and the information incorporated by reference in this prospectus supplement and the accompanying prospectus, including our financial statements, before making an investment decision. If you invest in our securities, you are assuming a high degree of risk.</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60"/>
        <w:spacing w:after="0" w:line="233" w:lineRule="auto"/>
        <w:rPr>
          <w:sz w:val="20"/>
          <w:szCs w:val="20"/>
          <w:color w:val="auto"/>
        </w:rPr>
      </w:pPr>
      <w:r>
        <w:rPr>
          <w:rFonts w:ascii="Times New Roman" w:cs="Times New Roman" w:eastAsia="Times New Roman" w:hAnsi="Times New Roman"/>
          <w:sz w:val="18"/>
          <w:szCs w:val="18"/>
          <w:color w:val="auto"/>
        </w:rPr>
        <w:t>We are a biopharmaceutical company on a mission to rapidly and perpetually deliver antibody-based therapies that protect vulnerable people from the devastating consequences of circulating viral threats, beginning with SARS-CoV-2. Our proprietary INVYMAB</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approach combines state-of-the-art viral surveillance and predictive modeling with advanced antibody engineering. Leveraging our INVYMAB platform approach, we are generating a robust pipeline of product candidates which could be used in prevention or treatment of serious viral diseases, starting with COVID-19 and expanding into influenza and other high-need indications.</w:t>
      </w:r>
    </w:p>
    <w:p>
      <w:pPr>
        <w:spacing w:after="0" w:line="202"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For more information about our company, please refer to other documents that we have filed with the SEC and that are incorporated by reference in this prospectus supplement, as listed under the heading “Incorporation of Certain Information by Reference.”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June 2020. Our principal executive offices are located at 1601 Trapelo Road, Suite 178, Waltham, MA 02451 and our telephone number is (781) 819-0080. Our website address is www.invivyd.com. We do not incorporate the information on, or accessible through, our website into this prospectus, and you should not consider any information on, or accessible through, our website as part of this prospectus supplement.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10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4" w:lineRule="exact"/>
        <w:rPr>
          <w:sz w:val="20"/>
          <w:szCs w:val="20"/>
          <w:color w:val="auto"/>
        </w:rPr>
      </w:pPr>
    </w:p>
    <w:p>
      <w:pPr>
        <w:ind w:left="1240" w:right="62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30"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67" w:lineRule="exact"/>
        <w:rPr>
          <w:rFonts w:ascii="Times New Roman" w:cs="Times New Roman" w:eastAsia="Times New Roman" w:hAnsi="Times New Roman"/>
          <w:sz w:val="18"/>
          <w:szCs w:val="18"/>
          <w:color w:val="auto"/>
        </w:rPr>
      </w:pPr>
    </w:p>
    <w:p>
      <w:pPr>
        <w:ind w:left="1240" w:right="102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624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4624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76"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or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Runway Statement and Our Ability to Continue as a Going Concern</w:t>
      </w:r>
    </w:p>
    <w:p>
      <w:pPr>
        <w:spacing w:after="0" w:line="121" w:lineRule="exact"/>
        <w:rPr>
          <w:sz w:val="20"/>
          <w:szCs w:val="20"/>
          <w:color w:val="auto"/>
        </w:rPr>
      </w:pPr>
    </w:p>
    <w:p>
      <w:pPr>
        <w:ind w:left="300" w:right="40"/>
        <w:spacing w:after="0" w:line="312" w:lineRule="auto"/>
        <w:rPr>
          <w:sz w:val="20"/>
          <w:szCs w:val="20"/>
          <w:color w:val="auto"/>
        </w:rPr>
      </w:pPr>
      <w:r>
        <w:rPr>
          <w:rFonts w:ascii="Times New Roman" w:cs="Times New Roman" w:eastAsia="Times New Roman" w:hAnsi="Times New Roman"/>
          <w:sz w:val="17"/>
          <w:szCs w:val="17"/>
          <w:color w:val="auto"/>
        </w:rPr>
        <w:t>Based on our current plans and excluding any contribution from revenues or external financing, we believe that our existing cash, cash equivalents and marketable securities will be sufficient to fund our operating expenses and capital expenditure requirements into the fourth quarter of 2024.</w:t>
      </w:r>
    </w:p>
    <w:p>
      <w:pPr>
        <w:spacing w:after="0" w:line="140"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In accordance with Accounting Standards Update 2014-15, Disclosure of Uncertainties about an Entity’s Ability to Continue as a Going Concern (Subtopic 205-40), we are required to evaluate whether there are conditions and events, considered in the aggregate, that raise substantial doubt about our ability to continue as a going concern from the issuance date of our financial statements. Because our funds currently on hand will not be sufficient to fund our operations, as currently planned, for more than one year beyond the filing date of this prospectus supplement, we have determined that there is substantial doubt regarding our ability to continue as a going concern. If we do not raise sufficient funds under the Sales Agreement or through other means, then in connection with the future filing of our Annual Report on Form 10-K for the year ended December 31, 2023, or the 2023 Form 10-K, we expect that we will disclose in such filing that we will not have sufficient liquidity to fund our operations for more than one year beyond the filing date of the 2023 Form 10-K. As a result, we expect that the opinion from our independent registered public accounting firm on such annual financial statements will contain an explanatory paragraph about such substantial doubt about our ability to continue as a going concern. We will require additional funding for the development of our future product candidates through regulatory authorization or approval and commercialization, if authorized or approved, and to support our continued operations. There is no assurance that we will be successful in obtaining sufficient funding on acceptable terms, if at all, and we could be forced to delay, reduce or eliminate some or all of our research and development programs, product portfolio expansion or commercialization efforts, which could materially adversely affect our business prospects or our ability to continue operations.</w:t>
      </w:r>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00"/>
          </w:cols>
          <w:pgMar w:left="320" w:top="455"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81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380" w:right="440" w:hanging="78"/>
        <w:spacing w:after="0" w:line="261" w:lineRule="auto"/>
        <w:rPr>
          <w:sz w:val="20"/>
          <w:szCs w:val="20"/>
          <w:color w:val="auto"/>
        </w:rPr>
      </w:pPr>
      <w:r>
        <w:rPr>
          <w:rFonts w:ascii="Times New Roman" w:cs="Times New Roman" w:eastAsia="Times New Roman" w:hAnsi="Times New Roman"/>
          <w:sz w:val="18"/>
          <w:szCs w:val="18"/>
          <w:b w:val="1"/>
          <w:bCs w:val="1"/>
          <w:color w:val="auto"/>
        </w:rPr>
        <w:t>Common stock offered by us pursuant to this</w:t>
      </w:r>
      <w:r>
        <w:rPr>
          <w:sz w:val="20"/>
          <w:szCs w:val="20"/>
          <w:color w:val="auto"/>
        </w:rPr>
        <w:t xml:space="preserve"> </w:t>
      </w:r>
      <w:r>
        <w:rPr>
          <w:rFonts w:ascii="Times New Roman" w:cs="Times New Roman" w:eastAsia="Times New Roman" w:hAnsi="Times New Roman"/>
          <w:sz w:val="18"/>
          <w:szCs w:val="18"/>
          <w:color w:val="auto"/>
        </w:rPr>
        <w:t xml:space="preserve">Shares of our common stock having an aggregate offering price of up to $75,000,000. </w:t>
      </w: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50" w:lineRule="exact"/>
        <w:rPr>
          <w:sz w:val="20"/>
          <w:szCs w:val="20"/>
          <w:color w:val="auto"/>
        </w:rPr>
      </w:pPr>
    </w:p>
    <w:p>
      <w:pPr>
        <w:ind w:left="4340" w:hanging="403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Common stock to be outstanding after this offering </w:t>
      </w:r>
      <w:r>
        <w:rPr>
          <w:rFonts w:ascii="Times New Roman" w:cs="Times New Roman" w:eastAsia="Times New Roman" w:hAnsi="Times New Roman"/>
          <w:sz w:val="18"/>
          <w:szCs w:val="18"/>
          <w:color w:val="auto"/>
        </w:rPr>
        <w:t>Up to 132,436,690 shares (as more fully described in the notes following this 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assuming sales of 22,590,361 shares of our common stock in this offering at an offering price of $3.32 per share, which was the last reported sale price of our common stock on The Nasdaq Global Market on December 19, 2023. The actual number of shares issued will vary depending on the sales price under this offering.</w:t>
      </w:r>
    </w:p>
    <w:p>
      <w:pPr>
        <w:sectPr>
          <w:pgSz w:w="11900" w:h="16838" w:orient="portrait"/>
          <w:cols w:equalWidth="0" w:num="1">
            <w:col w:w="10940"/>
          </w:cols>
          <w:pgMar w:left="320" w:top="455" w:right="639" w:bottom="1440" w:gutter="0" w:footer="0" w:header="0"/>
        </w:sectPr>
      </w:pP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“At the market offering” as defined in Rule 415(a)(4) under the Securities Act, that may be made from time to time on The Nasdaq Global Market, the existing trading market for our common stock, through our sales agent, Cantor. See “Plan of Distribution” on page S-14 of this prospectus supplement.</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300"/>
        <w:spacing w:after="0" w:line="281" w:lineRule="auto"/>
        <w:rPr>
          <w:sz w:val="20"/>
          <w:szCs w:val="20"/>
          <w:color w:val="auto"/>
        </w:rPr>
      </w:pPr>
      <w:r>
        <w:rPr>
          <w:rFonts w:ascii="Times New Roman" w:cs="Times New Roman" w:eastAsia="Times New Roman" w:hAnsi="Times New Roman"/>
          <w:sz w:val="17"/>
          <w:szCs w:val="17"/>
          <w:color w:val="auto"/>
        </w:rPr>
        <w:t>We intend to use the net proceeds from this offering to fund the clinical development, manufacturing supply and commercialization costs of VYD222, for research and development related to our other programs, and for working capital and other general corporate purposes. See “Use of Proceeds” on page S-11 of this prospectus supplement.</w:t>
      </w:r>
    </w:p>
    <w:p>
      <w:pPr>
        <w:spacing w:after="0" w:line="187"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ind w:right="60"/>
        <w:spacing w:after="0" w:line="274" w:lineRule="auto"/>
        <w:rPr>
          <w:sz w:val="20"/>
          <w:szCs w:val="20"/>
          <w:color w:val="auto"/>
        </w:rPr>
      </w:pPr>
      <w:r>
        <w:rPr>
          <w:rFonts w:ascii="Times New Roman" w:cs="Times New Roman" w:eastAsia="Times New Roman" w:hAnsi="Times New Roman"/>
          <w:sz w:val="17"/>
          <w:szCs w:val="17"/>
          <w:color w:val="auto"/>
        </w:rPr>
        <w:t>An investment in our common stock involves a high degree of risk. See the information contained in or incorporated by reference under “Risk Factors” on page S-5 of this prospectus supplement, page 33 of our Annual Report on Form 10-K for the fiscal year ended December 31, 2022 and under similar headings in the other documents that are incorporated by reference herein, as well as the other information included in or incorporated by reference in this prospectus supplement and the accompanying prospectus.</w:t>
      </w:r>
    </w:p>
    <w:p>
      <w:pPr>
        <w:spacing w:after="0" w:line="196"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right="620" w:firstLine="2"/>
        <w:spacing w:after="0" w:line="511" w:lineRule="auto"/>
        <w:rPr>
          <w:sz w:val="20"/>
          <w:szCs w:val="20"/>
          <w:color w:val="auto"/>
        </w:rPr>
      </w:pPr>
      <w:r>
        <w:rPr>
          <w:rFonts w:ascii="Times New Roman" w:cs="Times New Roman" w:eastAsia="Times New Roman" w:hAnsi="Times New Roman"/>
          <w:sz w:val="18"/>
          <w:szCs w:val="18"/>
          <w:b w:val="1"/>
          <w:bCs w:val="1"/>
          <w:color w:val="auto"/>
        </w:rPr>
        <w:t>The Nasdaq Global Market symbol Outstanding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“IVVD”</w:t>
      </w:r>
    </w:p>
    <w:p>
      <w:pPr>
        <w:spacing w:after="0" w:line="682"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109,846,329 shares of our common stock outstanding as of September 30, 2023. Unless specifically stated otherwise, the information in this prospectus supplement is as of September 30, 2023, and excludes:</w:t>
      </w:r>
    </w:p>
    <w:p>
      <w:pPr>
        <w:spacing w:after="0" w:line="81" w:lineRule="exact"/>
        <w:rPr>
          <w:sz w:val="20"/>
          <w:szCs w:val="20"/>
          <w:color w:val="auto"/>
        </w:rPr>
      </w:pPr>
    </w:p>
    <w:p>
      <w:pPr>
        <w:ind w:left="1240" w:right="360" w:hanging="415"/>
        <w:spacing w:after="0" w:line="261"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22,046,348 shares of our common stock issuable upon the exercise of stock options outstanding as of September 30, 2023 at a weighted-average exercise price of $5.63 per share (less 300,396 shares of our common stock issued upon the exercise of stock options subsequent to September 30, 2023 through December 19, 2023, at a weighted average exercise price of $0.78 per share of common stock and less 2,557,938 shares of our common stock underlying stock options that were forfeited due to the</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601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26015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00"/>
        <w:spacing w:after="0" w:line="282" w:lineRule="auto"/>
        <w:rPr>
          <w:sz w:val="20"/>
          <w:szCs w:val="20"/>
          <w:color w:val="auto"/>
        </w:rPr>
      </w:pPr>
      <w:r>
        <w:rPr>
          <w:rFonts w:ascii="Times New Roman" w:cs="Times New Roman" w:eastAsia="Times New Roman" w:hAnsi="Times New Roman"/>
          <w:sz w:val="18"/>
          <w:szCs w:val="18"/>
          <w:color w:val="auto"/>
        </w:rPr>
        <w:t>cancellation or expiration of stock options subsequent to September 30, 2023 through December 19, 2023, at a weighted average exercise price of $7.48 per share of common stock);</w:t>
      </w:r>
    </w:p>
    <w:p>
      <w:pPr>
        <w:spacing w:after="0" w:line="67" w:lineRule="exact"/>
        <w:rPr>
          <w:sz w:val="20"/>
          <w:szCs w:val="20"/>
          <w:color w:val="auto"/>
        </w:rPr>
      </w:pPr>
    </w:p>
    <w:p>
      <w:pPr>
        <w:ind w:left="1240" w:hanging="415"/>
        <w:spacing w:after="0" w:line="258"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20,233,522 shares of our common stock available for future issuance under our 2021 Equity Incentive Plan, or the 2021 Plan, as of September 30, 2023, as well as any future automatic annual increases in the number of shares of common stock reserved for issuance under our 2021 Plan (less 3,892,500 shares issuable upon the exercise of stock options granted subsequent to September 30, 2023 through December 19, 2023, plus 2,557,938 shares of our common stock that were forfeited due to the cancellation and/or expiration of stock options subsequent to September 30, 2023 through December 19, 2023);</w:t>
      </w:r>
    </w:p>
    <w:p>
      <w:pPr>
        <w:spacing w:after="0" w:line="88" w:lineRule="exact"/>
        <w:rPr>
          <w:rFonts w:ascii="Times New Roman" w:cs="Times New Roman" w:eastAsia="Times New Roman" w:hAnsi="Times New Roman"/>
          <w:sz w:val="18"/>
          <w:szCs w:val="18"/>
          <w:color w:val="auto"/>
        </w:rPr>
      </w:pPr>
    </w:p>
    <w:p>
      <w:pPr>
        <w:ind w:left="1240" w:right="5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6,824,712 shares of our common stock issuable upon exercise of warrants outstanding as of September 30, 2023, which had a weighted average exercise price of $3.48 per share at that date;</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1,082,501 shares of our common stock reserved for future issuance under our 2021 Employee Stock Purchase Plan, or ESPP, as of September 30, 2023 (less 30,724 shares issued on December 4, 2023), as well as any future automatic annual increases in the number of shares of common stock reserved for future issuance under our ESPP; and</w:t>
      </w:r>
    </w:p>
    <w:p>
      <w:pPr>
        <w:spacing w:after="0" w:line="81" w:lineRule="exact"/>
        <w:rPr>
          <w:rFonts w:ascii="Times New Roman" w:cs="Times New Roman" w:eastAsia="Times New Roman" w:hAnsi="Times New Roman"/>
          <w:sz w:val="18"/>
          <w:szCs w:val="18"/>
          <w:color w:val="auto"/>
        </w:rPr>
      </w:pPr>
    </w:p>
    <w:p>
      <w:pPr>
        <w:ind w:left="1240" w:right="18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31,765 shares of unvested restricted common stock repurchased by us in October 2023 at the original purchase price upon a termination of service of an employee during the vesting period. In December 2023, we retired the 31,765 shares of treasury stock. Upon retirement, such shares were redesignated as authorized but unissued shares of our common stock.</w:t>
      </w:r>
    </w:p>
    <w:p>
      <w:pPr>
        <w:spacing w:after="0" w:line="28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820"/>
          </w:cols>
          <w:pgMar w:left="320" w:top="455" w:right="7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investing in our common stock, you should carefully consider the risks described below, together with all of the other information contained in this prospectus supplement and the accompanying prospectus and incorporated by reference herein and therein, including from our most recent Annual Report on Form 10-K and any subsequent Quarterly Reports on Form 10-Q or Current Reports on Form 8-K, as well as any amendments or update to our risk factors thereto reflected in subsequent filings with the SEC. Some of these factors relate principally to our business and the industry in which we operate. Other factors relate principally to your investment in our securities. The risks and uncertainties described therein and below are not the only risks facing us. Additional risks and uncertainties not presently known to us or that we currently deem immaterial may also materially and adversely affect our business and operations.</w:t>
      </w:r>
    </w:p>
    <w:p>
      <w:pPr>
        <w:spacing w:after="0" w:line="291"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If any of the matters included in the following risks were to occur, our business, financial condition, results of operations, cash flows or prospects could be materially and adversely affected. In such case, you may lose all or part of your investment.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left="120"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and expect to incur substantial future losses; because our funds currently on hand and the expected net proceeds from this offering will not be sufficient to fund our operations, as currently planned, for more than one year beyond the filing date of this prospectus supplement, we have determined that there is substantial doubt regarding our ability to continue as a going concern; we also expect that without raising additional sufficient funds, the report of our auditor on our consolidated financial statements for fiscal year 2023 will express substantial doubt about our ability to continue as a going concern.</w:t>
      </w:r>
    </w:p>
    <w:p>
      <w:pPr>
        <w:spacing w:after="0" w:line="75"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To date, we have not generated any revenue from the sale of products and have incurred losses in each year since our inception in 2020. Our net loss was $125.0 million for the nine months ended September 30, 2023. Our net loss was $241.3 million for the year ended December 31, 2022. All of our product candidates, other than adintrevimab, are in clinical or preclinical development, none have been authorized or approved for sale and we may never have a product candidate authorized or approved for commercialization. To date, we have financed our operations primarily through sales of our equity securities.</w:t>
      </w:r>
    </w:p>
    <w:p>
      <w:pPr>
        <w:spacing w:after="0" w:line="183" w:lineRule="exact"/>
        <w:rPr>
          <w:sz w:val="20"/>
          <w:szCs w:val="20"/>
          <w:color w:val="auto"/>
        </w:rPr>
      </w:pPr>
    </w:p>
    <w:p>
      <w:pPr>
        <w:jc w:val="both"/>
        <w:ind w:left="120" w:right="620"/>
        <w:spacing w:after="0" w:line="266" w:lineRule="auto"/>
        <w:rPr>
          <w:sz w:val="20"/>
          <w:szCs w:val="20"/>
          <w:color w:val="auto"/>
        </w:rPr>
      </w:pPr>
      <w:r>
        <w:rPr>
          <w:rFonts w:ascii="Times New Roman" w:cs="Times New Roman" w:eastAsia="Times New Roman" w:hAnsi="Times New Roman"/>
          <w:sz w:val="18"/>
          <w:szCs w:val="18"/>
          <w:color w:val="auto"/>
        </w:rPr>
        <w:t>Based on our current plans, we believe that our estimated cash, cash equivalents and marketable securities as of December 31, 2023 will not be sufficient to fund our operating expenses and capital expenditure requirements for more than one year beyond the filing date of this prospectus supplement. Specifically, we believe these funds will be sufficient to fund our operations into the fourth quarter of 2024.</w:t>
      </w:r>
    </w:p>
    <w:p>
      <w:pPr>
        <w:spacing w:after="0" w:line="176"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Because our funds currently on hand will not be sufficient to fund our operations for more than one year beyond the filing date of this prospectus supplement, we have determined that there is substantial doubt regarding our ability to continue as a going concern. If we do not raise sufficient funds under the Sales Agreement or through other means, then in connection with our future filing of the 2023 Form 10-K, we expect that we will disclose in such filing that we will not have sufficient liquidity to fund our operations for more than one year beyond the filing date of the 2023 Form 10-K and therefore that raises substantial doubt about our ability to continue as a going concern. As a result, we expect that the opinion from our independent registered public accounting firm on such annual financial statements will contain an explanatory paragraph about such substantial doubt about our ability to continue as a going concern.</w:t>
      </w:r>
    </w:p>
    <w:p>
      <w:pPr>
        <w:spacing w:after="0" w:line="18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substantial doubt about our ability to continue as a going concern may adversely affect our stock price and our ability to raise capital. If we are unable to obtain additional capital, we may not be able to continue our operations on the scope or scale as currently conducted, and that could have a material adverse effect on our business, results of operations and financial condition.</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040"/>
          </w:cols>
          <w:pgMar w:left="320" w:top="455" w:right="5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substantial number of shares may be sold in the market following this offering, which may depress the market price for our common stock.</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following this offering could cause the market price of our common stock to decline. Although there can be no assurance that any of the $75.0 million worth of shares being offered under this prospectus supplement will be sold or the price at which any such shares might be sold, assuming that an aggregate of 22,590,361 shares of our common stock are sold for example, at a price of $3.32 per share, the last reported sale price of our common stock on The Nasdaq Global Market on December 19, 2023, upon completion of this offering, based on our shares outstanding as of September 30, 2023, we will have outstanding an aggregate of 132,436,690 shares of common stock, assuming no exercise of our outstanding stock options or warrants. A substantial majority of the outstanding shares of our common stock are, and all of the shares sold in this offering upon issuance will be, freely tradable without restriction or further registration under the Securities Act, unless these shares are owned or purchased by “affiliates” as that term is defined in Rule 144 under the Securities Act.</w:t>
      </w:r>
    </w:p>
    <w:p>
      <w:pPr>
        <w:spacing w:after="0" w:line="192"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In addition, as of September 30, 2023, we had outstanding options to purchase 22,046,348 shares of our common stock at a weighted-average exercise price of $5.63 per share, pursuant to our 2020 Equity Incentive Plan, or 2020 Plan, and 2021 Plan. As of September 30, 2023, there were no shares of our common stock reserved for future issuance under the 2020 Plan, 20,233,522 shares of our common stock reserved for future issuance under our 2021 Plan and 1,082,501 shares of our common stock reserved for future issuance under our ESPP. From October 1, 2023 through December 19, 2023, we granted 3,892,500 stock options pursuant to our 2021 Plan. As of December 19, 2023, there were no shares of our common stock reserved for future issuance under the 2020 Plan, 18,930,725 shares of our common stock reserved for future issuance under our 2021 Plan and 1,051,777 shares of our common stock reserved for future issuance under our ESPP. The shares of our common stock issuable under the 2020 Plan, the 2021 Plan and the ESPP may be immediately eligible for resale in the open market. Such shares, along with any other market transactions, could adversely affect the market price of our common stock. Additional dilution may result from the issuance of shares of our common stock in connection with additional financings or in connection with commercial transactions.</w:t>
      </w:r>
    </w:p>
    <w:p>
      <w:pPr>
        <w:spacing w:after="0" w:line="19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Moreover, if we issue options, restricted stock units, warrants or other securities to purchase or acquire our common stock in the future and those options, restricted stock units, warrants or other securities are exercised, converted or settled you may experience further dilution. Holders of shares of our common stock have no preemptive rights that entitle them to purchase their pro rata share of any offering of shares of any class or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as-adjusted net tangible book value per share of our common stock outstanding prior to this offering. Assuming that an aggregate of 22,590,361 shares of our common stock are sold at a price of $3.32 per share, the last reported sale price of our common stock on The Nasdaq Global Market on December 19, 2023, for aggregate gross proceeds of $75.0 million, and after deducting commissions and estimated offering expenses payable by us, you will experience immediate dilution of $0.91 per share, representing the difference between our as-adjusted net tangible book value per share as of September 30, 2023 after giving effect to this offering and the assumed offering price. The exercise of outstanding stock options and warrants will result in further dilution of your investment. See the section entitled “Dilution” below for a more detailed illustration of the dilution you would incur if you participate in this offering.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or other equity issuances.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and issue additional shares of our common stock or other securities convertible into, exercisable or exchangeable for, or settled in, our common stock. We cannot assure you that we will be able to sell shares or other securities in any other offering at a price per share that is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9" w:lineRule="auto"/>
        <w:rPr>
          <w:sz w:val="20"/>
          <w:szCs w:val="20"/>
          <w:color w:val="auto"/>
        </w:rPr>
      </w:pPr>
      <w:r>
        <w:rPr>
          <w:rFonts w:ascii="Times New Roman" w:cs="Times New Roman" w:eastAsia="Times New Roman" w:hAnsi="Times New Roman"/>
          <w:sz w:val="17"/>
          <w:szCs w:val="17"/>
          <w:color w:val="auto"/>
        </w:rPr>
        <w:t>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exercisable or exchangeable for, or settled in, our common stock in future transactions may be higher or lower than the price per share in this offering. As of September 30, 2023 and December 19, 2023, we had reserved 50,187,083 and 49,887,728 shares, respectively, of our common stock for issuance upon the exercise of outstanding stock options and warrants and the issuance of awards available for grant under our 2020 Plan, 2021 Plan and ESPP.</w:t>
      </w:r>
    </w:p>
    <w:p>
      <w:pPr>
        <w:spacing w:after="0" w:line="3" w:lineRule="exact"/>
        <w:rPr>
          <w:sz w:val="20"/>
          <w:szCs w:val="20"/>
          <w:color w:val="auto"/>
        </w:rPr>
      </w:pPr>
    </w:p>
    <w:p>
      <w:pPr>
        <w:jc w:val="both"/>
        <w:ind w:left="120" w:right="80"/>
        <w:spacing w:after="0" w:line="260" w:lineRule="auto"/>
        <w:rPr>
          <w:sz w:val="20"/>
          <w:szCs w:val="20"/>
          <w:color w:val="auto"/>
        </w:rPr>
      </w:pPr>
      <w:r>
        <w:rPr>
          <w:rFonts w:ascii="Times New Roman" w:cs="Times New Roman" w:eastAsia="Times New Roman" w:hAnsi="Times New Roman"/>
          <w:sz w:val="18"/>
          <w:szCs w:val="18"/>
          <w:color w:val="auto"/>
        </w:rPr>
        <w:t>You will incur dilution upon the issuance of any shares pursuant to such plans, upon vesting and settlement of any stock awards under any such plan, or upon exercise of any such outstanding options.</w:t>
      </w:r>
    </w:p>
    <w:p>
      <w:pPr>
        <w:spacing w:after="0" w:line="285" w:lineRule="exact"/>
        <w:rPr>
          <w:sz w:val="20"/>
          <w:szCs w:val="20"/>
          <w:color w:val="auto"/>
        </w:rPr>
      </w:pPr>
    </w:p>
    <w:p>
      <w:pPr>
        <w:jc w:val="both"/>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how we use the net proceeds of this offering and, despite our efforts, we may not use these net proceeds effectively or in ways with which you agree.</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intend to use the net proceeds from this offering to fund the clinical development, manufacturing supply and commercialization costs of VYD222, for research and development related to our other programs, and for working capital and other general corporate purposes. However, we have not determined the specific allocation of the net proceeds among these potential uses. Our management will have broad discretion over the use and investment of the net proceeds of this offering, and, accordingly, investors in this offering will need to rely upon the judgment of our management with respect to the use of proceeds, with only limited information concerning our specific intentions. Our stockholders may not agree with the manner in which our management chooses to allocate and spend the net proceeds. Moreover, our management may use the net proceeds for corporate purposes that may not increase the market price of our common stock. Please see the section entitled “Use of Proceeds” on page S-11 of this prospectus supplement for further information.</w:t>
      </w:r>
    </w:p>
    <w:p>
      <w:pPr>
        <w:spacing w:after="0" w:line="29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accordingly, capital appreciation, if any, will be your sole source of gain and you may never receive a return on your investment.</w:t>
      </w:r>
    </w:p>
    <w:p>
      <w:pPr>
        <w:spacing w:after="0" w:line="5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you should not rely on an investment in our common stock to provide dividend income. We currently intend to retain all of our future earnings, if any, to finance the growth and development of our business and do not anticipate declaring or paying any cash dividends for the foreseeable future. As a result, capital appreciation, if any, of our common stock will be your sole source of gain for the foreseeable future. Furthermore, we may in the future become subject to additional contractual restrictions on, or prohibitions against, the payment of dividends.</w:t>
      </w:r>
    </w:p>
    <w:p>
      <w:pPr>
        <w:spacing w:after="0" w:line="28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aggregate proceeds resulting from sales made under the Sales Agreement, or the actual number of shares that we will issue under the Sales Agreement.</w:t>
      </w:r>
    </w:p>
    <w:p>
      <w:pPr>
        <w:spacing w:after="0" w:line="5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Cantor at any time throughout the term of the Sales Agreement. The number of shares that are sold through Cantor after delivering a placement notice will fluctuate based on a number of factors, including the market price of our common stock during the sales period, any limits we may set with Cantor in any applicable placement notice and the demand for our common stock. Because this offering can be terminated at any time and the price per share of each share sold pursuant to the Sales Agreement will fluctuate over time, it is not currently possible to predict the aggregate proceeds to be raised or the number of shares that will be issued in connection with sales under the Sales Agreement.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common stock offered hereby will be in “at the market offerings,” and investors who buy shares at different times will likely pay different prices.</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 committee thereof, or any restrictions we may place in any applicable placement notice delivered to Cantor,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00"/>
          </w:cols>
          <w:pgMar w:left="320" w:top="455" w:right="5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Various statements made in this prospectus supplement are forward-looking and involve risks and uncertainties. All statements that address activities, events or developments that we intend, expect or believe may occur in the future are forward-looking statements within the meaning of Section 27A of the Securities Act and Section 21E of the Exchange Act. Such statements give our current expectations or forecasts of future events and are not statements of historical or current facts. These statements include, among others, statements about:</w:t>
      </w:r>
    </w:p>
    <w:p>
      <w:pPr>
        <w:spacing w:after="0" w:line="85" w:lineRule="exact"/>
        <w:rPr>
          <w:sz w:val="20"/>
          <w:szCs w:val="20"/>
          <w:color w:val="auto"/>
        </w:rPr>
      </w:pPr>
    </w:p>
    <w:p>
      <w:pPr>
        <w:jc w:val="both"/>
        <w:ind w:left="1080" w:right="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 including with respect to our VYD222 program;</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VYD222 for broad neutralization activity against SARS-CoV-2 variants and the potential for neutralization activity against Omicron sublineages following XBB.1.5 and future SARS-CoV-2 variants;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rapidly and perpetually deliver antibody-based therapies that protect vulnerable people from the devastating consequences of circulating viral threats, beginning with SARS-CoV-2, and to generate a robust pipeline of product candidates which, if authorized or approved, could be used in prevention or treatment of serious viral diseases, starting with COVID-19 and expanding into influenza and other high-need indications;</w:t>
      </w:r>
    </w:p>
    <w:p>
      <w:pPr>
        <w:spacing w:after="0" w:line="85"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any submission of filings for regulatory authorization or approval of, and our ability to obtain and maintain regulatory authorizations or approvals for,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the adintrevimab clinical data package has the potential to support accelerated development of VYD222 in the U.S.;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for VYD222 and anticipated follow-on monoclonal antibody (“mAb”) candidates to follow a potential development pathway for mAbs using immunobridging via serum neutralizing titers and previously generated clinical trial data from a prototype antibody, and our plans to leverage this immunobridging pathway in the U.S. to accelerate the clinical development of VYD222 and anticipated follow-on mAb candidates, with adintrevimab or future proprietary mAbs serving as the prototype;</w:t>
      </w:r>
    </w:p>
    <w:p>
      <w:pPr>
        <w:spacing w:after="0" w:line="85" w:lineRule="exact"/>
        <w:rPr>
          <w:rFonts w:ascii="Times New Roman" w:cs="Times New Roman" w:eastAsia="Times New Roman" w:hAnsi="Times New Roman"/>
          <w:sz w:val="18"/>
          <w:szCs w:val="18"/>
          <w:color w:val="auto"/>
        </w:rPr>
      </w:pPr>
    </w:p>
    <w:p>
      <w:pPr>
        <w:ind w:left="1080" w:right="160" w:hanging="424"/>
        <w:spacing w:after="0" w:line="213"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leverage our INVYMAB</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approach to produce additional mAb candidates optimized to stay ahead of the evolving SARS-CoV-2 virus;</w:t>
      </w:r>
    </w:p>
    <w:p>
      <w:pPr>
        <w:spacing w:after="0" w:line="104"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a ‘serial monotherapy’ approach would ensure that novel mAbs would be available if and when an authorized mAb loses activity against predominant circulating variants;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authorized or approved for commercial use;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 for VYD222 or any other product candidate;</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scalability and commercial viability of our manufacturing methods and processes;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authorized or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technology and our platform approach to identify and develop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312"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of our expenses, ongoing losses, future potential revenue, capital requirements and our need for or ability to obtain additional funding before we can expect to generate any revenue from product sales, if any of our product candidates are authorized or approved;</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anticipated timeline of our cash runway, and our ability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affecting our preclinical studies or the initiation, patient enrollment, development and operation of our clinical trials, including a public health crisis, such as the outbreak of SARS-CoV-2;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use of proceeds from this offering.</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cannot guarantee that the results and other expectations expressed, anticipated or implied in any forward-looking statement will be realized. The risks set forth under Item 1A of our Annual Report on Form 10-K for the fiscal year ended December 31, 2022 and any supplementary risks set forth under Item 1A of our Quarterly Reports on Form 10-Q and other documents we file with the SEC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You should read and interpret any forward-looking statements in light of these risks.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19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supplement, the base prospectus and the documents that we incorporate by reference herein and therein completely and with the understanding that our actual future results may be materially different from what we expect. The forward-looking statements contained in this prospectus supplement are made as of the date of this prospectus supplement and we do not assume any obligation to update any forward-looking statements, whether as a result of new information, future events or otherwise, except as required by applicable law.</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issue and sell shares of common stock having aggregate sales proceeds of up to $75.0 million from time to time, before deducting sales agent commissions and expenses. The amount of proceeds from this offering will depend upon the number of shares of our common stock sold and the market price at which they are sold. There can be no assurance that we will be able to sell any shares under or fully utilize the Sales Agreement as a source of financing.</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to fund the clinical development, manufacturing supply and commercialization costs of VYD222, for research and development related to our other programs, and for working capital and other general corporate purposes. We may also use a portion of the net proceeds from this offering to acquire or invest in complementary businesses, technologies, additional product candidates or other intellectual property, although we have no present commitments or agreements to do so.</w:t>
      </w:r>
    </w:p>
    <w:p>
      <w:pPr>
        <w:spacing w:after="0" w:line="180"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amounts and timing of our use of the net proceeds from this offering will depend on a number of factors, such as the timing and progress of our commercialization efforts, research and development efforts, the timing and progress of any partnering efforts, technological advances and the competitive environment for our product candidates. As of the date of this prospectus supplement, we cannot specify with certainty all of the particular uses for the net proceeds to us from the sale of the shares of common stock offered by us hereunder. Accordingly, our management will have broad discretion in the timing and application of these proceeds. Pending application of the net proceeds as described above, we intend to temporarily invest the proceeds in short-term, interest-bearing instruments.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Purchasers of common stock in this offering will experience immediate dilution to the extent of the difference between the public offering price per share of common stock and the as-adjusted net tangible book value per share of common stock immediately after this offering.</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net tangible book value as of September 30, 2023 was approximately $246.5 million, or $2.24 per share of common stock. Net tangible book value per share is determined by dividing total tangible assets less total liabilities, excluding items such as intangibles, by the aggregate number of shares of common stock outstanding as of September 30, 2023. Dilution per share to new investors represents the difference between the amount per share paid by purchasers of our common stock in this offering and the as-adjusted net tangible book value per share of our common stock immediately following the completion of this offering.</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After giving effect to the sale of shares of common stock offered by this prospectus supplement at an assumed public offering price of $3.32 per share of common stock (the last reported sale price of our common stock on The Nasdaq Global Market on December 19, 2023), and after deducting the commissions and estimated aggregate offering expenses payable by us, our as-adjusted net tangible book value as of September 30, 2023 would have been approximately $318.9 million, or $2.41 per share of common stock. This represents an immediate increase in net tangible book value of $0.17 per share to our existing stockholders and an immediate dilution of $0.91 per share of common stock issued to the new investors purchasing securities in this offering, as illustrated by the following table:</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Assumed public offering price per share of common stock</w:t>
            </w: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2023</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$2.24</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per share attributable to new investors</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0.17</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5"/>
        </w:trPr>
        <w:tc>
          <w:tcPr>
            <w:tcW w:w="7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As-adjusted net tangible book value per share as of September 30, 2023, after giving effect to this</w:t>
            </w: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2.41</w:t>
            </w:r>
          </w:p>
        </w:tc>
      </w:tr>
      <w:tr>
        <w:trPr>
          <w:trHeight w:val="27"/>
        </w:trPr>
        <w:tc>
          <w:tcPr>
            <w:tcW w:w="7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0.91</w:t>
            </w:r>
          </w:p>
        </w:tc>
      </w:tr>
      <w:tr>
        <w:trPr>
          <w:trHeight w:val="20"/>
        </w:trPr>
        <w:tc>
          <w:tcPr>
            <w:tcW w:w="7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22,590,361 shares of our common stock are sold at a price of $3.32 per share, the last reported sale price of our common stock on The Nasdaq Global Market on December 19, 2023, for aggregate gross proceeds of approximately $75.0 million. The shares sold in this offering, if any, will be sold from time to time at various prices. The information discussed above is illustrative only and may differ based on the actual offering price and the actual number of shares offered.</w:t>
      </w:r>
    </w:p>
    <w:p>
      <w:pPr>
        <w:spacing w:after="0" w:line="180"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above table is based on 109,846,329 shares of our common stock outstanding as of September 30, 2023. Unless specifically stated otherwise, the information in this prospectus supplement is as of September 30, 2023, and excludes:</w:t>
      </w:r>
    </w:p>
    <w:p>
      <w:pPr>
        <w:spacing w:after="0" w:line="67" w:lineRule="exact"/>
        <w:rPr>
          <w:sz w:val="20"/>
          <w:szCs w:val="20"/>
          <w:color w:val="auto"/>
        </w:rPr>
      </w:pPr>
    </w:p>
    <w:p>
      <w:pPr>
        <w:ind w:left="1080" w:hanging="424"/>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22,046,348 shares of our common stock issuable upon the exercise of stock options outstanding as of September 30, 2023 at a weighted-average exercise price of $5.63 per share (less 300,396 shares of our common stock issued upon the exercise of stock options subsequent to September 30, 2023 through December 19, 2023, at a weighted average exercise price of $0.78 per share of common stock and less 2,557,938 shares of our common stock underlying stock options that were forfeited due to the cancellation or expiration of stock options subsequent to September 30, 2023 through December 19, 2023, at a weighted average exercise price of $7.48 per share of common stock);</w:t>
      </w:r>
    </w:p>
    <w:p>
      <w:pPr>
        <w:spacing w:after="0" w:line="88"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20,233,522 shares of our common stock available for future issuance under our 2021 Plan as of September 30, 2023, as well as any future automatic annual increases in the number of shares of common stock reserved for issuance under our 2021 Plan (less 3,892,500 shares issuable upon the exercise of stock options granted subsequent to September 30, 2023 through December 19, 2023, plus 2,557,938 shares of our common stock that were forfeited due to the cancellation and/or expiration of stock options subsequent to September 30, 2023 through December 19, 2023);</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6,824,712 shares of our common stock issuable upon exercise of warrants outstanding as of September 30, 2023, which had a weighted average exercise price of $3.48 per share at that date;</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1,082,501 shares of our common stock reserved for future issuance under our ESPP as of September 30, 2023 (less 30,724 shares issued on December 4, 2023), as well as any future automatic annual increases in the number of shares of common stock reserved for future issuance under our ESPP; and</w:t>
      </w:r>
    </w:p>
    <w:p>
      <w:pPr>
        <w:spacing w:after="0" w:line="81"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31,765 shares of unvested restricted common stock repurchased by us in October 2023 at the original purchase price upon a termination of service of an employee during the vesting period. In December 2023, we retired the 31,765 shares of treasury stock. Upon retirement, such shares were redesignated as authorized but unissued shares of our common stock.</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To the extent that options or warrants are exercised, or if we issue options, restricted stock units, warrants or other securities to purchase or acquire our common stock in the future and those options, restricted stock units, warrants or other securities are exercised, converted or settled, you may experience further dilution.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30" w:lineRule="auto"/>
        <w:rPr>
          <w:sz w:val="20"/>
          <w:szCs w:val="20"/>
          <w:color w:val="auto"/>
        </w:rPr>
      </w:pPr>
      <w:r>
        <w:rPr>
          <w:rFonts w:ascii="Times New Roman" w:cs="Times New Roman" w:eastAsia="Times New Roman" w:hAnsi="Times New Roman"/>
          <w:sz w:val="18"/>
          <w:szCs w:val="18"/>
          <w:color w:val="auto"/>
        </w:rPr>
        <w:t>We have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the Sales Agreement, with Cantor Fitzgerald &amp; Co., or Cantor. Pursuant to this prospectus supplement, we may offer and sell shares of our common stock having an aggregate gross sales price of up to $75,000,000 from time to time through Cantor acting as sales agent. A copy of the Sales Agreement will be filed as an exhibit to our Current Report on Form 8-K, to be filed with the SEC on December 22, 2023, and will be incorporated by reference into this prospectus supplement.</w:t>
      </w:r>
    </w:p>
    <w:p>
      <w:pPr>
        <w:spacing w:after="0" w:line="19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Upon delivery of a placement notice and subject to the terms and conditions of the Sales Agreement, Cantor may sell shares of our common stock by any method permitted by law deemed to be an “at the market offering” as defined in Rule 415(a)(4) promulgated under the Securities Act. We may instruct Cantor not to sell our common stock if the sales cannot be effected at or above the price designated by us from time to time. We or Cantor may suspend the offering of our common stock upon notice and subject to other conditions.</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will pay Cantor commissions, in cash, for its service in acting as agent in the sale of our common stock. Cantor will be entitled to compensation at a commission rate of 3.0% of the aggregate gross proceeds from each sale of our common stock pursuant to the Sales Agreement. Because there is no minimum offering amount required as a condition to close this offering, the actual total public offering amount, commissions and proceeds to us, if any, are not determinable at this time. We have also agreed to reimburse Cantor for certain specified expenses, including the fees and disbursements of its legal counsel in an amount not to exceed $75,000 payable in connection with the entry into the Sales Agreement, and certain ongoing expenses. We estimate that the total expenses for this offering, excluding compensation and reimbursements payable to Cantor under the terms of the Sales Agreement, will be approximately $300,000.</w:t>
      </w:r>
    </w:p>
    <w:p>
      <w:pPr>
        <w:spacing w:after="0" w:line="189"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Settlement for sales of shares of our common stock will occur on the second business day following the date on which any sales are made, or on some other date that is agreed upon by us and Cantor in connection with a particular transaction, in return for payment of the net proceeds to us. Sales of our common stock as contemplated by this prospectus supplement will be settled through the facilities of The Depository Trust Company or by such other means as we and Cantor may agree upon. There is no arrangement for funds to be received in an escrow, trust or similar arrangement.</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Cantor will use its commercially reasonable efforts, consistent with its sales and trading practices, to solicit offers to purchase our common stock pursuant to the terms and subject to the conditions set forth in the Sales Agreement. In connection with the sale of our common stock on our behalf, Cantor will be deemed to be an “underwriter” within the meaning of the Securities Act and the compensation of Cantor will be deemed to be underwriting commissions or discounts. We have agreed to provide indemnification and contribution to Cantor against certain civil liabilities, including liabilities under the Securities Act.</w:t>
      </w:r>
    </w:p>
    <w:p>
      <w:pPr>
        <w:spacing w:after="0" w:line="183"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offering of shares of our common stock pursuant to the Sales Agreement will terminate upon the termination of the Sales Agreement as permitted therein. We and Cantor may each terminate the Sales Agreement at any time upon ten days’ prior notice.</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Cantor and its affiliates may in the future provide various investment banking, commercial banking and other financial services for us and our affiliates, for which services they may in the future receive customary fees. To the extent required by Regulation M, Cantor will not engage in any market making activities involving our common stock while this offering is ongoing.</w:t>
      </w:r>
    </w:p>
    <w:p>
      <w:pPr>
        <w:spacing w:after="0" w:line="176"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may be made available in electronic format on a website maintained by Cantor, and Cantor may distribute this prospectus supplement and the accompanying prospectus electronically.</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60"/>
          </w:cols>
          <w:pgMar w:left="320" w:top="455"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validity of the securities we are offering will be passed upon by Hogan Lovells US LLP, Philadelphia, Pennsylvania. Cantor Fitzgerald &amp; Co. is being represented in connection with this offering by Cooley LLP, New York, New York.</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With respect to the statements contained in this prospectus supplement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76" w:lineRule="exact"/>
        <w:rPr>
          <w:sz w:val="20"/>
          <w:szCs w:val="20"/>
          <w:color w:val="auto"/>
        </w:rPr>
      </w:pPr>
    </w:p>
    <w:p>
      <w:pPr>
        <w:ind w:left="120" w:right="480"/>
        <w:spacing w:after="0" w:line="312" w:lineRule="auto"/>
        <w:rPr>
          <w:sz w:val="20"/>
          <w:szCs w:val="20"/>
          <w:color w:val="auto"/>
        </w:rPr>
      </w:pPr>
      <w:r>
        <w:rPr>
          <w:rFonts w:ascii="Times New Roman" w:cs="Times New Roman" w:eastAsia="Times New Roman" w:hAnsi="Times New Roman"/>
          <w:sz w:val="17"/>
          <w:szCs w:val="17"/>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w:t>
      </w:r>
    </w:p>
    <w:p>
      <w:pPr>
        <w:spacing w:after="0" w:line="140"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quarterly and current reports, including amendments to such reports, as soon as reasonably practicable after we electronically file such material with, or furnish such material to, the SEC. Please note, however, that we have not incorporated any other information by reference from our website, other than the documents listed under the heading “Incorporation of Certain Information by Reference” on page S-15 of this prospectus supplement. In addition, you may request copies of these filings at no cost by writing or telephoning us at the following address or telephone number:</w:t>
      </w:r>
    </w:p>
    <w:p>
      <w:pPr>
        <w:spacing w:after="0" w:line="1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Invivyd,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1601 Trapelo Road, Suite 178</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Waltham, Massachusetts 02451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(781) 819-0080</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which this prospectus supplement forms a part. The rules and regulations of the SEC allow us to omit from this prospectus supplement certain information included in the registration statement. For further information about us and the securities we are offering under this prospectus, you should refer to the registration statement and the exhibits and schedules filed with the registration statement. The SEC allows us to “incorporate by reference” information into this prospectus supplement. This means that we can disclose important information to you by referring you to other documents we have filed separately with the SEC, without actually including the specific information in this prospectus supplement. The information incorporated by reference is considered to be a part of this prospectus supplement, and information in documents that we file later with the SEC will automatically update and supersede information contained in documents filed earlier with the SEC or contained in this prospectus supplement. We incorporate by reference in this prospectus supplement the documents listed below and any future filings that we may make with the SEC under Sections 13(a), 13(c), 14, or 15(d) of the Exchange Act prior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to the termination of the offering under this prospectus supplement; provided, however, that we are not incorporating, in each case, any documents or information deemed to have been furnished and not filed, including any information that we disclose under Items 2.02 or 7.01 of any Current Report on Form 8-K, in accordance with SEC rules:</w:t>
      </w:r>
    </w:p>
    <w:p>
      <w:pPr>
        <w:spacing w:after="0" w:line="81" w:lineRule="exact"/>
        <w:rPr>
          <w:sz w:val="20"/>
          <w:szCs w:val="20"/>
          <w:color w:val="auto"/>
        </w:rPr>
      </w:pPr>
    </w:p>
    <w:p>
      <w:pPr>
        <w:jc w:val="both"/>
        <w:ind w:left="1080" w:right="2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2022, filed with the SEC on March 23, 2023 (including those portions of the Company’s Definitive Proxy Statement on </w:t>
      </w:r>
      <w:hyperlink r:id="rId36">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10, 2023, that are incorporated by reference into Part III of such Annual Report on Form 10-K);</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March 31, 2023, June 30, 2023 and September 30, 2023, filed with the SEC on </w:t>
      </w:r>
      <w:hyperlink r:id="rId37">
        <w:r>
          <w:rPr>
            <w:rFonts w:ascii="Times New Roman" w:cs="Times New Roman" w:eastAsia="Times New Roman" w:hAnsi="Times New Roman"/>
            <w:sz w:val="18"/>
            <w:szCs w:val="18"/>
            <w:u w:val="single" w:color="auto"/>
            <w:color w:val="0000EE"/>
          </w:rPr>
          <w:t>May 11, 2023</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August 10, 2023</w:t>
        </w:r>
      </w:hyperlink>
      <w:r>
        <w:rPr>
          <w:rFonts w:ascii="Times New Roman" w:cs="Times New Roman" w:eastAsia="Times New Roman" w:hAnsi="Times New Roman"/>
          <w:sz w:val="18"/>
          <w:szCs w:val="18"/>
          <w:color w:val="auto"/>
        </w:rPr>
        <w:t xml:space="preserve">, and </w:t>
      </w:r>
      <w:hyperlink r:id="rId39">
        <w:r>
          <w:rPr>
            <w:rFonts w:ascii="Times New Roman" w:cs="Times New Roman" w:eastAsia="Times New Roman" w:hAnsi="Times New Roman"/>
            <w:sz w:val="18"/>
            <w:szCs w:val="18"/>
            <w:u w:val="single" w:color="auto"/>
            <w:color w:val="0000EE"/>
          </w:rPr>
          <w:t>November 9, 2023</w:t>
        </w:r>
      </w:hyperlink>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8"/>
        </w:numPr>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auto"/>
          </w:rPr>
          <w:t xml:space="preserve">our Current Reports on Form 8-K (other than the portions thereof that are furnished and not filed) as filed with the SEC on </w:t>
        </w:r>
        <w:r>
          <w:rPr>
            <w:rFonts w:ascii="Times New Roman" w:cs="Times New Roman" w:eastAsia="Times New Roman" w:hAnsi="Times New Roman"/>
            <w:sz w:val="18"/>
            <w:szCs w:val="18"/>
            <w:u w:val="single" w:color="auto"/>
            <w:color w:val="0000EE"/>
          </w:rPr>
          <w:t>January 9,</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6,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25,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29,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27,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5,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11,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w:t>
        </w:r>
      </w:hyperlink>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9, 2023</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42">
        <w:r>
          <w:rPr>
            <w:rFonts w:ascii="Times New Roman" w:cs="Times New Roman" w:eastAsia="Times New Roman" w:hAnsi="Times New Roman"/>
            <w:sz w:val="18"/>
            <w:szCs w:val="18"/>
            <w:u w:val="single" w:color="auto"/>
            <w:color w:val="0000EE"/>
          </w:rPr>
          <w:t>December 18, 2023</w:t>
        </w:r>
      </w:hyperlink>
      <w:hyperlink r:id="rId41">
        <w:r>
          <w:rPr>
            <w:rFonts w:ascii="Times New Roman" w:cs="Times New Roman" w:eastAsia="Times New Roman" w:hAnsi="Times New Roman"/>
            <w:sz w:val="18"/>
            <w:szCs w:val="18"/>
            <w:color w:val="000000"/>
          </w:rPr>
          <w:t>; and</w:t>
        </w:r>
      </w:hyperlink>
    </w:p>
    <w:p>
      <w:pPr>
        <w:spacing w:after="0" w:line="81" w:lineRule="exact"/>
        <w:rPr>
          <w:rFonts w:ascii="Times New Roman" w:cs="Times New Roman" w:eastAsia="Times New Roman" w:hAnsi="Times New Roman"/>
          <w:sz w:val="18"/>
          <w:szCs w:val="18"/>
          <w:color w:val="0000EE"/>
        </w:rPr>
      </w:pPr>
    </w:p>
    <w:p>
      <w:pPr>
        <w:ind w:left="1080" w:right="220" w:hanging="424"/>
        <w:spacing w:after="0" w:line="266" w:lineRule="auto"/>
        <w:tabs>
          <w:tab w:leader="none" w:pos="1080" w:val="left"/>
        </w:tabs>
        <w:numPr>
          <w:ilvl w:val="0"/>
          <w:numId w:val="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4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August 3, 2021, as updated by </w:t>
      </w:r>
      <w:hyperlink r:id="rId44">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fiscal year ended December 31, 2022, including any amendments or reports 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purpose of updating such description.</w:t>
      </w:r>
    </w:p>
    <w:p>
      <w:pPr>
        <w:spacing w:after="0" w:line="176"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To obtain copies of these filings, see “Where You Can Find More Information” on page S-15 of this prospectus supplement.</w:t>
      </w:r>
    </w:p>
    <w:p>
      <w:pPr>
        <w:spacing w:after="0" w:line="158" w:lineRule="exact"/>
        <w:rPr>
          <w:rFonts w:ascii="Times New Roman" w:cs="Times New Roman" w:eastAsia="Times New Roman" w:hAnsi="Times New Roman"/>
          <w:sz w:val="18"/>
          <w:szCs w:val="18"/>
          <w:color w:val="auto"/>
        </w:rPr>
      </w:pPr>
    </w:p>
    <w:p>
      <w:pPr>
        <w:ind w:left="5460"/>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97155</wp:posOffset>
            </wp:positionV>
            <wp:extent cx="4886325" cy="728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488632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$400,000,000</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may offer to the public from time to time in one or more series or issuances and on terms that we will determine at the time of the offering:</w:t>
      </w:r>
    </w:p>
    <w:p>
      <w:pPr>
        <w:spacing w:after="0" w:line="140"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our common stock;</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our preferred stock;</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to purchase shares of our common stock, preferred stock and/or debt securities;</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securities consisting of debentures, notes or other evidences of indebtedness;</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units consisting of a combination of the foregoing securities; or</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combination of these securities.</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aggregate initial offering price of all securities sold by us pursuant to this prospectus will not exceed $400,000,000.</w:t>
      </w:r>
    </w:p>
    <w:p>
      <w:pPr>
        <w:spacing w:after="0" w:line="127"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6"/>
          <w:szCs w:val="16"/>
          <w:color w:val="auto"/>
        </w:rPr>
        <w:t>This prospectus provides a general description of the securities that we may offer. Each time that we offer securities under this prospectus, we will provide the specific terms of the securities offered, including the public offering price, in a supplement to this prospectus. Any prospectus supplement may add to, update or change information contained or incorporated by reference in this prospectus.</w:t>
      </w:r>
    </w:p>
    <w:p>
      <w:pPr>
        <w:spacing w:after="0" w:line="69" w:lineRule="exact"/>
        <w:rPr>
          <w:sz w:val="20"/>
          <w:szCs w:val="20"/>
          <w:color w:val="auto"/>
        </w:rPr>
      </w:pPr>
    </w:p>
    <w:p>
      <w:pPr>
        <w:ind w:left="120" w:right="420" w:firstLine="440"/>
        <w:spacing w:after="0" w:line="275" w:lineRule="auto"/>
        <w:rPr>
          <w:sz w:val="20"/>
          <w:szCs w:val="20"/>
          <w:color w:val="auto"/>
        </w:rPr>
      </w:pPr>
      <w:r>
        <w:rPr>
          <w:rFonts w:ascii="Times New Roman" w:cs="Times New Roman" w:eastAsia="Times New Roman" w:hAnsi="Times New Roman"/>
          <w:sz w:val="16"/>
          <w:szCs w:val="16"/>
          <w:color w:val="auto"/>
        </w:rPr>
        <w:t>The securities may be sold by us to or through underwriters or dealers, directly to purchasers or through agents designated from time to time. For additional information on the methods of sale, you should refer to the section entitled “Plan of Distribution” in this prospectus and the comparable section of any applicable prospectus supplement. If any underwriters are involved in the sale of the securities with respect to which this prospectus is being delivered, the names of such underwriters and any applicable discounts, commissions and purchase options will be set forth in the applicable prospectus supplement.</w:t>
      </w:r>
    </w:p>
    <w:p>
      <w:pPr>
        <w:spacing w:after="0" w:line="75"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6"/>
          <w:szCs w:val="16"/>
          <w:color w:val="auto"/>
        </w:rPr>
        <w:t>Our common stock trades on the Nasdaq Global Market under the ticker symbol “IVVD”. On September 27, 2022, the last reported sale price per share of our common stock was $3.10. We have not yet determined whether the other securities that may be offered by this prospectus will be listed on any exchange, interdealer quotation system or over-the-counter market. If we decide to seek the listing of any such securities upon issuance, the prospectus supplement relating to those securities will disclose the exchange, quotation system or market on which those securities will be listed.</w:t>
      </w:r>
    </w:p>
    <w:p>
      <w:pPr>
        <w:spacing w:after="0" w:line="7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and, as such, we are subject to reduced public company reporting requirements for this prospectus and future filings. Refer to the section entitled “Implications of Being an Emerging Growth Company” beginning on page 4 of this prospectus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4"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RISKS ASSOCIATED WITH AN INVESTMENT IN OUR SECURITIES WILL BE DESCRIBED IN THE APPLICABLE PROSPECTUS SUPPLEMENT AND CERTAIN OF OUR FILINGS WITH THE SECURITIES AND EXCHANGE COMMISSION INCORPORATED BY REFERENCE INTO THIS PROSPECTUS, AS DESCRIBED UNDER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6.</w:t>
      </w:r>
    </w:p>
    <w:p>
      <w:pPr>
        <w:spacing w:after="0" w:line="75" w:lineRule="exact"/>
        <w:rPr>
          <w:sz w:val="20"/>
          <w:szCs w:val="20"/>
          <w:color w:val="auto"/>
        </w:rPr>
      </w:pPr>
    </w:p>
    <w:p>
      <w:pPr>
        <w:ind w:left="120" w:right="16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You should read this prospectus and any applicable prospectus supplement together with additional information described under the heading “Where You Can Find More Information” before you make your investment decision.</w:t>
      </w:r>
    </w:p>
    <w:p>
      <w:pPr>
        <w:spacing w:after="0" w:line="52" w:lineRule="exact"/>
        <w:rPr>
          <w:sz w:val="20"/>
          <w:szCs w:val="20"/>
          <w:color w:val="auto"/>
        </w:rPr>
      </w:pPr>
    </w:p>
    <w:p>
      <w:pPr>
        <w:ind w:left="120" w:right="14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128270</wp:posOffset>
            </wp:positionV>
            <wp:extent cx="1474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60"/>
          </w:cols>
          <w:pgMar w:left="320" w:top="455" w:right="519" w:bottom="1440" w:gutter="0" w:footer="0" w:header="0"/>
        </w:sectPr>
      </w:pPr>
    </w:p>
    <w:p>
      <w:pPr>
        <w:spacing w:after="0" w:line="3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The date of this prospectus is October 5, 2022</w:t>
      </w:r>
    </w:p>
    <w:p>
      <w:pPr>
        <w:sectPr>
          <w:pgSz w:w="11900" w:h="16838" w:orient="portrait"/>
          <w:cols w:equalWidth="0" w:num="1">
            <w:col w:w="11060"/>
          </w:cols>
          <w:pgMar w:left="320" w:top="455" w:right="5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6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12"/>
        </w:trPr>
        <w:tc>
          <w:tcPr>
            <w:tcW w:w="38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7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3820" w:type="dxa"/>
            <w:vAlign w:val="bottom"/>
            <w:gridSpan w:val="16"/>
            <w:vMerge w:val="continue"/>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71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MARKET, INDUSTRY AND OTHER DATA</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2400" w:type="dxa"/>
            <w:vAlign w:val="bottom"/>
            <w:tcBorders>
              <w:top w:val="single" w:sz="8" w:color="0000EE"/>
            </w:tcBorders>
            <w:gridSpan w:val="9"/>
          </w:tcPr>
          <w:p>
            <w:pPr>
              <w:spacing w:after="0"/>
              <w:rPr>
                <w:sz w:val="17"/>
                <w:szCs w:val="17"/>
                <w:color w:val="auto"/>
              </w:rPr>
            </w:pPr>
          </w:p>
        </w:tc>
        <w:tc>
          <w:tcPr>
            <w:tcW w:w="500" w:type="dxa"/>
            <w:vAlign w:val="bottom"/>
            <w:gridSpan w:val="5"/>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2240" w:type="dxa"/>
            <w:vAlign w:val="bottom"/>
            <w:gridSpan w:val="11"/>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GENERAL DESCRIPTION OF OUR SECURITIES</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COMMON STOCK</w:t>
            </w:r>
          </w:p>
        </w:tc>
        <w:tc>
          <w:tcPr>
            <w:tcW w:w="440" w:type="dxa"/>
            <w:vAlign w:val="bottom"/>
            <w:gridSpan w:val="4"/>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260" w:type="dxa"/>
            <w:vAlign w:val="bottom"/>
            <w:gridSpan w:val="2"/>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UNITS</w:t>
            </w:r>
          </w:p>
        </w:tc>
        <w:tc>
          <w:tcPr>
            <w:tcW w:w="380" w:type="dxa"/>
            <w:vAlign w:val="bottom"/>
            <w:gridSpan w:val="3"/>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2360" w:type="dxa"/>
            <w:vAlign w:val="bottom"/>
            <w:gridSpan w:val="12"/>
          </w:tcPr>
          <w:p>
            <w:pPr>
              <w:spacing w:after="0"/>
              <w:rPr>
                <w:sz w:val="17"/>
                <w:szCs w:val="17"/>
                <w:color w:val="auto"/>
              </w:rPr>
            </w:pP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38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1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Securities and Exchange Commission, or the SEC, using a “shelf” registration process. Under this shelf registration process, we may offer to sell any of the securities, or any combination of the securities, described in this prospectus, in each case in one or more offerings, up to a total dollar amount of $400,000,000.</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only with a general description of the securities that we may offer. Each time securities are sold under this shelf registration statement, we will provide an accompanying prospectus supplement that will contain specific information about the terms of those securities and the terms of that offering. The accompanying prospectus supplement may also add, update or change information contained in this prospectus. If there is any inconsistency between the information in this prospectus and any accompanying prospectus supplement, you should rely on the information in the accompanying prospectus supplement. You should read both this prospectus and any accompanying prospectus supplement, including all documents incorporated by reference herein and therein, together with the additional information described under “Where You Can Find More Information” below.</w:t>
      </w:r>
    </w:p>
    <w:p>
      <w:pPr>
        <w:spacing w:after="0" w:line="18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prospectus is not complete and may be changed. You should rely only on the information provided in or incorporated by reference in this prospectus or in any accompanying prospectus supplement, or documents to which we otherwise refer you. We have not authorized anyone else to provide you with different information.</w:t>
      </w:r>
    </w:p>
    <w:p>
      <w:pPr>
        <w:spacing w:after="0" w:line="17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We have not authorized any dealer, agent or other person to give any information or to make any representation other than those contained or incorporated by reference in this prospectus and any accompanying prospectus supplement. You must not rely upon any information or representation not contained or incorporated by reference in this prospectus or an accompanying prospectus supplement.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if any, constitute an offer to sell or the solicitation of an offer to buy securities in any jurisdiction to any person to whom it is unlawful to make such offer or solicitation in such jurisdiction. You should not assume that the information contained in this prospectus and the accompanying prospectus supplement, if any, is accurate on any date subsequent to the date set forth on the front of such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18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References in this prospectus to the terms “the Company,” “Invivyd,” “we,” “our” and “us” or other similar terms mean Invivyd, Inc. and our wholly owned subsidiaries, unless we state otherwise or the context indicates otherwise.</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“Invivyd,” “IVVD” and the Invivyd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and any prospectus supplement and the documents incorporated therein, may contain forward-looking statements that involve substantial risks and uncertainties. All statements, other than statements of historical facts, included in this prospectus, any prospectus supplement or the documents incorporated herein and therein by reference, including statements regarding our future financial condition, results of operations, business strategy and plans and objectives of management for future operations, industry trends and other future events, are forward-looking statements. In some cases, you can identify forward-looking statements by terminology such as “may,” “anticipate,” “believe,” “could,” “expect,” “intends,” “might,” “plan,” “possible,” “potential,” “aim,” “predict,” “project” “should,” “will,” “would” or the negative of these terms or other similar expressions, although not all forward-looking statements contain these identifying terms. The forward-looking statements in this prospectus and the documents incorporated herein by reference include, among other things, statements about:</w:t>
      </w:r>
    </w:p>
    <w:p>
      <w:pPr>
        <w:spacing w:after="0" w:line="97" w:lineRule="exact"/>
        <w:rPr>
          <w:sz w:val="20"/>
          <w:szCs w:val="20"/>
          <w:color w:val="auto"/>
        </w:rPr>
      </w:pPr>
    </w:p>
    <w:p>
      <w:pPr>
        <w:ind w:left="10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preclinical studies and clinical trials of our current and future product candidates, including statements regarding the timing of our planned regulatory submissions, initiation and completion of studies or trials and related preparatory work and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and our ability to obtain and maintain regulatory approvals for, our current and future product candidates;</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scalability and commercial viability of our manufacturing methods and processes;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patients with the diseases treated by our product candidates and to enroll these patients in our clinical trials;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approved for commercial use;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 for adintrevimab or any other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technology to identify and develop future product candidates;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regarding the sufficiency of our cash resources to fund our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affecting our preclinical studies or the initiation, patient enrollment, development and operation of our clinical trials, including a public health crisis, such as the outbreak of COVID-19;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proceeds.</w:t>
      </w:r>
    </w:p>
    <w:p>
      <w:pPr>
        <w:spacing w:after="0" w:line="225"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cannot guarantee that the results and other expectations expressed, anticipated or implied in any forward-looking statement will be realized. The risks set forth under Item 1A of our Annual Report on Form 10-K for the fiscal year ended December 31, 2021, as revised or supplemented by our Quarterly Reports on Form 10-Q and other documents we file with the SEC, describe material risks to our business, and you should read and interpret any forward-looking statements together with these risks. A variety of factors, including these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any prospectus supplement and the documents that we incorporate by reference herein and therein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This prospectus and any applicable prospectus supplement and the documents incorporated by reference herein and therein contain estimates, projections, market research and other information concerning, among other things, our industry, our business, and markets for our product candidates. Unless otherwise expressly stated, we obtain this information from reports, research surveys, studies and similar data prepared by market research firms and other third parties, industry, medical and general publications, government data and similar sources as well as from our own internal estimates and research and from publications, research, surveys and studies conducted by third parties on our behalf. Information that is based on estimates, projections, market research or similar methodologies is inherently subject to uncertainties and actual events or circumstances may differ materially from events and circumstances that are reflected in this information. As a result, you are cautioned not to give undue weight to such information.</w:t>
      </w:r>
    </w:p>
    <w:p>
      <w:pPr>
        <w:spacing w:after="0" w:line="1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731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We are a biopharmaceutical company on a mission to protect humanity from serious viral respiratory diseases. We are developing antibodies to transcend the limits of naturally occurring immunity and provide superior protection from viral diseases, beginning with COVID-19. Our technology works at the intersection of evolutionary virology, predictive modeling, and antibody engineering, and is designed to identify high-quality, long-lasting antibodies with a high barrier to viral escape. We are generating a robust pipeline of products for use in both prevention and treatment of disease. NVD200, our first antibody combination product for COVID-19, is expected to enter the clinic in Q1 2023. Our most advanced pipeline candidate is adintrevimab, an investigational monoclonal antibody which has demonstrated clinically meaningful results in global Phase 3 clinical trials against multiple variants of concern for the prevention and treatment of COVID-19. We also have multiple discovery stage candidates for the prevention of seasonal influenza.</w:t>
      </w:r>
    </w:p>
    <w:p>
      <w:pPr>
        <w:spacing w:after="0" w:line="192" w:lineRule="exact"/>
        <w:rPr>
          <w:sz w:val="20"/>
          <w:szCs w:val="20"/>
          <w:color w:val="auto"/>
        </w:rPr>
      </w:pPr>
    </w:p>
    <w:p>
      <w:pPr>
        <w:ind w:left="300" w:right="460" w:firstLine="426"/>
        <w:spacing w:after="0" w:line="282" w:lineRule="auto"/>
        <w:rPr>
          <w:sz w:val="20"/>
          <w:szCs w:val="20"/>
          <w:color w:val="auto"/>
        </w:rPr>
      </w:pPr>
      <w:r>
        <w:rPr>
          <w:rFonts w:ascii="Times New Roman" w:cs="Times New Roman" w:eastAsia="Times New Roman" w:hAnsi="Times New Roman"/>
          <w:sz w:val="18"/>
          <w:szCs w:val="18"/>
          <w:color w:val="auto"/>
        </w:rPr>
        <w:t>For more information about our company, please refer to other documents that we have filed with the SEC and that are incorporated by reference into this prospectus, as listed under the heading “Incorporation By Reference.”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44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June 2020. Our principal executive offices are located at 1601 Trapelo Road, Suite 178, Waltham, MA 02451 and our telephone number is (781) 819-0080. Our website address is www.invivyd.com. We do not incorporate the information on, or accessible through, our website into this prospectus, and you should not consider any information on, or accessible through, our website as part of this prospectus.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4" w:lineRule="exact"/>
        <w:rPr>
          <w:sz w:val="20"/>
          <w:szCs w:val="20"/>
          <w:color w:val="auto"/>
        </w:rPr>
      </w:pPr>
    </w:p>
    <w:p>
      <w:pPr>
        <w:ind w:left="1240" w:right="40" w:hanging="415"/>
        <w:spacing w:after="0" w:line="26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9761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6998970" cy="19761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2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30"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67" w:lineRule="exact"/>
        <w:rPr>
          <w:rFonts w:ascii="Times New Roman" w:cs="Times New Roman" w:eastAsia="Times New Roman" w:hAnsi="Times New Roman"/>
          <w:sz w:val="18"/>
          <w:szCs w:val="18"/>
          <w:color w:val="auto"/>
        </w:rPr>
      </w:pPr>
    </w:p>
    <w:p>
      <w:pPr>
        <w:ind w:left="1240" w:right="102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240" w:firstLine="440"/>
        <w:spacing w:after="0" w:line="269" w:lineRule="auto"/>
        <w:rPr>
          <w:sz w:val="20"/>
          <w:szCs w:val="20"/>
          <w:color w:val="auto"/>
        </w:rPr>
      </w:pPr>
      <w:r>
        <w:rPr>
          <w:rFonts w:ascii="Times New Roman" w:cs="Times New Roman" w:eastAsia="Times New Roman" w:hAnsi="Times New Roman"/>
          <w:sz w:val="17"/>
          <w:szCs w:val="17"/>
          <w:color w:val="auto"/>
        </w:rPr>
        <w:t>Investing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 our most recent Annual Report on Form</w:t>
      </w:r>
    </w:p>
    <w:p>
      <w:pPr>
        <w:spacing w:after="0" w:line="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10-K and our Quarterly Reports on Form 10-Q and other documents that we file with the SEC, which are incorporated herein by reference as described in this prospectus under the heading “Where You Can Find More Information”. The risks and uncertainties we have described in such documents are not the only risks that we face. Additional risks and uncertainties not presently known to us or that we currently deem immaterial may also affect our operations.</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provided in the applicable prospectus supplement relating to a specific offering, we intend to use the net proceeds from the sale of securities by us under this prospectus and any applicable prospectus supplement for general corporate purposes, which may include research and development expenditures, preclinical study and clinical trial expenditures, manufacturing expenditures, commercialization expenditures, working capital, capital expenditures, acquisitions of new technologies, products or businesses, and investments. Additional information on the use of net proceeds from the sale of securities by us under this prospectus may be set forth in the accompanying prospectus supplement relating to the specific offering.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pursuant to public offerings, negotiated transactions, block trades, “At the Market Offerings,” within the meaning of Rule 415(a)(4) of the Securities Act of 1933, as amended, or the Securities Act, into an existing trading market, at prevailing market prices, or a combination of these methods. We may sell the securities to or through underwriters or dealers, through agents or remarketing firms, or directly to one or more purchasers. We may distribute securities from time to time in one or more transactions:</w:t>
      </w:r>
    </w:p>
    <w:p>
      <w:pPr>
        <w:spacing w:after="0" w:line="85"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dealers or agents, if any;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to be offered through the selling efforts of brokers or dealers, the plan of distribution and the terms of any agreement, arrangement, or understanding entered into with broker(s) or dealer(s) prior to the effective date of the registration statement, and, if known, the identity of any broker(s) or dealer(s) who will participate in the offering and the amount to be offered through each;</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securities being registered are to be offered otherwise than for cash, the general purposes of the distribution, the basis upon which the securities are to be offered, the amount of compensation and other expenses of distribution, and by whom they are to be borne;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commissions or concessions allowed or reallowed or paid to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and relationships of any finders, if applicable;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Unless otherwise indicated in the prospectus supplement, subject to certain conditions, the underwriters will be obligated to purchase all of the securities offered by the prospectus supplement, other than securities covered by any</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5"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purchase option. Any public offering price and any discounts or concessions allowed or reallowed or paid to dealers may change from time to time. We may use underwriters, dealers or agents with whom we have a material relationship. We will describe in the prospectus supplement, naming the underwriter, dealer or agent, the nature of any such relationship.</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use a remarketing firm to offer the securities in connection with a remarketing arrangement upon their purchase. Remarketing firms will act as principals for their own account or as agents for us. These remarketing firms will offer or sell the securities pursuant to the terms of the securities. A prospectus supplement will identify any remarketing firm and the terms of its agreement, if any, with us and will describe the remarketing firm’s compensation. Remarketing firms may be deemed to be underwriters in connection the securities they remarket.</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we offer and sell securities through a dealer, we or an underwriter will sell the securities to the dealer, as principal. The dealer may then resell the securities to the public at varying prices to be determined by the dealer at the time of resale. The name of the dealer and the terms of the transaction will be set forth in the applicable prospectus supplement.</w:t>
      </w:r>
    </w:p>
    <w:p>
      <w:pPr>
        <w:spacing w:after="0" w:line="176"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to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to one or more purchasers without using underwriters or agents. 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respective affiliates, may engage in transactions with, or perform services for, us in the ordinary course of business.</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underwriter may engage in purchase options, stabilizing transactions, short-covering transactions and penalty bids in accordance with Regulation M under the Exchange Act. Purchase options involve sales in excess of the offering size, which create a short position. Stabilizing transactions permit bids to purchase the underlying security so long as the stabilizing bids do not exceed a specified maximum price. Syndicate-covering or other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short-covering transactions involve purchases of the securities, either through exercise of the purchase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underwriters that are qualified market makers on the Nasdaq Stock Market may engage in passive market making transactions in the common stock on the Nasdaq Stock Market in accordance with Regulation M under the Securities Exchange Act of 1934, as amended, or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GENERAL DESCRIPTION OF OUR SECURITIES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offer and sell, at any time and from time to time:</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our common stock, preferred stock and/or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consisting of debentures, notes or other evidences of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 combination of the foregoing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terms of any securities we offer will be determined at the time of sale. We may issue debt securities that are exchangeable for and/or convertible into common stock or any of the other securities that may be sold under this prospectus. When particular securities are offered by us, a supplement to this prospectus will be filed with the SEC, which will describe the terms of the offering and sale of the offered securities.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60"/>
          </w:cols>
          <w:pgMar w:left="320" w:top="455" w:right="9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OUR COMMON STOCK</w:t>
      </w:r>
    </w:p>
    <w:p>
      <w:pPr>
        <w:spacing w:after="0" w:line="22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summary of general terms and provisions of our common stock set forth below does not purport to be complete and is subject to and qualified by reference to our Amended and Restated Certificate of Incorporation, or the Certificate of Incorporation, and Amended and Restated Bylaws, or the Bylaws, and together with the Certificate of Incorporation, the Charter Documents, each of which is included as an exhibit to our most recent Annual Report on Form 10-K filed with the SEC and incorporated by reference herein. For additional information, please read the Charter Documents and the applicable provisions of the Delaware General Corporation Law, or the DGCL.</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authorized to issue up to 1,010,000,000 shares, of which 1,000,000,000 have been designated common stock, par value $0.0001 per share. As of September 12, 2022, there were 109,925,049 shares of our common stock outstanding. As of June 30, 2022, we had approximately 120 stockholders of record. This figure does not reflect the number of beneficial owners of shares of our common stock as a single stockholder of record often holds shares in nominee name (also referred to as, in “street name”) on behalf of multiple beneficial owners.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otherwise provided by statute or by applicable stock exchange rules, or by the Certificate of Incorporation or the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 Bylaws, directors are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at least 66 2/3% of the voting power of all of the then-outstanding shares of capital stock entitled to vote generally in the election of directors, voting as a single class, is required to alter, amend or repeal certain provisions of the Certificate of Incorporation, including provisions relating to amending the Bylaws, the classified board, the size of our board of directors, removal of directors, director liability, vacancies on our board of directors, stockholder notices, actions by written consent and exclusive forum.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common stock are entitled to receive ratably those dividends, if any, as may be declared from time to time by our board of directors out of legally available funds.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and Preferences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 of the holders of shares of any series of preferred stock that we may designate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Stock Options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2022, we had outstanding options to purchase 19,936,084 shares of our common stock at a weighted-average exercise price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$8.73 per share, pursuant to our 2020 Equity Incentive Plan and 2021 Equity Incentive Plan. As of June 30, 2022, there were no shares of our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reserved for future issuance under the 2020 Equity Incentive Plan and 23,149,318 shares of our common stock reserved for future issuance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2021 Equity Incentive Plan.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2022, there were 1,342,773 shares of our common stock reserved for future issuance under our 2021 Employee Stock Purchase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and certain holders of our common stock have entered into a second amended and restated investors’ rights agreement, or the investors’ rights agreement. The registration rights provisions of this agreement provide those holders with demand, piggyback and Form S-3 registration rights with respect to the shares of common stock currently held by them. These shares are collectively referred to herein as registrable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holders of a majority of registrable securities then outstanding have the right to demand that we file a registration statement covering at least 30% of the registrable securities then outstanding.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practicable, but in any event no later than 60 days after the receipt of such request.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 The holders of piggyback registration rights granted pursuant to the investors’ rights agreement have waived their piggyback registration rights in connection with the registration statement of which this prospectus is a part, as well as all subsequent offerings related to the registration statement of which this prospectus is a part.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on Form S-3</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holders of at least 30% of the registrable securities outstanding are entitled to request to have such shares registered by us on a Form S-3 registration statement. These Form S-3 registration rights are subject to other specified conditions and limitations, including the condition that the anticipated aggregate offering price is at least $1.0 million. Upon receipt of this request, the holders of registrable securities will each be entitled to participate in this registration.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required to pay all expenses, including fees and expenses of one counsel to represent the selling stockholders, relating to any demand, piggyback or Form S-3 registration, other than underwriting discounts and commissions, stock transfer taxes and any additional fees of counsel for the selling stockholders, subject to specified conditions and 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183"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The investors’ rights agreement contains customary cross-indemnification provisions, pursuant to which we are obligated to indemnify the selling stockholders in the event of material misstatements or omissions in the applicable registration statement attributable to us, and the selling stockholders are obligated to indemnify us for material misstatements or omissions in the registration statement attributable to them, subject to certain limitations.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Registration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registration rights granted under the investors’ rights agreement will terminate with respect to any particular stockholder upon the earliest of</w:t>
      </w:r>
    </w:p>
    <w:p>
      <w:pPr>
        <w:spacing w:after="0" w:line="27" w:lineRule="exact"/>
        <w:rPr>
          <w:sz w:val="20"/>
          <w:szCs w:val="20"/>
          <w:color w:val="auto"/>
        </w:rPr>
      </w:pPr>
    </w:p>
    <w:p>
      <w:pPr>
        <w:jc w:val="both"/>
        <w:ind w:left="120" w:right="460" w:hanging="4"/>
        <w:spacing w:after="0" w:line="255" w:lineRule="auto"/>
        <w:tabs>
          <w:tab w:leader="none" w:pos="3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deemed liquidation event, as defined in the Certificate of Incorporation, (b) with respect to each stockholder, at such time such stockholder is able to sell all of its shares pursuant to Rule 144 or another similar exemption under the Securities Act during a three-month period without registration and (c) the fifth anniversary of the closing of our initial public offering.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45" w:lineRule="exact"/>
        <w:rPr>
          <w:sz w:val="20"/>
          <w:szCs w:val="20"/>
          <w:color w:val="auto"/>
        </w:rPr>
      </w:pPr>
    </w:p>
    <w:p>
      <w:pPr>
        <w:ind w:left="1080" w:right="1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080" w:right="5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or any direct or indirect majority-owned subsidiary of the corporation and the interested stockholder;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 (in one transaction or a series of transactions);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Certificate of Incorporation and the Bylaws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are able to elect all of our directors. The Certificate of Incorporation and the Bylaws provide that directors may be removed by the stockholders only for cause upon the vote of at least 66 2/3% of the voting power of all of the then-outstanding shares of capital stock entitled to vote generally at an election of directors. Furthermore, the authorized number of directors may be changed only by resolution of our board of directors, and vacancies and newly created directorships on our board of directors may, except as otherwise required by law or determined by our board and subject to the rights of any series of then-outstanding preferred stock, only be filled by a majority vote of the directors then serving on our board of directors, even though less than a quorum.</w:t>
      </w:r>
    </w:p>
    <w:p>
      <w:pPr>
        <w:spacing w:after="0" w:line="18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and the Bylaws also provide that all stockholder actions must be effected at a duly called meeting of stockholders and eliminate the right of stockholders to act by written consent without a meeting. The Bylaws provide that only the chairman of the board of directors, the chief executive officer or the board of directors pursuant to a resolution adopted by a majority of the total number of authorized directors may call a special meeting of stockholders.</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and the Bylaws provide that the stockholders cannot amend many of the provisions described above except by a vote of at least 66 2/3% of the voting power of all of the then-outstanding shares of capital stock entitled to vote generally at an election of directors.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makes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us.</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will be the exclusive forum for the following types of actions or proceedings under Delaware statutory or common law:</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DGCL, our Certificate of Incorporation, or our Bylaws;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the Certificate of Incorporation or the Bylaws;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 to which the DGCL confers jurisdiction on the Court of Chancery of the State of Delaware;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also provides that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These exclusive forum provisions may result in increased costs for investors to bring a claim. Further, these exclusive forum provisions may limit a stockholder’s ability to bring a claim in a judicial forum that it finds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61" w:lineRule="auto"/>
        <w:rPr>
          <w:sz w:val="20"/>
          <w:szCs w:val="20"/>
          <w:color w:val="auto"/>
        </w:rPr>
      </w:pPr>
      <w:r>
        <w:rPr>
          <w:rFonts w:ascii="Times New Roman" w:cs="Times New Roman" w:eastAsia="Times New Roman" w:hAnsi="Times New Roman"/>
          <w:sz w:val="18"/>
          <w:szCs w:val="18"/>
          <w:color w:val="auto"/>
        </w:rPr>
        <w:t>favorable for disputes with us or our directors, officers, or other employees, which may discourage lawsuits against us and our directors, officers and other employees. If a court were to find either exclusive-forum provision in our Certificate of Incorporation to be inapplicable or unenforceable in an action, we may incur further significant additional costs associated with resolving the dispute in other jurisdictions, all of which could seriously harm our business.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 The transfer agent’s address is 6201 15th Avenue, Brooklyn, New York 11219.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trading symbol “IVVD”.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22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are authorized to issue up to 10,000,000 shares of preferred stock, par value $0.0001 per share, all of which shares of preferred stock are currently undesignated.</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from time to time, direct the issuance of shares of preferred stock in series and may, at the time of issuance, determine and fix the number of shares of such series and the designation of such series, the voting powers, if any, of the shares of such series, the preferences and relative, participating, optional or other special rights, if any, and the qualifications, limitations or restrictions thereof, including without limitation thereof, dividend rights, conversion rights, redemption privileges and liquidation preferences, of the shares of such series. Satisfaction of any dividend preferences of outstanding shares of our preferred stock would reduce the amount of funds available for the payment of dividends on shares of our common stock. Holders of shares of our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 It is not possible to state the actual effect of the issuance of any shares of preferred stock on the rights of holders of common stock until the board of directors determines the specific rights attached to that preferred stock. We have no current plan to issue any shares of preferred stock.</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8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 the liquidation preference per share, and 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such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our other securities and, if applicable, the conversion price (or how it will be calculated), the conversion period and any other terms of conversion (including any anti-dilution provisions, if any);</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the exchange period and any other terms of exchange (including any anti-dilution provisions, if 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our affairs;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limitations on issuance of any class or series of preferred stock ranking senior to or on a parity with the series of preferred stock as to dividend rights and rights upon our liquidation, dissolution, or winding up;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affirmative, negative or other covenants or contractual rights which might be attendant with the specific series of preferred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preferred stock offered by this prospectus, when issued, will not have, or be subject to, any preemptive or similar rights.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any series of preferred stock will be set forth in each applicable prospectus supplement.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for the warrants.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common stock and the number of shares of common stock to be received upon exercise of the warrants;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preferred stock, the number of shares of preferred stock to be received upon exercise of the warrants, and a description of that series of our preferred stock;</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our debt securities to be received upon exercise of the warrants, and a description of that series of debt securities;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the warrants may not be continuously exercised throughout that period, the specific date or dates on which the warrants may be exercised;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or foreign tax consequences;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if any,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 or market;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stock, preferred stock and/or debt securities will be separately transferable;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put or call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This section describes the general terms and provisions of the debt securities that we may offer under this prospectus, any of which may be issued as convertible or exchangeable debt securities. We will set forth the particular terms of the debt securities we offer in a prospectus supplement. The extent, if any, to which the following general provisions apply to particular debt securities will be described in the applicable prospectus supplement. The following descriptions of general terms relating to the debt securities and the indenture under which the debt securities will be issued are summaries only and therefore are not complete. You should read the indenture and the prospectus supplement regarding any particular issuance of debt securities.</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or will file a copy of the form of indenture as an exhibit to the registration statement in which this prospectus is included. The indenture will be subject to and governed by the terms of the Trust Indenture Act of 1939.</w:t>
      </w:r>
    </w:p>
    <w:p>
      <w:pPr>
        <w:spacing w:after="0" w:line="183"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may offer under this prospectus up to an aggregate principal amount of $400,000,000 in debt securities, or if debt securities are issued at a discount, or in a foreign currency, foreign currency units or composite currency, the principal amount as may be sold for an aggregate initial public offering price of up to $400,000,000. Unless otherwise specified in the applicable prospectus supplement, the debt securities will represent direct, unsecured obligations of our company and will rank equally with all of our other unsecured indebtedness.</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following statements relating to the debt securities and the indenture are summaries, qualified in their entirety by reference to the detailed provisions of the indenture and the final form indenture as may be filed with a future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will set forth, to the extent required, the following terms of the debt securities in respect of which the prospectus supplement is delivered:</w:t>
      </w:r>
    </w:p>
    <w:p>
      <w:pPr>
        <w:spacing w:after="0" w:line="67"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expressed as a percentage of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be issued and on which principal of, and premium, if any, is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130" w:lineRule="exact"/>
        <w:rPr>
          <w:rFonts w:ascii="Times New Roman" w:cs="Times New Roman" w:eastAsia="Times New Roman" w:hAnsi="Times New Roman"/>
          <w:sz w:val="18"/>
          <w:szCs w:val="18"/>
          <w:color w:val="auto"/>
        </w:rPr>
      </w:pPr>
    </w:p>
    <w:p>
      <w:pPr>
        <w:jc w:val="both"/>
        <w:ind w:left="1080" w:right="44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the interest payment date or dates on which interest will be payable and any regular record date for the interest payable, and the basis upon which interest will be calculated if other than that of a 360-day year of twelve 30-day months;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a minimum denomination of $2,000 or an integral multiple of $1,000 in excess thereof;</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debt securities (as described below) or global debt securities (as described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including an index based on a currency or currencies other than in which the debt securities are payable, then the manner in which such amounts will be determined;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130"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guaranteed by any person or persons and, if so, the identity of such person or persons, the terms and conditions upon which such debt securities shall be guaranteed and, if applicable, the terms and conditions upon which such guarantees may be subordinated to other indebtedness of the respective guarantors;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described in this prospectus or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if not otherwise described below under “Events of Default”;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shares of our common stock or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other indebtedness of our company;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of such series.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that apply to these debt securities in the applicable prospectus supplement.</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and/or Conversion Rights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may issue debt securities which can be exchanged for or converted into shares of our common stock or preferred stock. If we do, we will describe the terms of exchange or conversion in the prospectus supplement relating to these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and 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debt securities that will be represented by either:</w:t>
      </w:r>
    </w:p>
    <w:p>
      <w:pPr>
        <w:spacing w:after="0" w:line="131" w:lineRule="exact"/>
        <w:rPr>
          <w:sz w:val="20"/>
          <w:szCs w:val="20"/>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“book-entry securities,” which means that there will be one or more global securities registered in the name of a depositary or a nominee of a depositary;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“certificated securities,” which means that they will be represented by a certificate issued in definitive registered form.</w:t>
      </w:r>
    </w:p>
    <w:p>
      <w:pPr>
        <w:spacing w:after="0" w:line="225"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will specify in the prospectus supplement applicable to a particular offering whether the debt securities offered will be book-entry or certificated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you hold certificated debt securities issued under an indenture, you may transfer or exchange such debt securities in accordance with the terms of the indenture. You will not be charged a service charge for any transfer or exchange of certificated debt securities but may be required to pay an amount sufficient to cover any tax or other governmental charge payable in connection with such transfer or exchange.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debt securities of a series may be issued in the form of one or more global securities that will be deposited with a depositary or its nominees identified in the prospectus supplement relating to the debt securities. In such a case, one or more global securities will be issued in a denomination or aggregate denominations equal to the portion of the aggregate principal amount of outstanding debt securities of the series to be represented by such global security or securities.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Unless and until it is exchanged in whole or in part for debt securities in definitive registered form, a global security may not be registered for transfer or exchange except as a whole by the depositary for such global security to a nominee of the depositary and except in the circumstances described in the prospectus supplement relating to the debt securities. The specific terms of the depositary arrangement with respect to a series of debt securities will be described in the prospectus supplement relating to such series.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Protection in the Event of Change of Control</w:t>
      </w:r>
    </w:p>
    <w:p>
      <w:pPr>
        <w:spacing w:after="0" w:line="121"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Any provision in an indenture that governs our debt securities covered by this prospectus that includes any covenant or other provision providing for a put or increased interest or otherwise that would afford holders of our debt securities additional protection in the event of a recapitalization transaction, a change of control of our company, or a highly leveraged transaction will be described in the applicable prospectus supplement.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this prospectus or the applicable prospectus supplement, our debt securities may not have the benefit of any covenant that limits or restricts our business or operations, the pledging of our assets or the incurrence by us of indebtedness. We will describe in the applicable prospectus supplement any material covenants in respect of a series of debt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Conveyance, Transfer or Lease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agree in any indenture that governs the debt securities of any series covered by this prospectus that we will not consolidate with or merge into any other person or convey, transfer or lease (as lessor) our properties and assets as, or substantially as, an entirety to any person, unless such person and such proposed transaction meets various criteria, which we will describe in detail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Defaults and Notice</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of any series will contain events of default to be specified in the applicable prospectus supplement, which may include, without limitation:</w:t>
      </w:r>
    </w:p>
    <w:p>
      <w:pPr>
        <w:spacing w:after="0" w:line="67" w:lineRule="exact"/>
        <w:rPr>
          <w:sz w:val="20"/>
          <w:szCs w:val="20"/>
          <w:color w:val="auto"/>
        </w:rPr>
      </w:pPr>
    </w:p>
    <w:p>
      <w:pPr>
        <w:ind w:left="1080" w:right="4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any premium on any debt security of that series at its 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 debt security of that series;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covenants or agreements in the indenture with respect to the debt securities of such series;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relating to our bankruptcy, insolvency or reorganization.</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shall occur and be continuing, we may agree that the trustee or the holders of at least 25% in aggregate principal amount of the then outstanding debt securities of such series may declare the principal amount (or, if the debt securities of such series are issued at an original issue discount, such portion of the principal amount as may be specified in the terms of the debt securities of such series) of all debt securities of such series or such other amount or amounts as the debt securities or supplemental indenture with respect to such series may provide, to be due and payable immediately. Any provisions pertaining to events of default and any remedies associated therewith will be described in the applicable prospectus supplement.</w:t>
      </w:r>
    </w:p>
    <w:p>
      <w:pPr>
        <w:spacing w:after="0" w:line="187"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Any indenture that governs our debt securities covered by this prospectus may require that the trustee under such indenture shall, within 90 days after the occurrence of a default, give to holders of debt securities of any series notice of all uncured and unwaived defaults with respect to such series known to it. However, in the case of a default that results from the failure to make any payment of the principal of, premium, if any, or interest on the debt securities of any series, or in the payment of any sinking or purchase fund installment with respect to debt securities of such series, if any, the trustee may withhold such notice if it in good faith determines that the withholding of such notice is in the interest of the holders of debt securities of such series. Any terms and provisions relating to the foregoing types of provisions will be described in further detail in the applicable prospectus supplement.</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indenture that governs our debt securities covered by this prospectus will contain a provision entitling the trustee to be indemnified by holders of debt securities before proceeding to exercise any trust or power under the indenture at the request of such holders. Any such indenture may provide that the holders of at least a majority in aggregate principal amount of the then outstanding debt securities of any series may direct the time, method and place of conducting any proceedings for any remedy available to the trustee, or of exercising any trust or power conferred upon the trustee with respect to the debt securities of such series. However, the trustee under any such indenture may decline to follow any such direction if, among other reasons, the trustee determines in good faith that the actions or proceedings as directed may not lawfully be taken, would involve the trustee in personal liability or would be unduly prejudicial to the holders of the debt securities of such series not joining in such direction.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Any indenture that governs our debt securities covered by this prospectus may endow the holders of such debt securities to institute a proceeding with respect to such indenture, subject to certain conditions, which will be specified in the applicable prospectus supplement and which may include, that the holders of at least a majority in aggregate principal amount of the debt securities of such series then outstanding make a written request upon the trustee to exercise its power under the indenture, indemnify the trustee and afford the trustee reasonable opportunity to act. Even so, such holders may have an absolute right to receipt of the principal of or premium, if any, and interest when due, to require conversion or exchange of debt securities if such indenture provides for convertibility or exchangeability at the option of the holder and to institute suit for the enforcement of such rights. Any terms and provisions relating to the foregoing types of provisions will be described in further detail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the Indenture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any indenture that governs our debt securities of any series covered by this prospectus with or without the consent of the holders of such debt securities, under certain circumstances to be described in a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Defeasance; Satisfaction and Discharge</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will outline the conditions under which we may elect to have certain of our obligations under the indenture discharged and under which the indenture obligations will be deemed to be satisfied.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Regarding the Trustee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identify the trustee and any relationship that we may have with such trustee, with respect to any series of debt securities, in the prospectus supplement relating to the applicable debt securities. You should note that if the trustee becomes a creditor of us,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law governing the indenture and the debt securities will be identified in the prospectus supplement relating to the applicable indenture and debt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OUR UNITS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the material terms and provisions of the units that we may offer under this prospectus. Units may be offered independently or together with one or more of the securities that may be offered under this prospectus, in any combination,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forms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of the securities that may be offered under this prospectus.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w:t>
      </w:r>
    </w:p>
    <w:p>
      <w:pPr>
        <w:spacing w:after="0" w:line="131" w:lineRule="exact"/>
        <w:rPr>
          <w:sz w:val="20"/>
          <w:szCs w:val="20"/>
          <w:color w:val="auto"/>
        </w:rPr>
      </w:pPr>
    </w:p>
    <w:p>
      <w:pPr>
        <w:ind w:left="1080" w:right="1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of the unit agent,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Our Common Stock,” “Description of our Preferred Stock,” “Description of Our Debt Securities” and “Description of Our Warrants,” will apply to each unit and to any common stock, preferred stock, debt securities or warrants included in each unit,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units in such amounts and in numerous distinct series as we determine.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website at www.sec.gov that contains reports, proxy and information statements, and other information regarding issuers that file electronically with the SEC. Our reports on Forms 10-K, 10-Q and 8-K, and amendments to those reports, are also available for download, free of charge, as soon as reasonably practicable after these reports are filed with, or furnished to, the SEC, at our website at www.invivyd.com. Information contained on or accessible through our website is not a part of this prospectus or any prospectus supplement, and the inclusion of our website address in this prospectus is an inactive textual reference only.</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other documents that we file with it. This means that we can disclose important information to you by referring you to those documents. The information incorporated by reference is considered to be a part of this prospectus, and information in documents that we file later with the SEC will automatically update and supersede information contained in documents filed earlier with the SEC or contained in this prospectus. We incorporate by reference in this prospectus (i) the documents listed below,</w:t>
      </w:r>
    </w:p>
    <w:p>
      <w:pPr>
        <w:spacing w:after="0" w:line="3" w:lineRule="exact"/>
        <w:rPr>
          <w:sz w:val="20"/>
          <w:szCs w:val="20"/>
          <w:color w:val="auto"/>
        </w:rPr>
      </w:pPr>
    </w:p>
    <w:p>
      <w:pPr>
        <w:ind w:left="120" w:right="140" w:hanging="4"/>
        <w:spacing w:after="0" w:line="253" w:lineRule="auto"/>
        <w:tabs>
          <w:tab w:leader="none" w:pos="3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that we file with the SEC under Section 13(a), 13(c), 14 or 15(d) of the Exchange Act after the date of the initial filing of the registration statement of which this prospectus is included and prior to the effectiveness of such registration statement, and (iii) and any future filings that we may make with the SEC under Sections 13(a), 13(c), 14, or 15(d) of the Exchange Act prior to the termination of the offering under this prospectus; provided, however, that we are not incorporating, in each case, any documents or information deemed to have been furnished and not filed, including any information that we disclose under Items 2.02 or 7.01 of any Current Report on Form 8-K, in accordance with SEC rules:</w:t>
      </w:r>
    </w:p>
    <w:p>
      <w:pPr>
        <w:spacing w:after="0" w:line="92"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2021, filed with the SEC on March 31, 2022 (as amended by the Annual Report on </w:t>
      </w:r>
      <w:hyperlink r:id="rId81">
        <w:r>
          <w:rPr>
            <w:rFonts w:ascii="Times New Roman" w:cs="Times New Roman" w:eastAsia="Times New Roman" w:hAnsi="Times New Roman"/>
            <w:sz w:val="18"/>
            <w:szCs w:val="18"/>
            <w:u w:val="single" w:color="auto"/>
            <w:color w:val="0000EE"/>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29, 2022);</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1"/>
          <w:numId w:val="28"/>
        </w:numPr>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auto"/>
          </w:rPr>
          <w:t xml:space="preserve">our Quarterly Reports on Form 10-Q for the quarterly periods ended March 31, 2022 and June 30, 2022, filed with the SEC on </w:t>
        </w:r>
        <w:r>
          <w:rPr>
            <w:rFonts w:ascii="Times New Roman" w:cs="Times New Roman" w:eastAsia="Times New Roman" w:hAnsi="Times New Roman"/>
            <w:sz w:val="18"/>
            <w:szCs w:val="18"/>
            <w:u w:val="single" w:color="auto"/>
            <w:color w:val="0000EE"/>
          </w:rPr>
          <w:t>May 13,</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83">
        <w:r>
          <w:rPr>
            <w:rFonts w:ascii="Times New Roman" w:cs="Times New Roman" w:eastAsia="Times New Roman" w:hAnsi="Times New Roman"/>
            <w:sz w:val="18"/>
            <w:szCs w:val="18"/>
            <w:u w:val="single" w:color="auto"/>
            <w:color w:val="0000EE"/>
          </w:rPr>
          <w:t>August 15, 2022</w:t>
        </w:r>
      </w:hyperlink>
      <w:hyperlink r:id="rId82">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ind w:left="1080" w:right="200" w:hanging="424"/>
        <w:spacing w:after="0" w:line="261" w:lineRule="auto"/>
        <w:tabs>
          <w:tab w:leader="none" w:pos="1080" w:val="left"/>
        </w:tabs>
        <w:numPr>
          <w:ilvl w:val="1"/>
          <w:numId w:val="28"/>
        </w:numPr>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auto"/>
          </w:rPr>
          <w:t xml:space="preserve">our Current Reports on Form 8-K (other than the portions thereof that are furnished and not filed) as filed with the SEC on </w:t>
        </w:r>
        <w:r>
          <w:rPr>
            <w:rFonts w:ascii="Times New Roman" w:cs="Times New Roman" w:eastAsia="Times New Roman" w:hAnsi="Times New Roman"/>
            <w:sz w:val="18"/>
            <w:szCs w:val="18"/>
            <w:u w:val="single" w:color="auto"/>
            <w:color w:val="0000EE"/>
          </w:rPr>
          <w:t>January 13,</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EE"/>
          </w:rPr>
          <w:t>2022, February 18, 2022, February 22, 2022, February 23,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 by the Current Report on Form 8-K/A filed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21,</w:t>
        </w:r>
      </w:hyperlink>
      <w:r>
        <w:rPr>
          <w:rFonts w:ascii="Times New Roman" w:cs="Times New Roman" w:eastAsia="Times New Roman" w:hAnsi="Times New Roman"/>
          <w:sz w:val="18"/>
          <w:szCs w:val="18"/>
          <w:color w:val="0000EE"/>
        </w:rPr>
        <w:t xml:space="preserve"> </w:t>
      </w:r>
      <w:hyperlink r:id="rId86">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19,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22,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30,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5,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12,</w:t>
        </w:r>
      </w:hyperlink>
      <w:r>
        <w:rPr>
          <w:rFonts w:ascii="Times New Roman" w:cs="Times New Roman" w:eastAsia="Times New Roman" w:hAnsi="Times New Roman"/>
          <w:sz w:val="18"/>
          <w:szCs w:val="18"/>
          <w:color w:val="0000EE"/>
        </w:rPr>
        <w:t xml:space="preserve"> </w:t>
      </w:r>
      <w:hyperlink r:id="rId86">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87">
        <w:r>
          <w:rPr>
            <w:rFonts w:ascii="Times New Roman" w:cs="Times New Roman" w:eastAsia="Times New Roman" w:hAnsi="Times New Roman"/>
            <w:sz w:val="18"/>
            <w:szCs w:val="18"/>
            <w:u w:val="single" w:color="auto"/>
            <w:color w:val="0000EE"/>
          </w:rPr>
          <w:t>September 13, 2022</w:t>
        </w:r>
      </w:hyperlink>
      <w:hyperlink r:id="rId86">
        <w:r>
          <w:rPr>
            <w:rFonts w:ascii="Times New Roman" w:cs="Times New Roman" w:eastAsia="Times New Roman" w:hAnsi="Times New Roman"/>
            <w:sz w:val="18"/>
            <w:szCs w:val="18"/>
            <w:color w:val="000000"/>
          </w:rPr>
          <w:t>; and</w:t>
        </w:r>
      </w:hyperlink>
    </w:p>
    <w:p>
      <w:pPr>
        <w:spacing w:after="0" w:line="85" w:lineRule="exact"/>
        <w:rPr>
          <w:rFonts w:ascii="Times New Roman" w:cs="Times New Roman" w:eastAsia="Times New Roman" w:hAnsi="Times New Roman"/>
          <w:sz w:val="18"/>
          <w:szCs w:val="18"/>
          <w:color w:val="0000EE"/>
        </w:rPr>
      </w:pPr>
    </w:p>
    <w:p>
      <w:pPr>
        <w:ind w:left="1080" w:right="220" w:hanging="424"/>
        <w:spacing w:after="0" w:line="266" w:lineRule="auto"/>
        <w:tabs>
          <w:tab w:leader="none" w:pos="1080" w:val="left"/>
        </w:tabs>
        <w:numPr>
          <w:ilvl w:val="1"/>
          <w:numId w:val="2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4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August 3, 2021, as updated by </w:t>
      </w:r>
      <w:hyperlink r:id="rId88">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fiscal year ended December 31, 2021, including any amendments or reports 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purpose of updating such description.</w:t>
      </w:r>
    </w:p>
    <w:p>
      <w:pPr>
        <w:spacing w:after="0" w:line="176"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may request, orally or in writing, a copy of any or all of the documents incorporated herein by reference. These documents will be provided to you at no cost, by contacting: Invivyd, Inc., Corporate Secretary, at 1601 Trapelo Road, Suite 178, Waltham, MA 02451 or (781) 819-0080. In addition, copies of any or all of the documents incorporated herein by reference may be accessed at our website at www.invivyd.com. The information on such website is not incorporated by reference and is not a part of this prospectus.</w:t>
      </w:r>
    </w:p>
    <w:p>
      <w:pPr>
        <w:spacing w:after="0" w:line="11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issuance of the securities offered hereby will be passed upon for us by Hogan Lovells US LLP, Philadelphia, Pennsylvania. As appropriate, legal counsel representing the underwriters, dealers or agents will be named in the accompanying prospectus supplement and may opine to certain legal matters.</w:t>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320" w:top="455" w:right="5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643890</wp:posOffset>
            </wp:positionV>
            <wp:extent cx="2597150" cy="411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2597150" cy="41148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5"/>
          <w:szCs w:val="25"/>
          <w:b w:val="1"/>
          <w:bCs w:val="1"/>
          <w:color w:val="auto"/>
        </w:rPr>
        <w:t>Up to $75,000,000</w:t>
      </w:r>
    </w:p>
    <w:p>
      <w:pPr>
        <w:spacing w:after="0" w:line="200" w:lineRule="exact"/>
        <w:rPr>
          <w:sz w:val="20"/>
          <w:szCs w:val="20"/>
          <w:color w:val="auto"/>
        </w:rPr>
      </w:pPr>
    </w:p>
    <w:p>
      <w:pPr>
        <w:spacing w:after="0" w:line="24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2201545</wp:posOffset>
            </wp:positionV>
            <wp:extent cx="1474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243840</wp:posOffset>
            </wp:positionV>
            <wp:extent cx="1474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912495</wp:posOffset>
            </wp:positionV>
            <wp:extent cx="1920240" cy="3689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192024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December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51" w:name="page52"/>
    <w:bookmarkEnd w:id="51"/>
    <w:p>
      <w:pPr>
        <w:ind w:left="1012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prospectus supplement to which this exhibit is attached is a final prospectus for the related offering. The maximum aggregate offering price of such offering is $75,000,000.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lowerRoman"/>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jpe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jpe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jpeg"/><Relationship Id="rId97" Type="http://schemas.openxmlformats.org/officeDocument/2006/relationships/image" Target="media/image71.png"/><Relationship Id="rId98" Type="http://schemas.openxmlformats.org/officeDocument/2006/relationships/image" Target="media/image72.png"/><Relationship Id="rId35" Type="http://schemas.openxmlformats.org/officeDocument/2006/relationships/hyperlink" Target="http://www.sec.gov/ix?doc=/Archives/edgar/data/1832038/000095017023009516/ivvd-20221231.htm" TargetMode="External"/><Relationship Id="rId36" Type="http://schemas.openxmlformats.org/officeDocument/2006/relationships/hyperlink" Target="http://www.sec.gov/Archives/edgar/data/1832038/000119312523096524/d419064ddef14a.htm" TargetMode="External"/><Relationship Id="rId37" Type="http://schemas.openxmlformats.org/officeDocument/2006/relationships/hyperlink" Target="http://www.sec.gov/ix?doc=/Archives/edgar/data/1832038/000095017023021235/ivvd-20230331.htm" TargetMode="External"/><Relationship Id="rId38" Type="http://schemas.openxmlformats.org/officeDocument/2006/relationships/hyperlink" Target="http://www.sec.gov/ix?doc=/Archives/edgar/data/1832038/000095017023041352/ivvd-20230630.htm" TargetMode="External"/><Relationship Id="rId39" Type="http://schemas.openxmlformats.org/officeDocument/2006/relationships/hyperlink" Target="http://www.sec.gov/ix?doc=/Archives/edgar/data/1832038/000095017023062043/ivvd-20230930.htm" TargetMode="External"/><Relationship Id="rId40" Type="http://schemas.openxmlformats.org/officeDocument/2006/relationships/hyperlink" Target="http://www.sec.gov/ix?doc=/Archives/edgar/data/1832038/000119312523004133/d416902d8k.htm" TargetMode="External"/><Relationship Id="rId41" Type="http://schemas.openxmlformats.org/officeDocument/2006/relationships/hyperlink" Target="http://www.sec.gov/ix?doc=/Archives/edgar/data/1832038/000119312523274506/d295277d8k.htm" TargetMode="External"/><Relationship Id="rId42" Type="http://schemas.openxmlformats.org/officeDocument/2006/relationships/hyperlink" Target="http://www.sec.gov/ix?doc=/Archives/edgar/data/1832038/000119312523297099/d418337d8k.htm" TargetMode="External"/><Relationship Id="rId43" Type="http://schemas.openxmlformats.org/officeDocument/2006/relationships/hyperlink" Target="http://www.sec.gov/Archives/edgar/data/1832038/000119312521233921/d109461d8a12b.htm" TargetMode="External"/><Relationship Id="rId44" Type="http://schemas.openxmlformats.org/officeDocument/2006/relationships/hyperlink" Target="http://www.sec.gov/Archives/edgar/data/1832038/000095017023009516/ivvd-ex4_2.htm" TargetMode="External"/><Relationship Id="rId80" Type="http://schemas.openxmlformats.org/officeDocument/2006/relationships/hyperlink" Target="http://www.sec.gov/ix?doc=/Archives/edgar/data/1832038/000095017022005112/adgi-20211231.htm" TargetMode="External"/><Relationship Id="rId81" Type="http://schemas.openxmlformats.org/officeDocument/2006/relationships/hyperlink" Target="http://www.sec.gov/ix?doc=/Archives/edgar/data/1832038/000119312522134035/d304392d10ka.htm" TargetMode="External"/><Relationship Id="rId82" Type="http://schemas.openxmlformats.org/officeDocument/2006/relationships/hyperlink" Target="http://www.sec.gov/ix?doc=/Archives/edgar/data/1832038/000095017022009799/adgi-20220331.htm" TargetMode="External"/><Relationship Id="rId83" Type="http://schemas.openxmlformats.org/officeDocument/2006/relationships/hyperlink" Target="http://www.sec.gov/ix?doc=/Archives/edgar/data/1832038/000095017022017242/adgi-20220630.htm" TargetMode="External"/><Relationship Id="rId84" Type="http://schemas.openxmlformats.org/officeDocument/2006/relationships/hyperlink" Target="http://www.sec.gov/ix?doc=/Archives/edgar/data/1832038/000119312522008197/d277827d8k.htm" TargetMode="External"/><Relationship Id="rId85" Type="http://schemas.openxmlformats.org/officeDocument/2006/relationships/hyperlink" Target="http://www.sec.gov/ix?doc=/Archives/edgar/data/1832038/000119312522079997/d285779d8ka.htm" TargetMode="External"/><Relationship Id="rId86" Type="http://schemas.openxmlformats.org/officeDocument/2006/relationships/hyperlink" Target="http://www.sec.gov/ix?doc=/Archives/edgar/data/1832038/000119312522242433/d382910d8k.htm" TargetMode="External"/><Relationship Id="rId87" Type="http://schemas.openxmlformats.org/officeDocument/2006/relationships/hyperlink" Target="http://www.sec.gov/ix?doc=/Archives/edgar/data/1832038/000119312522243285/d388436d8k.htm" TargetMode="External"/><Relationship Id="rId88" Type="http://schemas.openxmlformats.org/officeDocument/2006/relationships/hyperlink" Target="http://www.sec.gov/Archives/edgar/data/1832038/000095017022005112/adgi-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2023-12-22T15:56:41Z</dcterms:created>
  <dcterms:modified xsi:type="dcterms:W3CDTF">2023-12-22T15:56:41Z</dcterms:modified>
</cp:coreProperties>
</file>