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304165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2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(Amendment No. 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0"/>
          <w:szCs w:val="40"/>
          <w:b w:val="1"/>
          <w:bCs w:val="1"/>
          <w:color w:val="auto"/>
        </w:rPr>
        <w:t>INVIVYD, INC.</w:t>
      </w:r>
    </w:p>
    <w:p>
      <w:pPr>
        <w:spacing w:after="0" w:line="4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Common Stock, $0.0001 par value per share</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00534A102</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18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Lauren Crockett</w:t>
      </w:r>
    </w:p>
    <w:p>
      <w:pPr>
        <w:spacing w:after="0" w:line="3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Polaris Partners</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One Marina Park Drive, 8th Floor</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Boston, MA 02210</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(781) 290-0770</w:t>
      </w:r>
    </w:p>
    <w:p>
      <w:pPr>
        <w:spacing w:after="0" w:line="2"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18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December 10, 2024</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296545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ind w:left="4" w:right="12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97" w:lineRule="exact"/>
        <w:rPr>
          <w:sz w:val="24"/>
          <w:szCs w:val="24"/>
          <w:color w:val="auto"/>
        </w:rPr>
      </w:pPr>
    </w:p>
    <w:p>
      <w:pPr>
        <w:ind w:left="424"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or otherwise subject to the liabilities of that section of the Act but shall be subject to all other provisions of the Act (however, see the Notes).</w:t>
      </w:r>
    </w:p>
    <w:p>
      <w:pPr>
        <w:spacing w:after="0" w:line="176"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(Continued on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214630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4"/>
          </w:cols>
          <w:pgMar w:left="436" w:top="511" w:right="519" w:bottom="1440" w:gutter="0" w:footer="0" w:header="0"/>
        </w:sectPr>
      </w:pPr>
    </w:p>
    <w:bookmarkStart w:id="1" w:name="page2"/>
    <w:bookmarkEnd w:id="1"/>
    <w:tbl>
      <w:tblPr>
        <w:tblLayout w:type="fixed"/>
        <w:tblInd w:w="4"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00534A102</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244" w:hanging="87"/>
        <w:spacing w:after="0"/>
        <w:tabs>
          <w:tab w:leader="none" w:pos="244"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Polaris Venture Partners V, L.P.</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6111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14" w:lineRule="exact"/>
        <w:rPr>
          <w:sz w:val="20"/>
          <w:szCs w:val="20"/>
          <w:color w:val="auto"/>
        </w:rPr>
      </w:pPr>
    </w:p>
    <w:p>
      <w:pPr>
        <w:ind w:left="52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604" w:hanging="78"/>
        <w:spacing w:after="0"/>
        <w:tabs>
          <w:tab w:leader="none" w:pos="604" w:val="left"/>
        </w:tabs>
        <w:numPr>
          <w:ilvl w:val="1"/>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WC</w:t>
      </w:r>
    </w:p>
    <w:p>
      <w:pPr>
        <w:spacing w:after="0" w:line="70" w:lineRule="exact"/>
        <w:rPr>
          <w:rFonts w:ascii="Times New Roman" w:cs="Times New Roman" w:eastAsia="Times New Roman" w:hAnsi="Times New Roman"/>
          <w:sz w:val="15"/>
          <w:szCs w:val="15"/>
          <w:color w:val="auto"/>
        </w:rPr>
      </w:pPr>
    </w:p>
    <w:p>
      <w:pPr>
        <w:ind w:left="244" w:hanging="87"/>
        <w:spacing w:after="0"/>
        <w:tabs>
          <w:tab w:leader="none" w:pos="24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 2(d) or 2(e)</w:t>
      </w:r>
    </w:p>
    <w:p>
      <w:pPr>
        <w:spacing w:after="0" w:line="222" w:lineRule="exact"/>
        <w:rPr>
          <w:rFonts w:ascii="Times New Roman" w:cs="Times New Roman" w:eastAsia="Times New Roman" w:hAnsi="Times New Roman"/>
          <w:sz w:val="17"/>
          <w:szCs w:val="17"/>
          <w:color w:val="auto"/>
        </w:rPr>
      </w:pPr>
    </w:p>
    <w:p>
      <w:pPr>
        <w:ind w:left="624" w:hanging="98"/>
        <w:spacing w:after="0" w:line="207" w:lineRule="exact"/>
        <w:tabs>
          <w:tab w:leader="none" w:pos="624" w:val="left"/>
        </w:tabs>
        <w:numPr>
          <w:ilvl w:val="1"/>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644" w:hanging="92"/>
        <w:spacing w:after="0"/>
        <w:tabs>
          <w:tab w:leader="none" w:pos="1644"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SOLE VOTING POWER</w:t>
      </w:r>
    </w:p>
    <w:p>
      <w:pPr>
        <w:spacing w:after="0" w:line="212" w:lineRule="exact"/>
        <w:rPr>
          <w:sz w:val="20"/>
          <w:szCs w:val="20"/>
          <w:color w:val="auto"/>
        </w:rPr>
      </w:pPr>
    </w:p>
    <w:tbl>
      <w:tblPr>
        <w:tblLayout w:type="fixed"/>
        <w:tblInd w:w="164" w:type="dxa"/>
        <w:tblCellMar>
          <w:top w:w="0" w:type="dxa"/>
          <w:left w:w="0" w:type="dxa"/>
          <w:bottom w:w="0" w:type="dxa"/>
          <w:right w:w="0" w:type="dxa"/>
        </w:tblCellMar>
      </w:tblP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Pr>
          <w:p>
            <w:pPr>
              <w:spacing w:after="0"/>
              <w:rPr>
                <w:sz w:val="19"/>
                <w:szCs w:val="19"/>
                <w:color w:val="auto"/>
              </w:rPr>
            </w:pP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400" w:type="dxa"/>
            <w:vAlign w:val="bottom"/>
            <w:tcBorders>
              <w:bottom w:val="single" w:sz="8" w:color="auto"/>
            </w:tcBorders>
          </w:tcPr>
          <w:p>
            <w:pPr>
              <w:spacing w:after="0"/>
              <w:rPr>
                <w:sz w:val="5"/>
                <w:szCs w:val="5"/>
                <w:color w:val="auto"/>
              </w:rPr>
            </w:pPr>
          </w:p>
        </w:tc>
        <w:tc>
          <w:tcPr>
            <w:tcW w:w="9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280" w:type="dxa"/>
            <w:vAlign w:val="bottom"/>
            <w:vMerge w:val="continue"/>
          </w:tcPr>
          <w:p>
            <w:pPr>
              <w:spacing w:after="0"/>
              <w:rPr>
                <w:sz w:val="10"/>
                <w:szCs w:val="10"/>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8</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104"/>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00" w:type="dxa"/>
            <w:vAlign w:val="bottom"/>
            <w:vMerge w:val="continue"/>
          </w:tcPr>
          <w:p>
            <w:pPr>
              <w:spacing w:after="0"/>
              <w:rPr>
                <w:sz w:val="9"/>
                <w:szCs w:val="9"/>
                <w:color w:val="auto"/>
              </w:rPr>
            </w:pPr>
          </w:p>
        </w:tc>
        <w:tc>
          <w:tcPr>
            <w:tcW w:w="9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28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9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3,120,194 Shares of Common Stock (1)</w:t>
            </w:r>
          </w:p>
        </w:tc>
        <w:tc>
          <w:tcPr>
            <w:tcW w:w="0" w:type="dxa"/>
            <w:vAlign w:val="bottom"/>
          </w:tcPr>
          <w:p>
            <w:pPr>
              <w:spacing w:after="0"/>
              <w:rPr>
                <w:sz w:val="1"/>
                <w:szCs w:val="1"/>
                <w:color w:val="auto"/>
              </w:rPr>
            </w:pPr>
          </w:p>
        </w:tc>
      </w:tr>
      <w:tr>
        <w:trPr>
          <w:trHeight w:val="120"/>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400" w:type="dxa"/>
            <w:vAlign w:val="bottom"/>
            <w:tcBorders>
              <w:bottom w:val="single" w:sz="8" w:color="auto"/>
            </w:tcBorders>
          </w:tcPr>
          <w:p>
            <w:pPr>
              <w:spacing w:after="0"/>
              <w:rPr>
                <w:sz w:val="10"/>
                <w:szCs w:val="10"/>
                <w:color w:val="auto"/>
              </w:rPr>
            </w:pPr>
          </w:p>
        </w:tc>
        <w:tc>
          <w:tcPr>
            <w:tcW w:w="90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280" w:type="dxa"/>
            <w:vAlign w:val="bottom"/>
            <w:vMerge w:val="continue"/>
          </w:tcPr>
          <w:p>
            <w:pPr>
              <w:spacing w:after="0"/>
              <w:rPr>
                <w:sz w:val="6"/>
                <w:szCs w:val="6"/>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9</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5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vMerge w:val="continue"/>
          </w:tcPr>
          <w:p>
            <w:pPr>
              <w:spacing w:after="0"/>
              <w:rPr>
                <w:sz w:val="13"/>
                <w:szCs w:val="13"/>
                <w:color w:val="auto"/>
              </w:rPr>
            </w:pPr>
          </w:p>
        </w:tc>
        <w:tc>
          <w:tcPr>
            <w:tcW w:w="9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2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80"/>
        </w:trPr>
        <w:tc>
          <w:tcPr>
            <w:tcW w:w="128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400" w:type="dxa"/>
            <w:vAlign w:val="bottom"/>
            <w:tcBorders>
              <w:bottom w:val="single" w:sz="8" w:color="auto"/>
            </w:tcBorders>
          </w:tcPr>
          <w:p>
            <w:pPr>
              <w:spacing w:after="0"/>
              <w:rPr>
                <w:sz w:val="15"/>
                <w:szCs w:val="15"/>
                <w:color w:val="auto"/>
              </w:rPr>
            </w:pPr>
          </w:p>
        </w:tc>
        <w:tc>
          <w:tcPr>
            <w:tcW w:w="9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280" w:type="dxa"/>
            <w:vAlign w:val="bottom"/>
          </w:tcPr>
          <w:p>
            <w:pPr>
              <w:spacing w:after="0"/>
              <w:rPr>
                <w:sz w:val="19"/>
                <w:szCs w:val="19"/>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964"/>
        <w:spacing w:after="0"/>
        <w:rPr>
          <w:sz w:val="20"/>
          <w:szCs w:val="20"/>
          <w:color w:val="auto"/>
        </w:rPr>
      </w:pPr>
      <w:r>
        <w:rPr>
          <w:rFonts w:ascii="Times New Roman" w:cs="Times New Roman" w:eastAsia="Times New Roman" w:hAnsi="Times New Roman"/>
          <w:sz w:val="18"/>
          <w:szCs w:val="18"/>
          <w:color w:val="auto"/>
        </w:rPr>
        <w:t>  3,120,194 Shares of Common Stock (1)</w:t>
      </w:r>
    </w:p>
    <w:p>
      <w:pPr>
        <w:spacing w:after="0" w:line="36" w:lineRule="exact"/>
        <w:rPr>
          <w:sz w:val="20"/>
          <w:szCs w:val="20"/>
          <w:color w:val="auto"/>
        </w:rPr>
      </w:pPr>
    </w:p>
    <w:p>
      <w:pPr>
        <w:ind w:left="524" w:hanging="367"/>
        <w:spacing w:after="0"/>
        <w:tabs>
          <w:tab w:leader="none" w:pos="52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AGGREGATE AMOUNT BENEFICIALLY OWNED BY EACH REPORTING PERSON</w:t>
      </w:r>
    </w:p>
    <w:p>
      <w:pPr>
        <w:spacing w:after="0" w:line="25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3,120,194 Shares of Common Stock (1)</w:t>
      </w:r>
    </w:p>
    <w:p>
      <w:pPr>
        <w:spacing w:after="0" w:line="3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24" w:hanging="98"/>
        <w:spacing w:after="0" w:line="207" w:lineRule="exact"/>
        <w:tabs>
          <w:tab w:leader="none" w:pos="624" w:val="left"/>
        </w:tabs>
        <w:numPr>
          <w:ilvl w:val="2"/>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23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 (2)</w:t>
      </w:r>
    </w:p>
    <w:p>
      <w:pPr>
        <w:spacing w:after="0" w:line="3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424" w:right="20" w:hanging="424"/>
        <w:spacing w:after="0" w:line="255"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are held of record by Polaris V (as defined in Item 2(a) of the Original Schedule 13D). PVMC V (as defined in Item 2(a) of the Original Schedule 13D) is the general partner of Polaris V and may be deemed to have shared voting, investment and dispositive power with respect to these securities. The PVMC V Managing Members (as defined in Item 2(c) of the Original Schedule 13D) are the managing members of PVMC V and may be deemed to have shared voting, investment and dispositive power with respect to the securities held by Polaris V.</w:t>
      </w:r>
    </w:p>
    <w:p>
      <w:pPr>
        <w:spacing w:after="0" w:line="2" w:lineRule="exact"/>
        <w:rPr>
          <w:rFonts w:ascii="Times New Roman" w:cs="Times New Roman" w:eastAsia="Times New Roman" w:hAnsi="Times New Roman"/>
          <w:sz w:val="18"/>
          <w:szCs w:val="18"/>
          <w:color w:val="auto"/>
        </w:rPr>
      </w:pPr>
    </w:p>
    <w:p>
      <w:pPr>
        <w:ind w:left="424" w:right="40" w:hanging="424"/>
        <w:spacing w:after="0" w:line="255"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119,616,035 shares of Common Stock (as defined in Item 1 of the Original Schedule 13D) outstanding as of November 1, 2024, as set forth in the Issuer’s quarterly report on Form 10-Q for the quarter ended September 30, 2024, filed with the United States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on November 14, 2024 (the Form 10-Q).</w:t>
      </w:r>
    </w:p>
    <w:p>
      <w:pPr>
        <w:sectPr>
          <w:pgSz w:w="11900" w:h="16838" w:orient="portrait"/>
          <w:cols w:equalWidth="0" w:num="1">
            <w:col w:w="11024"/>
          </w:cols>
          <w:pgMar w:left="436" w:top="270" w:right="439" w:bottom="1440" w:gutter="0" w:footer="0" w:header="0"/>
        </w:sectPr>
      </w:pPr>
    </w:p>
    <w:bookmarkStart w:id="2" w:name="page3"/>
    <w:bookmarkEnd w:id="2"/>
    <w:tbl>
      <w:tblPr>
        <w:tblLayout w:type="fixed"/>
        <w:tblInd w:w="4"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00534A102</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244" w:hanging="87"/>
        <w:spacing w:after="0"/>
        <w:tabs>
          <w:tab w:leader="none" w:pos="24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Polaris Venture Partners Entrepreneurs’ Fund V, L.P.</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6111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14" w:lineRule="exact"/>
        <w:rPr>
          <w:sz w:val="20"/>
          <w:szCs w:val="20"/>
          <w:color w:val="auto"/>
        </w:rPr>
      </w:pPr>
    </w:p>
    <w:p>
      <w:pPr>
        <w:ind w:left="52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604" w:hanging="78"/>
        <w:spacing w:after="0"/>
        <w:tabs>
          <w:tab w:leader="none" w:pos="604" w:val="left"/>
        </w:tabs>
        <w:numPr>
          <w:ilvl w:val="1"/>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WC</w:t>
      </w:r>
    </w:p>
    <w:p>
      <w:pPr>
        <w:spacing w:after="0" w:line="70" w:lineRule="exact"/>
        <w:rPr>
          <w:rFonts w:ascii="Times New Roman" w:cs="Times New Roman" w:eastAsia="Times New Roman" w:hAnsi="Times New Roman"/>
          <w:sz w:val="15"/>
          <w:szCs w:val="15"/>
          <w:color w:val="auto"/>
        </w:rPr>
      </w:pPr>
    </w:p>
    <w:p>
      <w:pPr>
        <w:ind w:left="244" w:hanging="87"/>
        <w:spacing w:after="0"/>
        <w:tabs>
          <w:tab w:leader="none" w:pos="24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 2(d) or 2(e)</w:t>
      </w:r>
    </w:p>
    <w:p>
      <w:pPr>
        <w:spacing w:after="0" w:line="222" w:lineRule="exact"/>
        <w:rPr>
          <w:rFonts w:ascii="Times New Roman" w:cs="Times New Roman" w:eastAsia="Times New Roman" w:hAnsi="Times New Roman"/>
          <w:sz w:val="17"/>
          <w:szCs w:val="17"/>
          <w:color w:val="auto"/>
        </w:rPr>
      </w:pPr>
    </w:p>
    <w:p>
      <w:pPr>
        <w:ind w:left="624" w:hanging="98"/>
        <w:spacing w:after="0" w:line="207" w:lineRule="exact"/>
        <w:tabs>
          <w:tab w:leader="none" w:pos="624" w:val="left"/>
        </w:tabs>
        <w:numPr>
          <w:ilvl w:val="1"/>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644" w:hanging="92"/>
        <w:spacing w:after="0"/>
        <w:tabs>
          <w:tab w:leader="none" w:pos="1644"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SOLE VOTING POWER</w:t>
      </w:r>
    </w:p>
    <w:p>
      <w:pPr>
        <w:spacing w:after="0" w:line="212" w:lineRule="exact"/>
        <w:rPr>
          <w:sz w:val="20"/>
          <w:szCs w:val="20"/>
          <w:color w:val="auto"/>
        </w:rPr>
      </w:pPr>
    </w:p>
    <w:tbl>
      <w:tblPr>
        <w:tblLayout w:type="fixed"/>
        <w:tblInd w:w="164" w:type="dxa"/>
        <w:tblCellMar>
          <w:top w:w="0" w:type="dxa"/>
          <w:left w:w="0" w:type="dxa"/>
          <w:bottom w:w="0" w:type="dxa"/>
          <w:right w:w="0" w:type="dxa"/>
        </w:tblCellMar>
      </w:tblP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Pr>
          <w:p>
            <w:pPr>
              <w:spacing w:after="0"/>
              <w:rPr>
                <w:sz w:val="19"/>
                <w:szCs w:val="19"/>
                <w:color w:val="auto"/>
              </w:rPr>
            </w:pP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400" w:type="dxa"/>
            <w:vAlign w:val="bottom"/>
            <w:tcBorders>
              <w:bottom w:val="single" w:sz="8" w:color="auto"/>
            </w:tcBorders>
          </w:tcPr>
          <w:p>
            <w:pPr>
              <w:spacing w:after="0"/>
              <w:rPr>
                <w:sz w:val="5"/>
                <w:szCs w:val="5"/>
                <w:color w:val="auto"/>
              </w:rPr>
            </w:pPr>
          </w:p>
        </w:tc>
        <w:tc>
          <w:tcPr>
            <w:tcW w:w="9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280" w:type="dxa"/>
            <w:vAlign w:val="bottom"/>
            <w:vMerge w:val="continue"/>
          </w:tcPr>
          <w:p>
            <w:pPr>
              <w:spacing w:after="0"/>
              <w:rPr>
                <w:sz w:val="10"/>
                <w:szCs w:val="10"/>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8</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104"/>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00" w:type="dxa"/>
            <w:vAlign w:val="bottom"/>
            <w:vMerge w:val="continue"/>
          </w:tcPr>
          <w:p>
            <w:pPr>
              <w:spacing w:after="0"/>
              <w:rPr>
                <w:sz w:val="9"/>
                <w:szCs w:val="9"/>
                <w:color w:val="auto"/>
              </w:rPr>
            </w:pPr>
          </w:p>
        </w:tc>
        <w:tc>
          <w:tcPr>
            <w:tcW w:w="9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28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9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60,814 Shares of Common Stock (1)</w:t>
            </w:r>
          </w:p>
        </w:tc>
        <w:tc>
          <w:tcPr>
            <w:tcW w:w="0" w:type="dxa"/>
            <w:vAlign w:val="bottom"/>
          </w:tcPr>
          <w:p>
            <w:pPr>
              <w:spacing w:after="0"/>
              <w:rPr>
                <w:sz w:val="1"/>
                <w:szCs w:val="1"/>
                <w:color w:val="auto"/>
              </w:rPr>
            </w:pPr>
          </w:p>
        </w:tc>
      </w:tr>
      <w:tr>
        <w:trPr>
          <w:trHeight w:val="120"/>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400" w:type="dxa"/>
            <w:vAlign w:val="bottom"/>
            <w:tcBorders>
              <w:bottom w:val="single" w:sz="8" w:color="auto"/>
            </w:tcBorders>
          </w:tcPr>
          <w:p>
            <w:pPr>
              <w:spacing w:after="0"/>
              <w:rPr>
                <w:sz w:val="10"/>
                <w:szCs w:val="10"/>
                <w:color w:val="auto"/>
              </w:rPr>
            </w:pPr>
          </w:p>
        </w:tc>
        <w:tc>
          <w:tcPr>
            <w:tcW w:w="90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280" w:type="dxa"/>
            <w:vAlign w:val="bottom"/>
            <w:vMerge w:val="continue"/>
          </w:tcPr>
          <w:p>
            <w:pPr>
              <w:spacing w:after="0"/>
              <w:rPr>
                <w:sz w:val="6"/>
                <w:szCs w:val="6"/>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9</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5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vMerge w:val="continue"/>
          </w:tcPr>
          <w:p>
            <w:pPr>
              <w:spacing w:after="0"/>
              <w:rPr>
                <w:sz w:val="13"/>
                <w:szCs w:val="13"/>
                <w:color w:val="auto"/>
              </w:rPr>
            </w:pPr>
          </w:p>
        </w:tc>
        <w:tc>
          <w:tcPr>
            <w:tcW w:w="9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2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80"/>
        </w:trPr>
        <w:tc>
          <w:tcPr>
            <w:tcW w:w="128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400" w:type="dxa"/>
            <w:vAlign w:val="bottom"/>
            <w:tcBorders>
              <w:bottom w:val="single" w:sz="8" w:color="auto"/>
            </w:tcBorders>
          </w:tcPr>
          <w:p>
            <w:pPr>
              <w:spacing w:after="0"/>
              <w:rPr>
                <w:sz w:val="15"/>
                <w:szCs w:val="15"/>
                <w:color w:val="auto"/>
              </w:rPr>
            </w:pPr>
          </w:p>
        </w:tc>
        <w:tc>
          <w:tcPr>
            <w:tcW w:w="9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280" w:type="dxa"/>
            <w:vAlign w:val="bottom"/>
          </w:tcPr>
          <w:p>
            <w:pPr>
              <w:spacing w:after="0"/>
              <w:rPr>
                <w:sz w:val="19"/>
                <w:szCs w:val="19"/>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964"/>
        <w:spacing w:after="0"/>
        <w:rPr>
          <w:sz w:val="20"/>
          <w:szCs w:val="20"/>
          <w:color w:val="auto"/>
        </w:rPr>
      </w:pPr>
      <w:r>
        <w:rPr>
          <w:rFonts w:ascii="Times New Roman" w:cs="Times New Roman" w:eastAsia="Times New Roman" w:hAnsi="Times New Roman"/>
          <w:sz w:val="18"/>
          <w:szCs w:val="18"/>
          <w:color w:val="auto"/>
        </w:rPr>
        <w:t>  60,814 Shares of Common Stock (1)</w:t>
      </w:r>
    </w:p>
    <w:p>
      <w:pPr>
        <w:spacing w:after="0" w:line="36" w:lineRule="exact"/>
        <w:rPr>
          <w:sz w:val="20"/>
          <w:szCs w:val="20"/>
          <w:color w:val="auto"/>
        </w:rPr>
      </w:pPr>
    </w:p>
    <w:p>
      <w:pPr>
        <w:ind w:left="524" w:hanging="367"/>
        <w:spacing w:after="0"/>
        <w:tabs>
          <w:tab w:leader="none" w:pos="52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AGGREGATE AMOUNT BENEFICIALLY OWNED BY EACH REPORTING PERSON</w:t>
      </w:r>
    </w:p>
    <w:p>
      <w:pPr>
        <w:spacing w:after="0" w:line="25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60,814 Shares of Common Stock (1)</w:t>
      </w:r>
    </w:p>
    <w:p>
      <w:pPr>
        <w:spacing w:after="0" w:line="3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24" w:hanging="98"/>
        <w:spacing w:after="0" w:line="207" w:lineRule="exact"/>
        <w:tabs>
          <w:tab w:leader="none" w:pos="624" w:val="left"/>
        </w:tabs>
        <w:numPr>
          <w:ilvl w:val="2"/>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23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0.1% (2)</w:t>
      </w:r>
    </w:p>
    <w:p>
      <w:pPr>
        <w:spacing w:after="0" w:line="3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jc w:val="both"/>
        <w:ind w:left="424" w:right="40" w:hanging="424"/>
        <w:spacing w:after="0" w:line="255"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are held of record by Polaris EF V (as defined in Item 2(a) of the Original Schedule 13D). PVMC V is the general partner of Polaris EF V and may be deemed to have shared voting, investment and dispositive power with respect to these securities. The PVMC V Managing Members are the managing members of PVMC V and may be deemed to have shared voting, investment and dispositive power with respect to the securities held by Polaris EF V.</w:t>
      </w:r>
    </w:p>
    <w:p>
      <w:pPr>
        <w:spacing w:after="0" w:line="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119,616,035 shares of Common Stock outstanding as of November 1, 2024, as set forth in the Form 10-Q.</w:t>
      </w:r>
    </w:p>
    <w:p>
      <w:pPr>
        <w:sectPr>
          <w:pgSz w:w="11900" w:h="16838" w:orient="portrait"/>
          <w:cols w:equalWidth="0" w:num="1">
            <w:col w:w="11024"/>
          </w:cols>
          <w:pgMar w:left="436" w:top="270" w:right="439" w:bottom="1440" w:gutter="0" w:footer="0" w:header="0"/>
        </w:sectPr>
      </w:pPr>
    </w:p>
    <w:bookmarkStart w:id="3" w:name="page4"/>
    <w:bookmarkEnd w:id="3"/>
    <w:tbl>
      <w:tblPr>
        <w:tblLayout w:type="fixed"/>
        <w:tblInd w:w="4"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00534A102</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244" w:hanging="87"/>
        <w:spacing w:after="0"/>
        <w:tabs>
          <w:tab w:leader="none" w:pos="244"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Polaris Venture Partners Founders’ Fund V, L.P.</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6111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14" w:lineRule="exact"/>
        <w:rPr>
          <w:sz w:val="20"/>
          <w:szCs w:val="20"/>
          <w:color w:val="auto"/>
        </w:rPr>
      </w:pPr>
    </w:p>
    <w:p>
      <w:pPr>
        <w:ind w:left="52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604" w:hanging="78"/>
        <w:spacing w:after="0"/>
        <w:tabs>
          <w:tab w:leader="none" w:pos="604" w:val="left"/>
        </w:tabs>
        <w:numPr>
          <w:ilvl w:val="1"/>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WC</w:t>
      </w:r>
    </w:p>
    <w:p>
      <w:pPr>
        <w:spacing w:after="0" w:line="70" w:lineRule="exact"/>
        <w:rPr>
          <w:rFonts w:ascii="Times New Roman" w:cs="Times New Roman" w:eastAsia="Times New Roman" w:hAnsi="Times New Roman"/>
          <w:sz w:val="15"/>
          <w:szCs w:val="15"/>
          <w:color w:val="auto"/>
        </w:rPr>
      </w:pPr>
    </w:p>
    <w:p>
      <w:pPr>
        <w:ind w:left="244" w:hanging="87"/>
        <w:spacing w:after="0"/>
        <w:tabs>
          <w:tab w:leader="none" w:pos="244"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 2(d) or 2(e)</w:t>
      </w:r>
    </w:p>
    <w:p>
      <w:pPr>
        <w:spacing w:after="0" w:line="222" w:lineRule="exact"/>
        <w:rPr>
          <w:rFonts w:ascii="Times New Roman" w:cs="Times New Roman" w:eastAsia="Times New Roman" w:hAnsi="Times New Roman"/>
          <w:sz w:val="17"/>
          <w:szCs w:val="17"/>
          <w:color w:val="auto"/>
        </w:rPr>
      </w:pPr>
    </w:p>
    <w:p>
      <w:pPr>
        <w:ind w:left="624" w:hanging="98"/>
        <w:spacing w:after="0" w:line="207" w:lineRule="exact"/>
        <w:tabs>
          <w:tab w:leader="none" w:pos="624" w:val="left"/>
        </w:tabs>
        <w:numPr>
          <w:ilvl w:val="1"/>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644" w:hanging="92"/>
        <w:spacing w:after="0"/>
        <w:tabs>
          <w:tab w:leader="none" w:pos="1644"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SOLE VOTING POWER</w:t>
      </w:r>
    </w:p>
    <w:p>
      <w:pPr>
        <w:spacing w:after="0" w:line="212" w:lineRule="exact"/>
        <w:rPr>
          <w:sz w:val="20"/>
          <w:szCs w:val="20"/>
          <w:color w:val="auto"/>
        </w:rPr>
      </w:pPr>
    </w:p>
    <w:tbl>
      <w:tblPr>
        <w:tblLayout w:type="fixed"/>
        <w:tblInd w:w="164" w:type="dxa"/>
        <w:tblCellMar>
          <w:top w:w="0" w:type="dxa"/>
          <w:left w:w="0" w:type="dxa"/>
          <w:bottom w:w="0" w:type="dxa"/>
          <w:right w:w="0" w:type="dxa"/>
        </w:tblCellMar>
      </w:tblP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Pr>
          <w:p>
            <w:pPr>
              <w:spacing w:after="0"/>
              <w:rPr>
                <w:sz w:val="19"/>
                <w:szCs w:val="19"/>
                <w:color w:val="auto"/>
              </w:rPr>
            </w:pP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400" w:type="dxa"/>
            <w:vAlign w:val="bottom"/>
            <w:tcBorders>
              <w:bottom w:val="single" w:sz="8" w:color="auto"/>
            </w:tcBorders>
          </w:tcPr>
          <w:p>
            <w:pPr>
              <w:spacing w:after="0"/>
              <w:rPr>
                <w:sz w:val="5"/>
                <w:szCs w:val="5"/>
                <w:color w:val="auto"/>
              </w:rPr>
            </w:pPr>
          </w:p>
        </w:tc>
        <w:tc>
          <w:tcPr>
            <w:tcW w:w="9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280" w:type="dxa"/>
            <w:vAlign w:val="bottom"/>
            <w:vMerge w:val="continue"/>
          </w:tcPr>
          <w:p>
            <w:pPr>
              <w:spacing w:after="0"/>
              <w:rPr>
                <w:sz w:val="10"/>
                <w:szCs w:val="10"/>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8</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104"/>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00" w:type="dxa"/>
            <w:vAlign w:val="bottom"/>
            <w:vMerge w:val="continue"/>
          </w:tcPr>
          <w:p>
            <w:pPr>
              <w:spacing w:after="0"/>
              <w:rPr>
                <w:sz w:val="9"/>
                <w:szCs w:val="9"/>
                <w:color w:val="auto"/>
              </w:rPr>
            </w:pPr>
          </w:p>
        </w:tc>
        <w:tc>
          <w:tcPr>
            <w:tcW w:w="9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28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9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21,374 Shares of Common Stock (1)</w:t>
            </w:r>
          </w:p>
        </w:tc>
        <w:tc>
          <w:tcPr>
            <w:tcW w:w="0" w:type="dxa"/>
            <w:vAlign w:val="bottom"/>
          </w:tcPr>
          <w:p>
            <w:pPr>
              <w:spacing w:after="0"/>
              <w:rPr>
                <w:sz w:val="1"/>
                <w:szCs w:val="1"/>
                <w:color w:val="auto"/>
              </w:rPr>
            </w:pPr>
          </w:p>
        </w:tc>
      </w:tr>
      <w:tr>
        <w:trPr>
          <w:trHeight w:val="120"/>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400" w:type="dxa"/>
            <w:vAlign w:val="bottom"/>
            <w:tcBorders>
              <w:bottom w:val="single" w:sz="8" w:color="auto"/>
            </w:tcBorders>
          </w:tcPr>
          <w:p>
            <w:pPr>
              <w:spacing w:after="0"/>
              <w:rPr>
                <w:sz w:val="10"/>
                <w:szCs w:val="10"/>
                <w:color w:val="auto"/>
              </w:rPr>
            </w:pPr>
          </w:p>
        </w:tc>
        <w:tc>
          <w:tcPr>
            <w:tcW w:w="90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280" w:type="dxa"/>
            <w:vAlign w:val="bottom"/>
            <w:vMerge w:val="continue"/>
          </w:tcPr>
          <w:p>
            <w:pPr>
              <w:spacing w:after="0"/>
              <w:rPr>
                <w:sz w:val="6"/>
                <w:szCs w:val="6"/>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9</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5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vMerge w:val="continue"/>
          </w:tcPr>
          <w:p>
            <w:pPr>
              <w:spacing w:after="0"/>
              <w:rPr>
                <w:sz w:val="13"/>
                <w:szCs w:val="13"/>
                <w:color w:val="auto"/>
              </w:rPr>
            </w:pPr>
          </w:p>
        </w:tc>
        <w:tc>
          <w:tcPr>
            <w:tcW w:w="9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2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80"/>
        </w:trPr>
        <w:tc>
          <w:tcPr>
            <w:tcW w:w="128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400" w:type="dxa"/>
            <w:vAlign w:val="bottom"/>
            <w:tcBorders>
              <w:bottom w:val="single" w:sz="8" w:color="auto"/>
            </w:tcBorders>
          </w:tcPr>
          <w:p>
            <w:pPr>
              <w:spacing w:after="0"/>
              <w:rPr>
                <w:sz w:val="15"/>
                <w:szCs w:val="15"/>
                <w:color w:val="auto"/>
              </w:rPr>
            </w:pPr>
          </w:p>
        </w:tc>
        <w:tc>
          <w:tcPr>
            <w:tcW w:w="9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280" w:type="dxa"/>
            <w:vAlign w:val="bottom"/>
          </w:tcPr>
          <w:p>
            <w:pPr>
              <w:spacing w:after="0"/>
              <w:rPr>
                <w:sz w:val="19"/>
                <w:szCs w:val="19"/>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964"/>
        <w:spacing w:after="0"/>
        <w:rPr>
          <w:sz w:val="20"/>
          <w:szCs w:val="20"/>
          <w:color w:val="auto"/>
        </w:rPr>
      </w:pPr>
      <w:r>
        <w:rPr>
          <w:rFonts w:ascii="Times New Roman" w:cs="Times New Roman" w:eastAsia="Times New Roman" w:hAnsi="Times New Roman"/>
          <w:sz w:val="18"/>
          <w:szCs w:val="18"/>
          <w:color w:val="auto"/>
        </w:rPr>
        <w:t>  21,374 Shares of Common Stock (1)</w:t>
      </w:r>
    </w:p>
    <w:p>
      <w:pPr>
        <w:spacing w:after="0" w:line="36" w:lineRule="exact"/>
        <w:rPr>
          <w:sz w:val="20"/>
          <w:szCs w:val="20"/>
          <w:color w:val="auto"/>
        </w:rPr>
      </w:pPr>
    </w:p>
    <w:p>
      <w:pPr>
        <w:ind w:left="524" w:hanging="367"/>
        <w:spacing w:after="0"/>
        <w:tabs>
          <w:tab w:leader="none" w:pos="52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AGGREGATE AMOUNT BENEFICIALLY OWNED BY EACH REPORTING PERSON</w:t>
      </w:r>
    </w:p>
    <w:p>
      <w:pPr>
        <w:spacing w:after="0" w:line="25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21,374 Shares of Common Stock (1)</w:t>
      </w:r>
    </w:p>
    <w:p>
      <w:pPr>
        <w:spacing w:after="0" w:line="3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24" w:hanging="98"/>
        <w:spacing w:after="0" w:line="207" w:lineRule="exact"/>
        <w:tabs>
          <w:tab w:leader="none" w:pos="624" w:val="left"/>
        </w:tabs>
        <w:numPr>
          <w:ilvl w:val="2"/>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23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0.0% (2)</w:t>
      </w:r>
    </w:p>
    <w:p>
      <w:pPr>
        <w:spacing w:after="0" w:line="3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jc w:val="both"/>
        <w:ind w:left="424" w:right="40" w:hanging="424"/>
        <w:spacing w:after="0" w:line="255"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are held of record by Polaris FF V (as defined in Item 2(a) of the Original Schedule 13D). PVMC V is the general partner of Polaris FF V and may be deemed to have shared voting, investment and dispositive power with respect to these securities. The PVMC V Managing Members are the managing members of PVMC V and may be deemed to have shared voting, investment and dispositive power with respect to the securities held by Polaris FF V.</w:t>
      </w:r>
    </w:p>
    <w:p>
      <w:pPr>
        <w:spacing w:after="0" w:line="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119,616,035 shares of Common Stock outstanding as of November 1, 2024, as set forth in the Form 10-Q.</w:t>
      </w:r>
    </w:p>
    <w:p>
      <w:pPr>
        <w:sectPr>
          <w:pgSz w:w="11900" w:h="16838" w:orient="portrait"/>
          <w:cols w:equalWidth="0" w:num="1">
            <w:col w:w="11024"/>
          </w:cols>
          <w:pgMar w:left="436" w:top="270" w:right="439" w:bottom="1440" w:gutter="0" w:footer="0" w:header="0"/>
        </w:sectPr>
      </w:pPr>
    </w:p>
    <w:bookmarkStart w:id="4" w:name="page5"/>
    <w:bookmarkEnd w:id="4"/>
    <w:tbl>
      <w:tblPr>
        <w:tblLayout w:type="fixed"/>
        <w:tblInd w:w="4"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00534A102</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244" w:hanging="87"/>
        <w:spacing w:after="0"/>
        <w:tabs>
          <w:tab w:leader="none" w:pos="244"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Polaris Venture Partners Special Founders’ Fund V, L.P.</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6111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14" w:lineRule="exact"/>
        <w:rPr>
          <w:sz w:val="20"/>
          <w:szCs w:val="20"/>
          <w:color w:val="auto"/>
        </w:rPr>
      </w:pPr>
    </w:p>
    <w:p>
      <w:pPr>
        <w:ind w:left="52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604" w:hanging="78"/>
        <w:spacing w:after="0"/>
        <w:tabs>
          <w:tab w:leader="none" w:pos="604" w:val="left"/>
        </w:tabs>
        <w:numPr>
          <w:ilvl w:val="1"/>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WC</w:t>
      </w:r>
    </w:p>
    <w:p>
      <w:pPr>
        <w:spacing w:after="0" w:line="70" w:lineRule="exact"/>
        <w:rPr>
          <w:rFonts w:ascii="Times New Roman" w:cs="Times New Roman" w:eastAsia="Times New Roman" w:hAnsi="Times New Roman"/>
          <w:sz w:val="15"/>
          <w:szCs w:val="15"/>
          <w:color w:val="auto"/>
        </w:rPr>
      </w:pPr>
    </w:p>
    <w:p>
      <w:pPr>
        <w:ind w:left="244" w:hanging="87"/>
        <w:spacing w:after="0"/>
        <w:tabs>
          <w:tab w:leader="none" w:pos="244"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 2(d) or 2(e)</w:t>
      </w:r>
    </w:p>
    <w:p>
      <w:pPr>
        <w:spacing w:after="0" w:line="222" w:lineRule="exact"/>
        <w:rPr>
          <w:rFonts w:ascii="Times New Roman" w:cs="Times New Roman" w:eastAsia="Times New Roman" w:hAnsi="Times New Roman"/>
          <w:sz w:val="17"/>
          <w:szCs w:val="17"/>
          <w:color w:val="auto"/>
        </w:rPr>
      </w:pPr>
    </w:p>
    <w:p>
      <w:pPr>
        <w:ind w:left="624" w:hanging="98"/>
        <w:spacing w:after="0" w:line="207" w:lineRule="exact"/>
        <w:tabs>
          <w:tab w:leader="none" w:pos="624" w:val="left"/>
        </w:tabs>
        <w:numPr>
          <w:ilvl w:val="1"/>
          <w:numId w:val="1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644" w:hanging="92"/>
        <w:spacing w:after="0"/>
        <w:tabs>
          <w:tab w:leader="none" w:pos="1644"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SOLE VOTING POWER</w:t>
      </w:r>
    </w:p>
    <w:p>
      <w:pPr>
        <w:spacing w:after="0" w:line="212" w:lineRule="exact"/>
        <w:rPr>
          <w:sz w:val="20"/>
          <w:szCs w:val="20"/>
          <w:color w:val="auto"/>
        </w:rPr>
      </w:pPr>
    </w:p>
    <w:tbl>
      <w:tblPr>
        <w:tblLayout w:type="fixed"/>
        <w:tblInd w:w="164" w:type="dxa"/>
        <w:tblCellMar>
          <w:top w:w="0" w:type="dxa"/>
          <w:left w:w="0" w:type="dxa"/>
          <w:bottom w:w="0" w:type="dxa"/>
          <w:right w:w="0" w:type="dxa"/>
        </w:tblCellMar>
      </w:tblP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Pr>
          <w:p>
            <w:pPr>
              <w:spacing w:after="0"/>
              <w:rPr>
                <w:sz w:val="19"/>
                <w:szCs w:val="19"/>
                <w:color w:val="auto"/>
              </w:rPr>
            </w:pP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400" w:type="dxa"/>
            <w:vAlign w:val="bottom"/>
            <w:tcBorders>
              <w:bottom w:val="single" w:sz="8" w:color="auto"/>
            </w:tcBorders>
          </w:tcPr>
          <w:p>
            <w:pPr>
              <w:spacing w:after="0"/>
              <w:rPr>
                <w:sz w:val="5"/>
                <w:szCs w:val="5"/>
                <w:color w:val="auto"/>
              </w:rPr>
            </w:pPr>
          </w:p>
        </w:tc>
        <w:tc>
          <w:tcPr>
            <w:tcW w:w="9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280" w:type="dxa"/>
            <w:vAlign w:val="bottom"/>
            <w:vMerge w:val="continue"/>
          </w:tcPr>
          <w:p>
            <w:pPr>
              <w:spacing w:after="0"/>
              <w:rPr>
                <w:sz w:val="10"/>
                <w:szCs w:val="10"/>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8</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104"/>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00" w:type="dxa"/>
            <w:vAlign w:val="bottom"/>
            <w:vMerge w:val="continue"/>
          </w:tcPr>
          <w:p>
            <w:pPr>
              <w:spacing w:after="0"/>
              <w:rPr>
                <w:sz w:val="9"/>
                <w:szCs w:val="9"/>
                <w:color w:val="auto"/>
              </w:rPr>
            </w:pPr>
          </w:p>
        </w:tc>
        <w:tc>
          <w:tcPr>
            <w:tcW w:w="9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28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9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31,198 Shares of Common Stock (1)</w:t>
            </w:r>
          </w:p>
        </w:tc>
        <w:tc>
          <w:tcPr>
            <w:tcW w:w="0" w:type="dxa"/>
            <w:vAlign w:val="bottom"/>
          </w:tcPr>
          <w:p>
            <w:pPr>
              <w:spacing w:after="0"/>
              <w:rPr>
                <w:sz w:val="1"/>
                <w:szCs w:val="1"/>
                <w:color w:val="auto"/>
              </w:rPr>
            </w:pPr>
          </w:p>
        </w:tc>
      </w:tr>
      <w:tr>
        <w:trPr>
          <w:trHeight w:val="120"/>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400" w:type="dxa"/>
            <w:vAlign w:val="bottom"/>
            <w:tcBorders>
              <w:bottom w:val="single" w:sz="8" w:color="auto"/>
            </w:tcBorders>
          </w:tcPr>
          <w:p>
            <w:pPr>
              <w:spacing w:after="0"/>
              <w:rPr>
                <w:sz w:val="10"/>
                <w:szCs w:val="10"/>
                <w:color w:val="auto"/>
              </w:rPr>
            </w:pPr>
          </w:p>
        </w:tc>
        <w:tc>
          <w:tcPr>
            <w:tcW w:w="90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280" w:type="dxa"/>
            <w:vAlign w:val="bottom"/>
            <w:vMerge w:val="continue"/>
          </w:tcPr>
          <w:p>
            <w:pPr>
              <w:spacing w:after="0"/>
              <w:rPr>
                <w:sz w:val="6"/>
                <w:szCs w:val="6"/>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9</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5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vMerge w:val="continue"/>
          </w:tcPr>
          <w:p>
            <w:pPr>
              <w:spacing w:after="0"/>
              <w:rPr>
                <w:sz w:val="13"/>
                <w:szCs w:val="13"/>
                <w:color w:val="auto"/>
              </w:rPr>
            </w:pPr>
          </w:p>
        </w:tc>
        <w:tc>
          <w:tcPr>
            <w:tcW w:w="9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2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80"/>
        </w:trPr>
        <w:tc>
          <w:tcPr>
            <w:tcW w:w="128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400" w:type="dxa"/>
            <w:vAlign w:val="bottom"/>
            <w:tcBorders>
              <w:bottom w:val="single" w:sz="8" w:color="auto"/>
            </w:tcBorders>
          </w:tcPr>
          <w:p>
            <w:pPr>
              <w:spacing w:after="0"/>
              <w:rPr>
                <w:sz w:val="15"/>
                <w:szCs w:val="15"/>
                <w:color w:val="auto"/>
              </w:rPr>
            </w:pPr>
          </w:p>
        </w:tc>
        <w:tc>
          <w:tcPr>
            <w:tcW w:w="9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280" w:type="dxa"/>
            <w:vAlign w:val="bottom"/>
          </w:tcPr>
          <w:p>
            <w:pPr>
              <w:spacing w:after="0"/>
              <w:rPr>
                <w:sz w:val="19"/>
                <w:szCs w:val="19"/>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964"/>
        <w:spacing w:after="0"/>
        <w:rPr>
          <w:sz w:val="20"/>
          <w:szCs w:val="20"/>
          <w:color w:val="auto"/>
        </w:rPr>
      </w:pPr>
      <w:r>
        <w:rPr>
          <w:rFonts w:ascii="Times New Roman" w:cs="Times New Roman" w:eastAsia="Times New Roman" w:hAnsi="Times New Roman"/>
          <w:sz w:val="18"/>
          <w:szCs w:val="18"/>
          <w:color w:val="auto"/>
        </w:rPr>
        <w:t>  31,198 Shares of Common Stock (1)</w:t>
      </w:r>
    </w:p>
    <w:p>
      <w:pPr>
        <w:spacing w:after="0" w:line="36" w:lineRule="exact"/>
        <w:rPr>
          <w:sz w:val="20"/>
          <w:szCs w:val="20"/>
          <w:color w:val="auto"/>
        </w:rPr>
      </w:pPr>
    </w:p>
    <w:p>
      <w:pPr>
        <w:ind w:left="524" w:hanging="367"/>
        <w:spacing w:after="0"/>
        <w:tabs>
          <w:tab w:leader="none" w:pos="52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AGGREGATE AMOUNT BENEFICIALLY OWNED BY EACH REPORTING PERSON</w:t>
      </w:r>
    </w:p>
    <w:p>
      <w:pPr>
        <w:spacing w:after="0" w:line="25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31,198 Shares of Common Stock (1)</w:t>
      </w:r>
    </w:p>
    <w:p>
      <w:pPr>
        <w:spacing w:after="0" w:line="3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24" w:hanging="98"/>
        <w:spacing w:after="0" w:line="207" w:lineRule="exact"/>
        <w:tabs>
          <w:tab w:leader="none" w:pos="624" w:val="left"/>
        </w:tabs>
        <w:numPr>
          <w:ilvl w:val="2"/>
          <w:numId w:val="1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23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0.0% (2)</w:t>
      </w:r>
    </w:p>
    <w:p>
      <w:pPr>
        <w:spacing w:after="0" w:line="3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424" w:right="60" w:hanging="424"/>
        <w:spacing w:after="0" w:line="255"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are held of record by Polaris SFF V (as defined in Item 2(a) of the Original Schedule 13D). PVMC V is the general partner of Polaris SFF V and may be deemed to have shared voting, investment and dispositive power with respect to these securities. The PVMC V Managing Members are the managing members of PVMC V and may be deemed to have shared voting, investment and dispositive power with respect to the securities held by Polaris SFF V.</w:t>
      </w:r>
    </w:p>
    <w:p>
      <w:pPr>
        <w:spacing w:after="0" w:line="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119,616,035 shares of Common Stock outstanding as of November 1, 2024, as set forth in the Form 10-Q.</w:t>
      </w:r>
    </w:p>
    <w:p>
      <w:pPr>
        <w:sectPr>
          <w:pgSz w:w="11900" w:h="16838" w:orient="portrait"/>
          <w:cols w:equalWidth="0" w:num="1">
            <w:col w:w="11024"/>
          </w:cols>
          <w:pgMar w:left="436" w:top="270" w:right="439" w:bottom="1440" w:gutter="0" w:footer="0" w:header="0"/>
        </w:sectPr>
      </w:pPr>
    </w:p>
    <w:bookmarkStart w:id="5" w:name="page6"/>
    <w:bookmarkEnd w:id="5"/>
    <w:tbl>
      <w:tblPr>
        <w:tblLayout w:type="fixed"/>
        <w:tblInd w:w="4"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00534A102</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244" w:hanging="87"/>
        <w:spacing w:after="0"/>
        <w:tabs>
          <w:tab w:leader="none" w:pos="244"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Polaris Venture Management Co. V, L.L.C.</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6111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14" w:lineRule="exact"/>
        <w:rPr>
          <w:sz w:val="20"/>
          <w:szCs w:val="20"/>
          <w:color w:val="auto"/>
        </w:rPr>
      </w:pPr>
    </w:p>
    <w:p>
      <w:pPr>
        <w:ind w:left="52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604" w:hanging="78"/>
        <w:spacing w:after="0"/>
        <w:tabs>
          <w:tab w:leader="none" w:pos="604" w:val="left"/>
        </w:tabs>
        <w:numPr>
          <w:ilvl w:val="1"/>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AF</w:t>
      </w:r>
    </w:p>
    <w:p>
      <w:pPr>
        <w:spacing w:after="0" w:line="70" w:lineRule="exact"/>
        <w:rPr>
          <w:rFonts w:ascii="Times New Roman" w:cs="Times New Roman" w:eastAsia="Times New Roman" w:hAnsi="Times New Roman"/>
          <w:sz w:val="15"/>
          <w:szCs w:val="15"/>
          <w:color w:val="auto"/>
        </w:rPr>
      </w:pPr>
    </w:p>
    <w:p>
      <w:pPr>
        <w:ind w:left="244" w:hanging="87"/>
        <w:spacing w:after="0"/>
        <w:tabs>
          <w:tab w:leader="none" w:pos="244"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 2(d) or 2(e)</w:t>
      </w:r>
    </w:p>
    <w:p>
      <w:pPr>
        <w:spacing w:after="0" w:line="222" w:lineRule="exact"/>
        <w:rPr>
          <w:rFonts w:ascii="Times New Roman" w:cs="Times New Roman" w:eastAsia="Times New Roman" w:hAnsi="Times New Roman"/>
          <w:sz w:val="17"/>
          <w:szCs w:val="17"/>
          <w:color w:val="auto"/>
        </w:rPr>
      </w:pPr>
    </w:p>
    <w:p>
      <w:pPr>
        <w:ind w:left="624" w:hanging="98"/>
        <w:spacing w:after="0" w:line="207" w:lineRule="exact"/>
        <w:tabs>
          <w:tab w:leader="none" w:pos="624" w:val="left"/>
        </w:tabs>
        <w:numPr>
          <w:ilvl w:val="1"/>
          <w:numId w:val="1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644" w:hanging="92"/>
        <w:spacing w:after="0"/>
        <w:tabs>
          <w:tab w:leader="none" w:pos="1644"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SOLE VOTING POWER</w:t>
      </w:r>
    </w:p>
    <w:p>
      <w:pPr>
        <w:spacing w:after="0" w:line="212" w:lineRule="exact"/>
        <w:rPr>
          <w:sz w:val="20"/>
          <w:szCs w:val="20"/>
          <w:color w:val="auto"/>
        </w:rPr>
      </w:pPr>
    </w:p>
    <w:tbl>
      <w:tblPr>
        <w:tblLayout w:type="fixed"/>
        <w:tblInd w:w="164" w:type="dxa"/>
        <w:tblCellMar>
          <w:top w:w="0" w:type="dxa"/>
          <w:left w:w="0" w:type="dxa"/>
          <w:bottom w:w="0" w:type="dxa"/>
          <w:right w:w="0" w:type="dxa"/>
        </w:tblCellMar>
      </w:tblP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Pr>
          <w:p>
            <w:pPr>
              <w:spacing w:after="0"/>
              <w:rPr>
                <w:sz w:val="19"/>
                <w:szCs w:val="19"/>
                <w:color w:val="auto"/>
              </w:rPr>
            </w:pP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400" w:type="dxa"/>
            <w:vAlign w:val="bottom"/>
            <w:tcBorders>
              <w:bottom w:val="single" w:sz="8" w:color="auto"/>
            </w:tcBorders>
          </w:tcPr>
          <w:p>
            <w:pPr>
              <w:spacing w:after="0"/>
              <w:rPr>
                <w:sz w:val="5"/>
                <w:szCs w:val="5"/>
                <w:color w:val="auto"/>
              </w:rPr>
            </w:pPr>
          </w:p>
        </w:tc>
        <w:tc>
          <w:tcPr>
            <w:tcW w:w="9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280" w:type="dxa"/>
            <w:vAlign w:val="bottom"/>
            <w:vMerge w:val="continue"/>
          </w:tcPr>
          <w:p>
            <w:pPr>
              <w:spacing w:after="0"/>
              <w:rPr>
                <w:sz w:val="10"/>
                <w:szCs w:val="10"/>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8</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104"/>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00" w:type="dxa"/>
            <w:vAlign w:val="bottom"/>
            <w:vMerge w:val="continue"/>
          </w:tcPr>
          <w:p>
            <w:pPr>
              <w:spacing w:after="0"/>
              <w:rPr>
                <w:sz w:val="9"/>
                <w:szCs w:val="9"/>
                <w:color w:val="auto"/>
              </w:rPr>
            </w:pPr>
          </w:p>
        </w:tc>
        <w:tc>
          <w:tcPr>
            <w:tcW w:w="9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28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9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3,233,580 Shares of Common Stock (1)</w:t>
            </w:r>
          </w:p>
        </w:tc>
        <w:tc>
          <w:tcPr>
            <w:tcW w:w="0" w:type="dxa"/>
            <w:vAlign w:val="bottom"/>
          </w:tcPr>
          <w:p>
            <w:pPr>
              <w:spacing w:after="0"/>
              <w:rPr>
                <w:sz w:val="1"/>
                <w:szCs w:val="1"/>
                <w:color w:val="auto"/>
              </w:rPr>
            </w:pPr>
          </w:p>
        </w:tc>
      </w:tr>
      <w:tr>
        <w:trPr>
          <w:trHeight w:val="120"/>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400" w:type="dxa"/>
            <w:vAlign w:val="bottom"/>
            <w:tcBorders>
              <w:bottom w:val="single" w:sz="8" w:color="auto"/>
            </w:tcBorders>
          </w:tcPr>
          <w:p>
            <w:pPr>
              <w:spacing w:after="0"/>
              <w:rPr>
                <w:sz w:val="10"/>
                <w:szCs w:val="10"/>
                <w:color w:val="auto"/>
              </w:rPr>
            </w:pPr>
          </w:p>
        </w:tc>
        <w:tc>
          <w:tcPr>
            <w:tcW w:w="90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280" w:type="dxa"/>
            <w:vAlign w:val="bottom"/>
            <w:vMerge w:val="continue"/>
          </w:tcPr>
          <w:p>
            <w:pPr>
              <w:spacing w:after="0"/>
              <w:rPr>
                <w:sz w:val="6"/>
                <w:szCs w:val="6"/>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9</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5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vMerge w:val="continue"/>
          </w:tcPr>
          <w:p>
            <w:pPr>
              <w:spacing w:after="0"/>
              <w:rPr>
                <w:sz w:val="13"/>
                <w:szCs w:val="13"/>
                <w:color w:val="auto"/>
              </w:rPr>
            </w:pPr>
          </w:p>
        </w:tc>
        <w:tc>
          <w:tcPr>
            <w:tcW w:w="9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2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80"/>
        </w:trPr>
        <w:tc>
          <w:tcPr>
            <w:tcW w:w="128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400" w:type="dxa"/>
            <w:vAlign w:val="bottom"/>
            <w:tcBorders>
              <w:bottom w:val="single" w:sz="8" w:color="auto"/>
            </w:tcBorders>
          </w:tcPr>
          <w:p>
            <w:pPr>
              <w:spacing w:after="0"/>
              <w:rPr>
                <w:sz w:val="15"/>
                <w:szCs w:val="15"/>
                <w:color w:val="auto"/>
              </w:rPr>
            </w:pPr>
          </w:p>
        </w:tc>
        <w:tc>
          <w:tcPr>
            <w:tcW w:w="9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280" w:type="dxa"/>
            <w:vAlign w:val="bottom"/>
          </w:tcPr>
          <w:p>
            <w:pPr>
              <w:spacing w:after="0"/>
              <w:rPr>
                <w:sz w:val="19"/>
                <w:szCs w:val="19"/>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964"/>
        <w:spacing w:after="0"/>
        <w:rPr>
          <w:sz w:val="20"/>
          <w:szCs w:val="20"/>
          <w:color w:val="auto"/>
        </w:rPr>
      </w:pPr>
      <w:r>
        <w:rPr>
          <w:rFonts w:ascii="Times New Roman" w:cs="Times New Roman" w:eastAsia="Times New Roman" w:hAnsi="Times New Roman"/>
          <w:sz w:val="18"/>
          <w:szCs w:val="18"/>
          <w:color w:val="auto"/>
        </w:rPr>
        <w:t>  3,233,580 Shares of Common Stock (1)</w:t>
      </w:r>
    </w:p>
    <w:p>
      <w:pPr>
        <w:spacing w:after="0" w:line="36" w:lineRule="exact"/>
        <w:rPr>
          <w:sz w:val="20"/>
          <w:szCs w:val="20"/>
          <w:color w:val="auto"/>
        </w:rPr>
      </w:pPr>
    </w:p>
    <w:p>
      <w:pPr>
        <w:ind w:left="524" w:hanging="367"/>
        <w:spacing w:after="0"/>
        <w:tabs>
          <w:tab w:leader="none" w:pos="52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AGGREGATE AMOUNT BENEFICIALLY OWNED BY EACH REPORTING PERSON</w:t>
      </w:r>
    </w:p>
    <w:p>
      <w:pPr>
        <w:spacing w:after="0" w:line="25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3,233,580 Shares of Common Stock (1)</w:t>
      </w:r>
    </w:p>
    <w:p>
      <w:pPr>
        <w:spacing w:after="0" w:line="3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24" w:hanging="98"/>
        <w:spacing w:after="0" w:line="207" w:lineRule="exact"/>
        <w:tabs>
          <w:tab w:leader="none" w:pos="624" w:val="left"/>
        </w:tabs>
        <w:numPr>
          <w:ilvl w:val="2"/>
          <w:numId w:val="2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23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 (2)</w:t>
      </w:r>
    </w:p>
    <w:p>
      <w:pPr>
        <w:spacing w:after="0" w:line="3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9" w:lineRule="exact"/>
        <w:rPr>
          <w:rFonts w:ascii="Times New Roman" w:cs="Times New Roman" w:eastAsia="Times New Roman" w:hAnsi="Times New Roman"/>
          <w:sz w:val="18"/>
          <w:szCs w:val="18"/>
          <w:color w:val="auto"/>
        </w:rPr>
      </w:pPr>
    </w:p>
    <w:p>
      <w:pPr>
        <w:ind w:left="424" w:right="40" w:hanging="424"/>
        <w:spacing w:after="0" w:line="254" w:lineRule="auto"/>
        <w:tabs>
          <w:tab w:leader="none" w:pos="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3,120,194 shares held of record by Polaris V, (ii) 60,814 shares held of record by Polaris EF V, (iii) 21,374 shares held of record by Polaris FF V and (iv) 31,198 shares held of record by Polaris SFF V. PVMC V is the general partner of each of Polaris V, Polaris EF V, Polaris FF V and Polaris SFF V and may be deemed to have shared voting, investment and dispositive power with respect to these securities. The PVMC V Managing Members are the managing members of PVMC V and may be deemed to have shared voting, investment and dispositive power with respect to the securities held by each of Polaris V, Polaris EF V, Polaris FF V and Polaris SFF V.</w:t>
      </w:r>
    </w:p>
    <w:p>
      <w:pPr>
        <w:spacing w:after="0" w:line="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119,616,035 shares of Common Stock outstanding as of November 1, 2024, as set forth in the Form 10-Q.</w:t>
      </w:r>
    </w:p>
    <w:p>
      <w:pPr>
        <w:sectPr>
          <w:pgSz w:w="11900" w:h="16838" w:orient="portrait"/>
          <w:cols w:equalWidth="0" w:num="1">
            <w:col w:w="11024"/>
          </w:cols>
          <w:pgMar w:left="436" w:top="270" w:right="439" w:bottom="1440" w:gutter="0" w:footer="0" w:header="0"/>
        </w:sectPr>
      </w:pPr>
    </w:p>
    <w:bookmarkStart w:id="6" w:name="page7"/>
    <w:bookmarkEnd w:id="6"/>
    <w:tbl>
      <w:tblPr>
        <w:tblLayout w:type="fixed"/>
        <w:tblInd w:w="4"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00534A102</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244" w:hanging="87"/>
        <w:spacing w:after="0"/>
        <w:tabs>
          <w:tab w:leader="none" w:pos="244"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Polaris Partners IX, L.P.</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6111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14" w:lineRule="exact"/>
        <w:rPr>
          <w:sz w:val="20"/>
          <w:szCs w:val="20"/>
          <w:color w:val="auto"/>
        </w:rPr>
      </w:pPr>
    </w:p>
    <w:p>
      <w:pPr>
        <w:ind w:left="52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604" w:hanging="78"/>
        <w:spacing w:after="0"/>
        <w:tabs>
          <w:tab w:leader="none" w:pos="604" w:val="left"/>
        </w:tabs>
        <w:numPr>
          <w:ilvl w:val="1"/>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WC</w:t>
      </w:r>
    </w:p>
    <w:p>
      <w:pPr>
        <w:spacing w:after="0" w:line="70" w:lineRule="exact"/>
        <w:rPr>
          <w:rFonts w:ascii="Times New Roman" w:cs="Times New Roman" w:eastAsia="Times New Roman" w:hAnsi="Times New Roman"/>
          <w:sz w:val="15"/>
          <w:szCs w:val="15"/>
          <w:color w:val="auto"/>
        </w:rPr>
      </w:pPr>
    </w:p>
    <w:p>
      <w:pPr>
        <w:ind w:left="244" w:hanging="87"/>
        <w:spacing w:after="0"/>
        <w:tabs>
          <w:tab w:leader="none" w:pos="244"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 2(d) or 2(e)</w:t>
      </w:r>
    </w:p>
    <w:p>
      <w:pPr>
        <w:spacing w:after="0" w:line="222" w:lineRule="exact"/>
        <w:rPr>
          <w:rFonts w:ascii="Times New Roman" w:cs="Times New Roman" w:eastAsia="Times New Roman" w:hAnsi="Times New Roman"/>
          <w:sz w:val="17"/>
          <w:szCs w:val="17"/>
          <w:color w:val="auto"/>
        </w:rPr>
      </w:pPr>
    </w:p>
    <w:p>
      <w:pPr>
        <w:ind w:left="624" w:hanging="98"/>
        <w:spacing w:after="0" w:line="207" w:lineRule="exact"/>
        <w:tabs>
          <w:tab w:leader="none" w:pos="624" w:val="left"/>
        </w:tabs>
        <w:numPr>
          <w:ilvl w:val="1"/>
          <w:numId w:val="2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644" w:hanging="92"/>
        <w:spacing w:after="0"/>
        <w:tabs>
          <w:tab w:leader="none" w:pos="1644"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SOLE VOTING POWER</w:t>
      </w:r>
    </w:p>
    <w:p>
      <w:pPr>
        <w:spacing w:after="0" w:line="212" w:lineRule="exact"/>
        <w:rPr>
          <w:sz w:val="20"/>
          <w:szCs w:val="20"/>
          <w:color w:val="auto"/>
        </w:rPr>
      </w:pPr>
    </w:p>
    <w:tbl>
      <w:tblPr>
        <w:tblLayout w:type="fixed"/>
        <w:tblInd w:w="164" w:type="dxa"/>
        <w:tblCellMar>
          <w:top w:w="0" w:type="dxa"/>
          <w:left w:w="0" w:type="dxa"/>
          <w:bottom w:w="0" w:type="dxa"/>
          <w:right w:w="0" w:type="dxa"/>
        </w:tblCellMar>
      </w:tblP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Pr>
          <w:p>
            <w:pPr>
              <w:spacing w:after="0"/>
              <w:rPr>
                <w:sz w:val="19"/>
                <w:szCs w:val="19"/>
                <w:color w:val="auto"/>
              </w:rPr>
            </w:pP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400" w:type="dxa"/>
            <w:vAlign w:val="bottom"/>
            <w:tcBorders>
              <w:bottom w:val="single" w:sz="8" w:color="auto"/>
            </w:tcBorders>
          </w:tcPr>
          <w:p>
            <w:pPr>
              <w:spacing w:after="0"/>
              <w:rPr>
                <w:sz w:val="5"/>
                <w:szCs w:val="5"/>
                <w:color w:val="auto"/>
              </w:rPr>
            </w:pPr>
          </w:p>
        </w:tc>
        <w:tc>
          <w:tcPr>
            <w:tcW w:w="9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280" w:type="dxa"/>
            <w:vAlign w:val="bottom"/>
            <w:vMerge w:val="continue"/>
          </w:tcPr>
          <w:p>
            <w:pPr>
              <w:spacing w:after="0"/>
              <w:rPr>
                <w:sz w:val="10"/>
                <w:szCs w:val="10"/>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8</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104"/>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00" w:type="dxa"/>
            <w:vAlign w:val="bottom"/>
            <w:vMerge w:val="continue"/>
          </w:tcPr>
          <w:p>
            <w:pPr>
              <w:spacing w:after="0"/>
              <w:rPr>
                <w:sz w:val="9"/>
                <w:szCs w:val="9"/>
                <w:color w:val="auto"/>
              </w:rPr>
            </w:pPr>
          </w:p>
        </w:tc>
        <w:tc>
          <w:tcPr>
            <w:tcW w:w="9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28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9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4,202,679 Shares of Common Stock (1)</w:t>
            </w:r>
          </w:p>
        </w:tc>
        <w:tc>
          <w:tcPr>
            <w:tcW w:w="0" w:type="dxa"/>
            <w:vAlign w:val="bottom"/>
          </w:tcPr>
          <w:p>
            <w:pPr>
              <w:spacing w:after="0"/>
              <w:rPr>
                <w:sz w:val="1"/>
                <w:szCs w:val="1"/>
                <w:color w:val="auto"/>
              </w:rPr>
            </w:pPr>
          </w:p>
        </w:tc>
      </w:tr>
      <w:tr>
        <w:trPr>
          <w:trHeight w:val="120"/>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400" w:type="dxa"/>
            <w:vAlign w:val="bottom"/>
            <w:tcBorders>
              <w:bottom w:val="single" w:sz="8" w:color="auto"/>
            </w:tcBorders>
          </w:tcPr>
          <w:p>
            <w:pPr>
              <w:spacing w:after="0"/>
              <w:rPr>
                <w:sz w:val="10"/>
                <w:szCs w:val="10"/>
                <w:color w:val="auto"/>
              </w:rPr>
            </w:pPr>
          </w:p>
        </w:tc>
        <w:tc>
          <w:tcPr>
            <w:tcW w:w="90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280" w:type="dxa"/>
            <w:vAlign w:val="bottom"/>
            <w:vMerge w:val="continue"/>
          </w:tcPr>
          <w:p>
            <w:pPr>
              <w:spacing w:after="0"/>
              <w:rPr>
                <w:sz w:val="6"/>
                <w:szCs w:val="6"/>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9</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5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vMerge w:val="continue"/>
          </w:tcPr>
          <w:p>
            <w:pPr>
              <w:spacing w:after="0"/>
              <w:rPr>
                <w:sz w:val="13"/>
                <w:szCs w:val="13"/>
                <w:color w:val="auto"/>
              </w:rPr>
            </w:pPr>
          </w:p>
        </w:tc>
        <w:tc>
          <w:tcPr>
            <w:tcW w:w="9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2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80"/>
        </w:trPr>
        <w:tc>
          <w:tcPr>
            <w:tcW w:w="128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400" w:type="dxa"/>
            <w:vAlign w:val="bottom"/>
            <w:tcBorders>
              <w:bottom w:val="single" w:sz="8" w:color="auto"/>
            </w:tcBorders>
          </w:tcPr>
          <w:p>
            <w:pPr>
              <w:spacing w:after="0"/>
              <w:rPr>
                <w:sz w:val="15"/>
                <w:szCs w:val="15"/>
                <w:color w:val="auto"/>
              </w:rPr>
            </w:pPr>
          </w:p>
        </w:tc>
        <w:tc>
          <w:tcPr>
            <w:tcW w:w="9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280" w:type="dxa"/>
            <w:vAlign w:val="bottom"/>
          </w:tcPr>
          <w:p>
            <w:pPr>
              <w:spacing w:after="0"/>
              <w:rPr>
                <w:sz w:val="19"/>
                <w:szCs w:val="19"/>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964"/>
        <w:spacing w:after="0"/>
        <w:rPr>
          <w:sz w:val="20"/>
          <w:szCs w:val="20"/>
          <w:color w:val="auto"/>
        </w:rPr>
      </w:pPr>
      <w:r>
        <w:rPr>
          <w:rFonts w:ascii="Times New Roman" w:cs="Times New Roman" w:eastAsia="Times New Roman" w:hAnsi="Times New Roman"/>
          <w:sz w:val="18"/>
          <w:szCs w:val="18"/>
          <w:color w:val="auto"/>
        </w:rPr>
        <w:t>  4,202,679 Shares of Common Stock (1)</w:t>
      </w:r>
    </w:p>
    <w:p>
      <w:pPr>
        <w:spacing w:after="0" w:line="36" w:lineRule="exact"/>
        <w:rPr>
          <w:sz w:val="20"/>
          <w:szCs w:val="20"/>
          <w:color w:val="auto"/>
        </w:rPr>
      </w:pPr>
    </w:p>
    <w:p>
      <w:pPr>
        <w:ind w:left="524" w:hanging="367"/>
        <w:spacing w:after="0"/>
        <w:tabs>
          <w:tab w:leader="none" w:pos="52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AGGREGATE AMOUNT BENEFICIALLY OWNED BY EACH REPORTING PERSON</w:t>
      </w:r>
    </w:p>
    <w:p>
      <w:pPr>
        <w:spacing w:after="0" w:line="25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4,202,679 Shares of Common Stock (1)</w:t>
      </w:r>
    </w:p>
    <w:p>
      <w:pPr>
        <w:spacing w:after="0" w:line="3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24" w:hanging="98"/>
        <w:spacing w:after="0" w:line="207" w:lineRule="exact"/>
        <w:tabs>
          <w:tab w:leader="none" w:pos="624" w:val="left"/>
        </w:tabs>
        <w:numPr>
          <w:ilvl w:val="2"/>
          <w:numId w:val="2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23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 (2)</w:t>
      </w:r>
    </w:p>
    <w:p>
      <w:pPr>
        <w:spacing w:after="0" w:line="3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424" w:right="80" w:hanging="424"/>
        <w:spacing w:after="0" w:line="254" w:lineRule="auto"/>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are held of record by Polaris IX (as defined in Item 2(a) of the Original Schedule 13D). PPGP IX (as defined in Item 2(a) of the Original Schedule 13D) is the general partner of Polaris IX and may be deemed to have shared voting, investment and dispositive power with respect to these securities. Terrance McGuire, an interest holder in PPGP IX and a member of the Issuer’s Board (as defined in the Original Schedule 13D), and the PPGP IX Managing Members (as defined in Item 2(c) of the Original Schedule 13D) are the managing members of PPGP IX and may be deemed to have shared voting, investment and dispositive power with respect to the securities held by Polaris IX.</w:t>
      </w:r>
    </w:p>
    <w:p>
      <w:pPr>
        <w:spacing w:after="0" w:line="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119,616,035 shares of Common Stock outstanding as of November 1, 2024, as set forth in the Form 10-Q.</w:t>
      </w:r>
    </w:p>
    <w:p>
      <w:pPr>
        <w:sectPr>
          <w:pgSz w:w="11900" w:h="16838" w:orient="portrait"/>
          <w:cols w:equalWidth="0" w:num="1">
            <w:col w:w="11024"/>
          </w:cols>
          <w:pgMar w:left="436" w:top="270" w:right="439" w:bottom="1440" w:gutter="0" w:footer="0" w:header="0"/>
        </w:sectPr>
      </w:pPr>
    </w:p>
    <w:bookmarkStart w:id="7" w:name="page8"/>
    <w:bookmarkEnd w:id="7"/>
    <w:tbl>
      <w:tblPr>
        <w:tblLayout w:type="fixed"/>
        <w:tblInd w:w="4"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00534A102</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244" w:hanging="87"/>
        <w:spacing w:after="0"/>
        <w:tabs>
          <w:tab w:leader="none" w:pos="244"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Polaris Partners GP IX, L.L.C.</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6112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26580" cy="6112510"/>
                    </a:xfrm>
                    <a:prstGeom prst="rect">
                      <a:avLst/>
                    </a:prstGeom>
                    <a:noFill/>
                  </pic:spPr>
                </pic:pic>
              </a:graphicData>
            </a:graphic>
          </wp:anchor>
        </w:drawing>
      </w:r>
    </w:p>
    <w:p>
      <w:pPr>
        <w:spacing w:after="0" w:line="14" w:lineRule="exact"/>
        <w:rPr>
          <w:sz w:val="20"/>
          <w:szCs w:val="20"/>
          <w:color w:val="auto"/>
        </w:rPr>
      </w:pPr>
    </w:p>
    <w:p>
      <w:pPr>
        <w:ind w:left="52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604" w:hanging="78"/>
        <w:spacing w:after="0"/>
        <w:tabs>
          <w:tab w:leader="none" w:pos="604" w:val="left"/>
        </w:tabs>
        <w:numPr>
          <w:ilvl w:val="1"/>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AF</w:t>
      </w:r>
    </w:p>
    <w:p>
      <w:pPr>
        <w:spacing w:after="0" w:line="70" w:lineRule="exact"/>
        <w:rPr>
          <w:rFonts w:ascii="Times New Roman" w:cs="Times New Roman" w:eastAsia="Times New Roman" w:hAnsi="Times New Roman"/>
          <w:sz w:val="15"/>
          <w:szCs w:val="15"/>
          <w:color w:val="auto"/>
        </w:rPr>
      </w:pPr>
    </w:p>
    <w:p>
      <w:pPr>
        <w:ind w:left="244" w:hanging="87"/>
        <w:spacing w:after="0"/>
        <w:tabs>
          <w:tab w:leader="none" w:pos="244"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 2(d) or 2(e)</w:t>
      </w:r>
    </w:p>
    <w:p>
      <w:pPr>
        <w:spacing w:after="0" w:line="222" w:lineRule="exact"/>
        <w:rPr>
          <w:rFonts w:ascii="Times New Roman" w:cs="Times New Roman" w:eastAsia="Times New Roman" w:hAnsi="Times New Roman"/>
          <w:sz w:val="17"/>
          <w:szCs w:val="17"/>
          <w:color w:val="auto"/>
        </w:rPr>
      </w:pPr>
    </w:p>
    <w:p>
      <w:pPr>
        <w:ind w:left="624" w:hanging="98"/>
        <w:spacing w:after="0" w:line="207" w:lineRule="exact"/>
        <w:tabs>
          <w:tab w:leader="none" w:pos="624" w:val="left"/>
        </w:tabs>
        <w:numPr>
          <w:ilvl w:val="1"/>
          <w:numId w:val="2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644" w:hanging="92"/>
        <w:spacing w:after="0"/>
        <w:tabs>
          <w:tab w:leader="none" w:pos="1644"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SOLE VOTING POWER</w:t>
      </w:r>
    </w:p>
    <w:p>
      <w:pPr>
        <w:spacing w:after="0" w:line="212" w:lineRule="exact"/>
        <w:rPr>
          <w:sz w:val="20"/>
          <w:szCs w:val="20"/>
          <w:color w:val="auto"/>
        </w:rPr>
      </w:pPr>
    </w:p>
    <w:tbl>
      <w:tblPr>
        <w:tblLayout w:type="fixed"/>
        <w:tblInd w:w="164" w:type="dxa"/>
        <w:tblCellMar>
          <w:top w:w="0" w:type="dxa"/>
          <w:left w:w="0" w:type="dxa"/>
          <w:bottom w:w="0" w:type="dxa"/>
          <w:right w:w="0" w:type="dxa"/>
        </w:tblCellMar>
      </w:tblP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Pr>
          <w:p>
            <w:pPr>
              <w:spacing w:after="0"/>
              <w:rPr>
                <w:sz w:val="19"/>
                <w:szCs w:val="19"/>
                <w:color w:val="auto"/>
              </w:rPr>
            </w:pP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400" w:type="dxa"/>
            <w:vAlign w:val="bottom"/>
            <w:tcBorders>
              <w:bottom w:val="single" w:sz="8" w:color="auto"/>
            </w:tcBorders>
          </w:tcPr>
          <w:p>
            <w:pPr>
              <w:spacing w:after="0"/>
              <w:rPr>
                <w:sz w:val="5"/>
                <w:szCs w:val="5"/>
                <w:color w:val="auto"/>
              </w:rPr>
            </w:pPr>
          </w:p>
        </w:tc>
        <w:tc>
          <w:tcPr>
            <w:tcW w:w="9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280" w:type="dxa"/>
            <w:vAlign w:val="bottom"/>
            <w:vMerge w:val="continue"/>
          </w:tcPr>
          <w:p>
            <w:pPr>
              <w:spacing w:after="0"/>
              <w:rPr>
                <w:sz w:val="10"/>
                <w:szCs w:val="10"/>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8</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104"/>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00" w:type="dxa"/>
            <w:vAlign w:val="bottom"/>
            <w:vMerge w:val="continue"/>
          </w:tcPr>
          <w:p>
            <w:pPr>
              <w:spacing w:after="0"/>
              <w:rPr>
                <w:sz w:val="9"/>
                <w:szCs w:val="9"/>
                <w:color w:val="auto"/>
              </w:rPr>
            </w:pPr>
          </w:p>
        </w:tc>
        <w:tc>
          <w:tcPr>
            <w:tcW w:w="9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28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9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4,202,679 Shares of Common Stock (1)</w:t>
            </w:r>
          </w:p>
        </w:tc>
        <w:tc>
          <w:tcPr>
            <w:tcW w:w="0" w:type="dxa"/>
            <w:vAlign w:val="bottom"/>
          </w:tcPr>
          <w:p>
            <w:pPr>
              <w:spacing w:after="0"/>
              <w:rPr>
                <w:sz w:val="1"/>
                <w:szCs w:val="1"/>
                <w:color w:val="auto"/>
              </w:rPr>
            </w:pPr>
          </w:p>
        </w:tc>
      </w:tr>
      <w:tr>
        <w:trPr>
          <w:trHeight w:val="120"/>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400" w:type="dxa"/>
            <w:vAlign w:val="bottom"/>
            <w:tcBorders>
              <w:bottom w:val="single" w:sz="8" w:color="auto"/>
            </w:tcBorders>
          </w:tcPr>
          <w:p>
            <w:pPr>
              <w:spacing w:after="0"/>
              <w:rPr>
                <w:sz w:val="10"/>
                <w:szCs w:val="10"/>
                <w:color w:val="auto"/>
              </w:rPr>
            </w:pPr>
          </w:p>
        </w:tc>
        <w:tc>
          <w:tcPr>
            <w:tcW w:w="90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280" w:type="dxa"/>
            <w:vAlign w:val="bottom"/>
            <w:vMerge w:val="continue"/>
          </w:tcPr>
          <w:p>
            <w:pPr>
              <w:spacing w:after="0"/>
              <w:rPr>
                <w:sz w:val="6"/>
                <w:szCs w:val="6"/>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9</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5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vMerge w:val="continue"/>
          </w:tcPr>
          <w:p>
            <w:pPr>
              <w:spacing w:after="0"/>
              <w:rPr>
                <w:sz w:val="13"/>
                <w:szCs w:val="13"/>
                <w:color w:val="auto"/>
              </w:rPr>
            </w:pPr>
          </w:p>
        </w:tc>
        <w:tc>
          <w:tcPr>
            <w:tcW w:w="9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2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80"/>
        </w:trPr>
        <w:tc>
          <w:tcPr>
            <w:tcW w:w="128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400" w:type="dxa"/>
            <w:vAlign w:val="bottom"/>
            <w:tcBorders>
              <w:bottom w:val="single" w:sz="8" w:color="auto"/>
            </w:tcBorders>
          </w:tcPr>
          <w:p>
            <w:pPr>
              <w:spacing w:after="0"/>
              <w:rPr>
                <w:sz w:val="15"/>
                <w:szCs w:val="15"/>
                <w:color w:val="auto"/>
              </w:rPr>
            </w:pPr>
          </w:p>
        </w:tc>
        <w:tc>
          <w:tcPr>
            <w:tcW w:w="9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280" w:type="dxa"/>
            <w:vAlign w:val="bottom"/>
          </w:tcPr>
          <w:p>
            <w:pPr>
              <w:spacing w:after="0"/>
              <w:rPr>
                <w:sz w:val="19"/>
                <w:szCs w:val="19"/>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964"/>
        <w:spacing w:after="0"/>
        <w:rPr>
          <w:sz w:val="20"/>
          <w:szCs w:val="20"/>
          <w:color w:val="auto"/>
        </w:rPr>
      </w:pPr>
      <w:r>
        <w:rPr>
          <w:rFonts w:ascii="Times New Roman" w:cs="Times New Roman" w:eastAsia="Times New Roman" w:hAnsi="Times New Roman"/>
          <w:sz w:val="18"/>
          <w:szCs w:val="18"/>
          <w:color w:val="auto"/>
        </w:rPr>
        <w:t>  4,202,679 Shares of Common Stock (1)</w:t>
      </w:r>
    </w:p>
    <w:p>
      <w:pPr>
        <w:spacing w:after="0" w:line="36" w:lineRule="exact"/>
        <w:rPr>
          <w:sz w:val="20"/>
          <w:szCs w:val="20"/>
          <w:color w:val="auto"/>
        </w:rPr>
      </w:pPr>
    </w:p>
    <w:p>
      <w:pPr>
        <w:ind w:left="524" w:hanging="367"/>
        <w:spacing w:after="0"/>
        <w:tabs>
          <w:tab w:leader="none" w:pos="52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AGGREGATE AMOUNT BENEFICIALLY OWNED BY EACH REPORTING PERSON</w:t>
      </w:r>
    </w:p>
    <w:p>
      <w:pPr>
        <w:spacing w:after="0" w:line="25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4,202,679 Shares of Common Stock (1)</w:t>
      </w:r>
    </w:p>
    <w:p>
      <w:pPr>
        <w:spacing w:after="0" w:line="3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24" w:hanging="98"/>
        <w:spacing w:after="0" w:line="207" w:lineRule="exact"/>
        <w:tabs>
          <w:tab w:leader="none" w:pos="624" w:val="left"/>
        </w:tabs>
        <w:numPr>
          <w:ilvl w:val="2"/>
          <w:numId w:val="2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23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 (2)</w:t>
      </w:r>
    </w:p>
    <w:p>
      <w:pPr>
        <w:spacing w:after="0" w:line="3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9" w:lineRule="exact"/>
        <w:rPr>
          <w:rFonts w:ascii="Times New Roman" w:cs="Times New Roman" w:eastAsia="Times New Roman" w:hAnsi="Times New Roman"/>
          <w:sz w:val="18"/>
          <w:szCs w:val="18"/>
          <w:color w:val="auto"/>
        </w:rPr>
      </w:pPr>
    </w:p>
    <w:p>
      <w:pPr>
        <w:ind w:left="424" w:right="160" w:hanging="424"/>
        <w:spacing w:after="0" w:line="255" w:lineRule="auto"/>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are held of record by Polaris IX. PPGP IX is the general partner of Polaris IX and may be deemed to have shared voting, investment and dispositive power with respect to these securities. Terrance McGuire, an interest holder in PPGP IX and a member of the Issuer’s Board, and the PPGP IX Managing Members are the managing members of PPGP IX and may be deemed to have shared voting, investment and dispositive power with respect to the securities held by Polaris IX.</w:t>
      </w:r>
    </w:p>
    <w:p>
      <w:pPr>
        <w:spacing w:after="0" w:line="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119,616,035 shares of Common Stock outstanding as of November 1, 2024, as set forth in the Form 10-Q.</w:t>
      </w:r>
    </w:p>
    <w:p>
      <w:pPr>
        <w:sectPr>
          <w:pgSz w:w="11900" w:h="16838" w:orient="portrait"/>
          <w:cols w:equalWidth="0" w:num="1">
            <w:col w:w="11024"/>
          </w:cols>
          <w:pgMar w:left="436" w:top="270" w:right="439" w:bottom="1440" w:gutter="0" w:footer="0" w:header="0"/>
        </w:sectPr>
      </w:pPr>
    </w:p>
    <w:bookmarkStart w:id="8" w:name="page9"/>
    <w:bookmarkEnd w:id="8"/>
    <w:tbl>
      <w:tblPr>
        <w:tblLayout w:type="fixed"/>
        <w:tblInd w:w="4"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00534A102</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244" w:hanging="87"/>
        <w:spacing w:after="0"/>
        <w:tabs>
          <w:tab w:leader="none" w:pos="244"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Polaris Healthcare Technology Opportunities Fund, L.P.</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6111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14" w:lineRule="exact"/>
        <w:rPr>
          <w:sz w:val="20"/>
          <w:szCs w:val="20"/>
          <w:color w:val="auto"/>
        </w:rPr>
      </w:pPr>
    </w:p>
    <w:p>
      <w:pPr>
        <w:ind w:left="52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604" w:hanging="78"/>
        <w:spacing w:after="0"/>
        <w:tabs>
          <w:tab w:leader="none" w:pos="604" w:val="left"/>
        </w:tabs>
        <w:numPr>
          <w:ilvl w:val="1"/>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WC</w:t>
      </w:r>
    </w:p>
    <w:p>
      <w:pPr>
        <w:spacing w:after="0" w:line="70" w:lineRule="exact"/>
        <w:rPr>
          <w:rFonts w:ascii="Times New Roman" w:cs="Times New Roman" w:eastAsia="Times New Roman" w:hAnsi="Times New Roman"/>
          <w:sz w:val="15"/>
          <w:szCs w:val="15"/>
          <w:color w:val="auto"/>
        </w:rPr>
      </w:pPr>
    </w:p>
    <w:p>
      <w:pPr>
        <w:ind w:left="244" w:hanging="87"/>
        <w:spacing w:after="0"/>
        <w:tabs>
          <w:tab w:leader="none" w:pos="244"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 2(d) or 2(e)</w:t>
      </w:r>
    </w:p>
    <w:p>
      <w:pPr>
        <w:spacing w:after="0" w:line="222" w:lineRule="exact"/>
        <w:rPr>
          <w:rFonts w:ascii="Times New Roman" w:cs="Times New Roman" w:eastAsia="Times New Roman" w:hAnsi="Times New Roman"/>
          <w:sz w:val="17"/>
          <w:szCs w:val="17"/>
          <w:color w:val="auto"/>
        </w:rPr>
      </w:pPr>
    </w:p>
    <w:p>
      <w:pPr>
        <w:ind w:left="624" w:hanging="98"/>
        <w:spacing w:after="0" w:line="207" w:lineRule="exact"/>
        <w:tabs>
          <w:tab w:leader="none" w:pos="624" w:val="left"/>
        </w:tabs>
        <w:numPr>
          <w:ilvl w:val="1"/>
          <w:numId w:val="3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644" w:hanging="92"/>
        <w:spacing w:after="0"/>
        <w:tabs>
          <w:tab w:leader="none" w:pos="1644"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SOLE VOTING POWER</w:t>
      </w:r>
    </w:p>
    <w:p>
      <w:pPr>
        <w:spacing w:after="0" w:line="212" w:lineRule="exact"/>
        <w:rPr>
          <w:sz w:val="20"/>
          <w:szCs w:val="20"/>
          <w:color w:val="auto"/>
        </w:rPr>
      </w:pPr>
    </w:p>
    <w:tbl>
      <w:tblPr>
        <w:tblLayout w:type="fixed"/>
        <w:tblInd w:w="164" w:type="dxa"/>
        <w:tblCellMar>
          <w:top w:w="0" w:type="dxa"/>
          <w:left w:w="0" w:type="dxa"/>
          <w:bottom w:w="0" w:type="dxa"/>
          <w:right w:w="0" w:type="dxa"/>
        </w:tblCellMar>
      </w:tblP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Pr>
          <w:p>
            <w:pPr>
              <w:spacing w:after="0"/>
              <w:rPr>
                <w:sz w:val="19"/>
                <w:szCs w:val="19"/>
                <w:color w:val="auto"/>
              </w:rPr>
            </w:pP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400" w:type="dxa"/>
            <w:vAlign w:val="bottom"/>
            <w:tcBorders>
              <w:bottom w:val="single" w:sz="8" w:color="auto"/>
            </w:tcBorders>
          </w:tcPr>
          <w:p>
            <w:pPr>
              <w:spacing w:after="0"/>
              <w:rPr>
                <w:sz w:val="5"/>
                <w:szCs w:val="5"/>
                <w:color w:val="auto"/>
              </w:rPr>
            </w:pPr>
          </w:p>
        </w:tc>
        <w:tc>
          <w:tcPr>
            <w:tcW w:w="9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280" w:type="dxa"/>
            <w:vAlign w:val="bottom"/>
            <w:vMerge w:val="continue"/>
          </w:tcPr>
          <w:p>
            <w:pPr>
              <w:spacing w:after="0"/>
              <w:rPr>
                <w:sz w:val="10"/>
                <w:szCs w:val="10"/>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8</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104"/>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00" w:type="dxa"/>
            <w:vAlign w:val="bottom"/>
            <w:vMerge w:val="continue"/>
          </w:tcPr>
          <w:p>
            <w:pPr>
              <w:spacing w:after="0"/>
              <w:rPr>
                <w:sz w:val="9"/>
                <w:szCs w:val="9"/>
                <w:color w:val="auto"/>
              </w:rPr>
            </w:pPr>
          </w:p>
        </w:tc>
        <w:tc>
          <w:tcPr>
            <w:tcW w:w="9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28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9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497,660 Shares of Common Stock (1)</w:t>
            </w:r>
          </w:p>
        </w:tc>
        <w:tc>
          <w:tcPr>
            <w:tcW w:w="0" w:type="dxa"/>
            <w:vAlign w:val="bottom"/>
          </w:tcPr>
          <w:p>
            <w:pPr>
              <w:spacing w:after="0"/>
              <w:rPr>
                <w:sz w:val="1"/>
                <w:szCs w:val="1"/>
                <w:color w:val="auto"/>
              </w:rPr>
            </w:pPr>
          </w:p>
        </w:tc>
      </w:tr>
      <w:tr>
        <w:trPr>
          <w:trHeight w:val="120"/>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400" w:type="dxa"/>
            <w:vAlign w:val="bottom"/>
            <w:tcBorders>
              <w:bottom w:val="single" w:sz="8" w:color="auto"/>
            </w:tcBorders>
          </w:tcPr>
          <w:p>
            <w:pPr>
              <w:spacing w:after="0"/>
              <w:rPr>
                <w:sz w:val="10"/>
                <w:szCs w:val="10"/>
                <w:color w:val="auto"/>
              </w:rPr>
            </w:pPr>
          </w:p>
        </w:tc>
        <w:tc>
          <w:tcPr>
            <w:tcW w:w="90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280" w:type="dxa"/>
            <w:vAlign w:val="bottom"/>
            <w:vMerge w:val="continue"/>
          </w:tcPr>
          <w:p>
            <w:pPr>
              <w:spacing w:after="0"/>
              <w:rPr>
                <w:sz w:val="6"/>
                <w:szCs w:val="6"/>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9</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5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vMerge w:val="continue"/>
          </w:tcPr>
          <w:p>
            <w:pPr>
              <w:spacing w:after="0"/>
              <w:rPr>
                <w:sz w:val="13"/>
                <w:szCs w:val="13"/>
                <w:color w:val="auto"/>
              </w:rPr>
            </w:pPr>
          </w:p>
        </w:tc>
        <w:tc>
          <w:tcPr>
            <w:tcW w:w="9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2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80"/>
        </w:trPr>
        <w:tc>
          <w:tcPr>
            <w:tcW w:w="128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400" w:type="dxa"/>
            <w:vAlign w:val="bottom"/>
            <w:tcBorders>
              <w:bottom w:val="single" w:sz="8" w:color="auto"/>
            </w:tcBorders>
          </w:tcPr>
          <w:p>
            <w:pPr>
              <w:spacing w:after="0"/>
              <w:rPr>
                <w:sz w:val="15"/>
                <w:szCs w:val="15"/>
                <w:color w:val="auto"/>
              </w:rPr>
            </w:pPr>
          </w:p>
        </w:tc>
        <w:tc>
          <w:tcPr>
            <w:tcW w:w="9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280" w:type="dxa"/>
            <w:vAlign w:val="bottom"/>
          </w:tcPr>
          <w:p>
            <w:pPr>
              <w:spacing w:after="0"/>
              <w:rPr>
                <w:sz w:val="19"/>
                <w:szCs w:val="19"/>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964"/>
        <w:spacing w:after="0"/>
        <w:rPr>
          <w:sz w:val="20"/>
          <w:szCs w:val="20"/>
          <w:color w:val="auto"/>
        </w:rPr>
      </w:pPr>
      <w:r>
        <w:rPr>
          <w:rFonts w:ascii="Times New Roman" w:cs="Times New Roman" w:eastAsia="Times New Roman" w:hAnsi="Times New Roman"/>
          <w:sz w:val="18"/>
          <w:szCs w:val="18"/>
          <w:color w:val="auto"/>
        </w:rPr>
        <w:t>  497,660 Shares of Common Stock (1)</w:t>
      </w:r>
    </w:p>
    <w:p>
      <w:pPr>
        <w:spacing w:after="0" w:line="36" w:lineRule="exact"/>
        <w:rPr>
          <w:sz w:val="20"/>
          <w:szCs w:val="20"/>
          <w:color w:val="auto"/>
        </w:rPr>
      </w:pPr>
    </w:p>
    <w:p>
      <w:pPr>
        <w:ind w:left="524" w:hanging="367"/>
        <w:spacing w:after="0"/>
        <w:tabs>
          <w:tab w:leader="none" w:pos="52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AGGREGATE AMOUNT BENEFICIALLY OWNED BY EACH REPORTING PERSON</w:t>
      </w:r>
    </w:p>
    <w:p>
      <w:pPr>
        <w:spacing w:after="0" w:line="25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497,660 Shares of Common Stock (1)</w:t>
      </w:r>
    </w:p>
    <w:p>
      <w:pPr>
        <w:spacing w:after="0" w:line="3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24" w:hanging="98"/>
        <w:spacing w:after="0" w:line="207" w:lineRule="exact"/>
        <w:tabs>
          <w:tab w:leader="none" w:pos="624" w:val="left"/>
        </w:tabs>
        <w:numPr>
          <w:ilvl w:val="2"/>
          <w:numId w:val="3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23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0.4% (2)</w:t>
      </w:r>
    </w:p>
    <w:p>
      <w:pPr>
        <w:spacing w:after="0" w:line="3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424" w:right="240" w:hanging="424"/>
        <w:spacing w:after="0" w:line="254" w:lineRule="auto"/>
        <w:tabs>
          <w:tab w:leader="none" w:pos="4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are held of record by Polaris HCT (as defined in Item 2(a) of the Original Schedule 13D). PHCT GP (as defined in Item 2(a) of the Original Schedule 13D) is the general partner of Polaris HCT and may be deemed to have shared voting, investment and dispositive power with respect to these securities. Terrance McGuire, an interest holder in PHCT GP and a member of the Issuer’s Board, and the PHCT GP Managing Members (as defined in Item 2(c) of the Original Schedule 13D) are the managing members of PHCT GP and may be deemed to have shared voting, investment and dispositive power with respect to the securities held by Polaris HCT.</w:t>
      </w:r>
    </w:p>
    <w:p>
      <w:pPr>
        <w:spacing w:after="0" w:line="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119,616,035 shares of Common Stock outstanding as of November 1, 2024, as set forth in the Form 10-Q.</w:t>
      </w:r>
    </w:p>
    <w:p>
      <w:pPr>
        <w:sectPr>
          <w:pgSz w:w="11900" w:h="16838" w:orient="portrait"/>
          <w:cols w:equalWidth="0" w:num="1">
            <w:col w:w="11024"/>
          </w:cols>
          <w:pgMar w:left="436" w:top="270" w:right="439" w:bottom="1440" w:gutter="0" w:footer="0" w:header="0"/>
        </w:sectPr>
      </w:pPr>
    </w:p>
    <w:bookmarkStart w:id="9" w:name="page10"/>
    <w:bookmarkEnd w:id="9"/>
    <w:tbl>
      <w:tblPr>
        <w:tblLayout w:type="fixed"/>
        <w:tblInd w:w="4"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00534A102</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244" w:hanging="87"/>
        <w:spacing w:after="0"/>
        <w:tabs>
          <w:tab w:leader="none" w:pos="244"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Polaris Healthcare Technology Opportunities Fund GP, L.L.C.</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6112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26580" cy="6112510"/>
                    </a:xfrm>
                    <a:prstGeom prst="rect">
                      <a:avLst/>
                    </a:prstGeom>
                    <a:noFill/>
                  </pic:spPr>
                </pic:pic>
              </a:graphicData>
            </a:graphic>
          </wp:anchor>
        </w:drawing>
      </w:r>
    </w:p>
    <w:p>
      <w:pPr>
        <w:spacing w:after="0" w:line="14" w:lineRule="exact"/>
        <w:rPr>
          <w:sz w:val="20"/>
          <w:szCs w:val="20"/>
          <w:color w:val="auto"/>
        </w:rPr>
      </w:pPr>
    </w:p>
    <w:p>
      <w:pPr>
        <w:ind w:left="52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604" w:hanging="78"/>
        <w:spacing w:after="0"/>
        <w:tabs>
          <w:tab w:leader="none" w:pos="604" w:val="left"/>
        </w:tabs>
        <w:numPr>
          <w:ilvl w:val="1"/>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AF</w:t>
      </w:r>
    </w:p>
    <w:p>
      <w:pPr>
        <w:spacing w:after="0" w:line="70" w:lineRule="exact"/>
        <w:rPr>
          <w:rFonts w:ascii="Times New Roman" w:cs="Times New Roman" w:eastAsia="Times New Roman" w:hAnsi="Times New Roman"/>
          <w:sz w:val="15"/>
          <w:szCs w:val="15"/>
          <w:color w:val="auto"/>
        </w:rPr>
      </w:pPr>
    </w:p>
    <w:p>
      <w:pPr>
        <w:ind w:left="244" w:hanging="87"/>
        <w:spacing w:after="0"/>
        <w:tabs>
          <w:tab w:leader="none" w:pos="244"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 2(d) or 2(e)</w:t>
      </w:r>
    </w:p>
    <w:p>
      <w:pPr>
        <w:spacing w:after="0" w:line="222" w:lineRule="exact"/>
        <w:rPr>
          <w:rFonts w:ascii="Times New Roman" w:cs="Times New Roman" w:eastAsia="Times New Roman" w:hAnsi="Times New Roman"/>
          <w:sz w:val="17"/>
          <w:szCs w:val="17"/>
          <w:color w:val="auto"/>
        </w:rPr>
      </w:pPr>
    </w:p>
    <w:p>
      <w:pPr>
        <w:ind w:left="624" w:hanging="98"/>
        <w:spacing w:after="0" w:line="207" w:lineRule="exact"/>
        <w:tabs>
          <w:tab w:leader="none" w:pos="624" w:val="left"/>
        </w:tabs>
        <w:numPr>
          <w:ilvl w:val="1"/>
          <w:numId w:val="3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644" w:hanging="92"/>
        <w:spacing w:after="0"/>
        <w:tabs>
          <w:tab w:leader="none" w:pos="1644"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SOLE VOTING POWER</w:t>
      </w:r>
    </w:p>
    <w:p>
      <w:pPr>
        <w:spacing w:after="0" w:line="212" w:lineRule="exact"/>
        <w:rPr>
          <w:sz w:val="20"/>
          <w:szCs w:val="20"/>
          <w:color w:val="auto"/>
        </w:rPr>
      </w:pPr>
    </w:p>
    <w:tbl>
      <w:tblPr>
        <w:tblLayout w:type="fixed"/>
        <w:tblInd w:w="164" w:type="dxa"/>
        <w:tblCellMar>
          <w:top w:w="0" w:type="dxa"/>
          <w:left w:w="0" w:type="dxa"/>
          <w:bottom w:w="0" w:type="dxa"/>
          <w:right w:w="0" w:type="dxa"/>
        </w:tblCellMar>
      </w:tblP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Pr>
          <w:p>
            <w:pPr>
              <w:spacing w:after="0"/>
              <w:rPr>
                <w:sz w:val="19"/>
                <w:szCs w:val="19"/>
                <w:color w:val="auto"/>
              </w:rPr>
            </w:pP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400" w:type="dxa"/>
            <w:vAlign w:val="bottom"/>
            <w:tcBorders>
              <w:bottom w:val="single" w:sz="8" w:color="auto"/>
            </w:tcBorders>
          </w:tcPr>
          <w:p>
            <w:pPr>
              <w:spacing w:after="0"/>
              <w:rPr>
                <w:sz w:val="5"/>
                <w:szCs w:val="5"/>
                <w:color w:val="auto"/>
              </w:rPr>
            </w:pPr>
          </w:p>
        </w:tc>
        <w:tc>
          <w:tcPr>
            <w:tcW w:w="9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280" w:type="dxa"/>
            <w:vAlign w:val="bottom"/>
            <w:vMerge w:val="continue"/>
          </w:tcPr>
          <w:p>
            <w:pPr>
              <w:spacing w:after="0"/>
              <w:rPr>
                <w:sz w:val="10"/>
                <w:szCs w:val="10"/>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8</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104"/>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00" w:type="dxa"/>
            <w:vAlign w:val="bottom"/>
            <w:vMerge w:val="continue"/>
          </w:tcPr>
          <w:p>
            <w:pPr>
              <w:spacing w:after="0"/>
              <w:rPr>
                <w:sz w:val="9"/>
                <w:szCs w:val="9"/>
                <w:color w:val="auto"/>
              </w:rPr>
            </w:pPr>
          </w:p>
        </w:tc>
        <w:tc>
          <w:tcPr>
            <w:tcW w:w="9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28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9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497,660 Shares of Common Stock (1)</w:t>
            </w:r>
          </w:p>
        </w:tc>
        <w:tc>
          <w:tcPr>
            <w:tcW w:w="0" w:type="dxa"/>
            <w:vAlign w:val="bottom"/>
          </w:tcPr>
          <w:p>
            <w:pPr>
              <w:spacing w:after="0"/>
              <w:rPr>
                <w:sz w:val="1"/>
                <w:szCs w:val="1"/>
                <w:color w:val="auto"/>
              </w:rPr>
            </w:pPr>
          </w:p>
        </w:tc>
      </w:tr>
      <w:tr>
        <w:trPr>
          <w:trHeight w:val="120"/>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400" w:type="dxa"/>
            <w:vAlign w:val="bottom"/>
            <w:tcBorders>
              <w:bottom w:val="single" w:sz="8" w:color="auto"/>
            </w:tcBorders>
          </w:tcPr>
          <w:p>
            <w:pPr>
              <w:spacing w:after="0"/>
              <w:rPr>
                <w:sz w:val="10"/>
                <w:szCs w:val="10"/>
                <w:color w:val="auto"/>
              </w:rPr>
            </w:pPr>
          </w:p>
        </w:tc>
        <w:tc>
          <w:tcPr>
            <w:tcW w:w="90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280" w:type="dxa"/>
            <w:vAlign w:val="bottom"/>
            <w:vMerge w:val="continue"/>
          </w:tcPr>
          <w:p>
            <w:pPr>
              <w:spacing w:after="0"/>
              <w:rPr>
                <w:sz w:val="6"/>
                <w:szCs w:val="6"/>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9</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5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vMerge w:val="continue"/>
          </w:tcPr>
          <w:p>
            <w:pPr>
              <w:spacing w:after="0"/>
              <w:rPr>
                <w:sz w:val="13"/>
                <w:szCs w:val="13"/>
                <w:color w:val="auto"/>
              </w:rPr>
            </w:pPr>
          </w:p>
        </w:tc>
        <w:tc>
          <w:tcPr>
            <w:tcW w:w="9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2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80"/>
        </w:trPr>
        <w:tc>
          <w:tcPr>
            <w:tcW w:w="128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400" w:type="dxa"/>
            <w:vAlign w:val="bottom"/>
            <w:tcBorders>
              <w:bottom w:val="single" w:sz="8" w:color="auto"/>
            </w:tcBorders>
          </w:tcPr>
          <w:p>
            <w:pPr>
              <w:spacing w:after="0"/>
              <w:rPr>
                <w:sz w:val="15"/>
                <w:szCs w:val="15"/>
                <w:color w:val="auto"/>
              </w:rPr>
            </w:pPr>
          </w:p>
        </w:tc>
        <w:tc>
          <w:tcPr>
            <w:tcW w:w="9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280" w:type="dxa"/>
            <w:vAlign w:val="bottom"/>
          </w:tcPr>
          <w:p>
            <w:pPr>
              <w:spacing w:after="0"/>
              <w:rPr>
                <w:sz w:val="19"/>
                <w:szCs w:val="19"/>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964"/>
        <w:spacing w:after="0"/>
        <w:rPr>
          <w:sz w:val="20"/>
          <w:szCs w:val="20"/>
          <w:color w:val="auto"/>
        </w:rPr>
      </w:pPr>
      <w:r>
        <w:rPr>
          <w:rFonts w:ascii="Times New Roman" w:cs="Times New Roman" w:eastAsia="Times New Roman" w:hAnsi="Times New Roman"/>
          <w:sz w:val="18"/>
          <w:szCs w:val="18"/>
          <w:color w:val="auto"/>
        </w:rPr>
        <w:t>  497,660 Shares of Common Stock (1)</w:t>
      </w:r>
    </w:p>
    <w:p>
      <w:pPr>
        <w:spacing w:after="0" w:line="36" w:lineRule="exact"/>
        <w:rPr>
          <w:sz w:val="20"/>
          <w:szCs w:val="20"/>
          <w:color w:val="auto"/>
        </w:rPr>
      </w:pPr>
    </w:p>
    <w:p>
      <w:pPr>
        <w:ind w:left="524" w:hanging="367"/>
        <w:spacing w:after="0"/>
        <w:tabs>
          <w:tab w:leader="none" w:pos="52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AGGREGATE AMOUNT BENEFICIALLY OWNED BY EACH REPORTING PERSON</w:t>
      </w:r>
    </w:p>
    <w:p>
      <w:pPr>
        <w:spacing w:after="0" w:line="25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497,660 Shares of Common Stock (1)</w:t>
      </w:r>
    </w:p>
    <w:p>
      <w:pPr>
        <w:spacing w:after="0" w:line="3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24" w:hanging="98"/>
        <w:spacing w:after="0" w:line="207" w:lineRule="exact"/>
        <w:tabs>
          <w:tab w:leader="none" w:pos="624" w:val="left"/>
        </w:tabs>
        <w:numPr>
          <w:ilvl w:val="2"/>
          <w:numId w:val="3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23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0.4% (2)</w:t>
      </w:r>
    </w:p>
    <w:p>
      <w:pPr>
        <w:spacing w:after="0" w:line="3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9" w:lineRule="exact"/>
        <w:rPr>
          <w:rFonts w:ascii="Times New Roman" w:cs="Times New Roman" w:eastAsia="Times New Roman" w:hAnsi="Times New Roman"/>
          <w:sz w:val="18"/>
          <w:szCs w:val="18"/>
          <w:color w:val="auto"/>
        </w:rPr>
      </w:pPr>
    </w:p>
    <w:p>
      <w:pPr>
        <w:ind w:left="424" w:right="60" w:hanging="424"/>
        <w:spacing w:after="0" w:line="255" w:lineRule="auto"/>
        <w:tabs>
          <w:tab w:leader="none" w:pos="42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are held of record by Polaris HCT. PHCT GP is the general partner of Polaris HCT and may be deemed to have shared voting, investment and dispositive power with respect to these securities. Terrance McGuire, an interest holder in PHCT GP and a member of the Issuer’s Board, and the PHCT GP Managing Members are the managing members of PHCT GP and may be deemed to have shared voting, investment and dispositive power with respect to the securities held by Polaris HCT.</w:t>
      </w:r>
    </w:p>
    <w:p>
      <w:pPr>
        <w:spacing w:after="0" w:line="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119,616,035 shares of Common Stock outstanding as of November 1, 2024, as set forth in the Form 10-Q.</w:t>
      </w:r>
    </w:p>
    <w:p>
      <w:pPr>
        <w:sectPr>
          <w:pgSz w:w="11900" w:h="16838" w:orient="portrait"/>
          <w:cols w:equalWidth="0" w:num="1">
            <w:col w:w="11024"/>
          </w:cols>
          <w:pgMar w:left="436" w:top="270" w:right="439" w:bottom="1440" w:gutter="0" w:footer="0" w:header="0"/>
        </w:sectPr>
      </w:pPr>
    </w:p>
    <w:bookmarkStart w:id="10" w:name="page11"/>
    <w:bookmarkEnd w:id="10"/>
    <w:tbl>
      <w:tblPr>
        <w:tblLayout w:type="fixed"/>
        <w:tblInd w:w="4"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00534A102</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244" w:hanging="87"/>
        <w:spacing w:after="0"/>
        <w:tabs>
          <w:tab w:leader="none" w:pos="244"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04" w:hanging="78"/>
        <w:spacing w:after="0"/>
        <w:tabs>
          <w:tab w:leader="none" w:pos="604" w:val="left"/>
        </w:tabs>
        <w:numPr>
          <w:ilvl w:val="1"/>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Terrance McGuire</w:t>
      </w:r>
    </w:p>
    <w:p>
      <w:pPr>
        <w:spacing w:after="0" w:line="70" w:lineRule="exact"/>
        <w:rPr>
          <w:rFonts w:ascii="Times New Roman" w:cs="Times New Roman" w:eastAsia="Times New Roman" w:hAnsi="Times New Roman"/>
          <w:sz w:val="15"/>
          <w:szCs w:val="15"/>
          <w:color w:val="auto"/>
        </w:rPr>
      </w:pPr>
    </w:p>
    <w:p>
      <w:pPr>
        <w:ind w:left="244" w:hanging="87"/>
        <w:spacing w:after="0"/>
        <w:tabs>
          <w:tab w:leader="none" w:pos="244"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6111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14" w:lineRule="exact"/>
        <w:rPr>
          <w:sz w:val="20"/>
          <w:szCs w:val="20"/>
          <w:color w:val="auto"/>
        </w:rPr>
      </w:pPr>
    </w:p>
    <w:p>
      <w:pPr>
        <w:ind w:left="52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604" w:hanging="78"/>
        <w:spacing w:after="0"/>
        <w:tabs>
          <w:tab w:leader="none" w:pos="604" w:val="left"/>
        </w:tabs>
        <w:numPr>
          <w:ilvl w:val="1"/>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AF</w:t>
      </w:r>
    </w:p>
    <w:p>
      <w:pPr>
        <w:spacing w:after="0" w:line="70" w:lineRule="exact"/>
        <w:rPr>
          <w:rFonts w:ascii="Times New Roman" w:cs="Times New Roman" w:eastAsia="Times New Roman" w:hAnsi="Times New Roman"/>
          <w:sz w:val="15"/>
          <w:szCs w:val="15"/>
          <w:color w:val="auto"/>
        </w:rPr>
      </w:pPr>
    </w:p>
    <w:p>
      <w:pPr>
        <w:ind w:left="244" w:hanging="87"/>
        <w:spacing w:after="0"/>
        <w:tabs>
          <w:tab w:leader="none" w:pos="244"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 2(d) or 2(e)</w:t>
      </w:r>
    </w:p>
    <w:p>
      <w:pPr>
        <w:spacing w:after="0" w:line="222" w:lineRule="exact"/>
        <w:rPr>
          <w:rFonts w:ascii="Times New Roman" w:cs="Times New Roman" w:eastAsia="Times New Roman" w:hAnsi="Times New Roman"/>
          <w:sz w:val="17"/>
          <w:szCs w:val="17"/>
          <w:color w:val="auto"/>
        </w:rPr>
      </w:pPr>
    </w:p>
    <w:p>
      <w:pPr>
        <w:ind w:left="624" w:hanging="98"/>
        <w:spacing w:after="0" w:line="207" w:lineRule="exact"/>
        <w:tabs>
          <w:tab w:leader="none" w:pos="624" w:val="left"/>
        </w:tabs>
        <w:numPr>
          <w:ilvl w:val="1"/>
          <w:numId w:val="3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w:t>
      </w:r>
    </w:p>
    <w:p>
      <w:pPr>
        <w:spacing w:after="0" w:line="36" w:lineRule="exact"/>
        <w:rPr>
          <w:rFonts w:ascii="Times New Roman" w:cs="Times New Roman" w:eastAsia="Times New Roman" w:hAnsi="Times New Roman"/>
          <w:sz w:val="18"/>
          <w:szCs w:val="18"/>
          <w:color w:val="auto"/>
        </w:rPr>
      </w:pPr>
    </w:p>
    <w:p>
      <w:pPr>
        <w:ind w:left="1644" w:hanging="92"/>
        <w:spacing w:after="0"/>
        <w:tabs>
          <w:tab w:leader="none" w:pos="1644"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SOLE VOTING POWER</w:t>
      </w:r>
    </w:p>
    <w:p>
      <w:pPr>
        <w:spacing w:after="0" w:line="212" w:lineRule="exact"/>
        <w:rPr>
          <w:sz w:val="20"/>
          <w:szCs w:val="20"/>
          <w:color w:val="auto"/>
        </w:rPr>
      </w:pPr>
    </w:p>
    <w:tbl>
      <w:tblPr>
        <w:tblLayout w:type="fixed"/>
        <w:tblInd w:w="164" w:type="dxa"/>
        <w:tblCellMar>
          <w:top w:w="0" w:type="dxa"/>
          <w:left w:w="0" w:type="dxa"/>
          <w:bottom w:w="0" w:type="dxa"/>
          <w:right w:w="0" w:type="dxa"/>
        </w:tblCellMar>
      </w:tblP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Pr>
          <w:p>
            <w:pPr>
              <w:spacing w:after="0"/>
              <w:rPr>
                <w:sz w:val="19"/>
                <w:szCs w:val="19"/>
                <w:color w:val="auto"/>
              </w:rPr>
            </w:pP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160,593 (1)</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400" w:type="dxa"/>
            <w:vAlign w:val="bottom"/>
            <w:tcBorders>
              <w:bottom w:val="single" w:sz="8" w:color="auto"/>
            </w:tcBorders>
          </w:tcPr>
          <w:p>
            <w:pPr>
              <w:spacing w:after="0"/>
              <w:rPr>
                <w:sz w:val="5"/>
                <w:szCs w:val="5"/>
                <w:color w:val="auto"/>
              </w:rPr>
            </w:pPr>
          </w:p>
        </w:tc>
        <w:tc>
          <w:tcPr>
            <w:tcW w:w="9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280" w:type="dxa"/>
            <w:vAlign w:val="bottom"/>
            <w:vMerge w:val="continue"/>
          </w:tcPr>
          <w:p>
            <w:pPr>
              <w:spacing w:after="0"/>
              <w:rPr>
                <w:sz w:val="10"/>
                <w:szCs w:val="10"/>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8</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104"/>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00" w:type="dxa"/>
            <w:vAlign w:val="bottom"/>
            <w:vMerge w:val="continue"/>
          </w:tcPr>
          <w:p>
            <w:pPr>
              <w:spacing w:after="0"/>
              <w:rPr>
                <w:sz w:val="9"/>
                <w:szCs w:val="9"/>
                <w:color w:val="auto"/>
              </w:rPr>
            </w:pPr>
          </w:p>
        </w:tc>
        <w:tc>
          <w:tcPr>
            <w:tcW w:w="9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28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9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7,933,919 Shares of Common Stock (2)</w:t>
            </w:r>
          </w:p>
        </w:tc>
        <w:tc>
          <w:tcPr>
            <w:tcW w:w="0" w:type="dxa"/>
            <w:vAlign w:val="bottom"/>
          </w:tcPr>
          <w:p>
            <w:pPr>
              <w:spacing w:after="0"/>
              <w:rPr>
                <w:sz w:val="1"/>
                <w:szCs w:val="1"/>
                <w:color w:val="auto"/>
              </w:rPr>
            </w:pPr>
          </w:p>
        </w:tc>
      </w:tr>
      <w:tr>
        <w:trPr>
          <w:trHeight w:val="120"/>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400" w:type="dxa"/>
            <w:vAlign w:val="bottom"/>
            <w:tcBorders>
              <w:bottom w:val="single" w:sz="8" w:color="auto"/>
            </w:tcBorders>
          </w:tcPr>
          <w:p>
            <w:pPr>
              <w:spacing w:after="0"/>
              <w:rPr>
                <w:sz w:val="10"/>
                <w:szCs w:val="10"/>
                <w:color w:val="auto"/>
              </w:rPr>
            </w:pPr>
          </w:p>
        </w:tc>
        <w:tc>
          <w:tcPr>
            <w:tcW w:w="90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280" w:type="dxa"/>
            <w:vAlign w:val="bottom"/>
            <w:vMerge w:val="continue"/>
          </w:tcPr>
          <w:p>
            <w:pPr>
              <w:spacing w:after="0"/>
              <w:rPr>
                <w:sz w:val="6"/>
                <w:szCs w:val="6"/>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9</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5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vMerge w:val="continue"/>
          </w:tcPr>
          <w:p>
            <w:pPr>
              <w:spacing w:after="0"/>
              <w:rPr>
                <w:sz w:val="13"/>
                <w:szCs w:val="13"/>
                <w:color w:val="auto"/>
              </w:rPr>
            </w:pPr>
          </w:p>
        </w:tc>
        <w:tc>
          <w:tcPr>
            <w:tcW w:w="9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2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160,593 (1)</w:t>
            </w:r>
          </w:p>
        </w:tc>
        <w:tc>
          <w:tcPr>
            <w:tcW w:w="0" w:type="dxa"/>
            <w:vAlign w:val="bottom"/>
          </w:tcPr>
          <w:p>
            <w:pPr>
              <w:spacing w:after="0"/>
              <w:rPr>
                <w:sz w:val="1"/>
                <w:szCs w:val="1"/>
                <w:color w:val="auto"/>
              </w:rPr>
            </w:pPr>
          </w:p>
        </w:tc>
      </w:tr>
      <w:tr>
        <w:trPr>
          <w:trHeight w:val="180"/>
        </w:trPr>
        <w:tc>
          <w:tcPr>
            <w:tcW w:w="128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400" w:type="dxa"/>
            <w:vAlign w:val="bottom"/>
            <w:tcBorders>
              <w:bottom w:val="single" w:sz="8" w:color="auto"/>
            </w:tcBorders>
          </w:tcPr>
          <w:p>
            <w:pPr>
              <w:spacing w:after="0"/>
              <w:rPr>
                <w:sz w:val="15"/>
                <w:szCs w:val="15"/>
                <w:color w:val="auto"/>
              </w:rPr>
            </w:pPr>
          </w:p>
        </w:tc>
        <w:tc>
          <w:tcPr>
            <w:tcW w:w="9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280" w:type="dxa"/>
            <w:vAlign w:val="bottom"/>
          </w:tcPr>
          <w:p>
            <w:pPr>
              <w:spacing w:after="0"/>
              <w:rPr>
                <w:sz w:val="19"/>
                <w:szCs w:val="19"/>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964"/>
        <w:spacing w:after="0"/>
        <w:rPr>
          <w:sz w:val="20"/>
          <w:szCs w:val="20"/>
          <w:color w:val="auto"/>
        </w:rPr>
      </w:pPr>
      <w:r>
        <w:rPr>
          <w:rFonts w:ascii="Times New Roman" w:cs="Times New Roman" w:eastAsia="Times New Roman" w:hAnsi="Times New Roman"/>
          <w:sz w:val="18"/>
          <w:szCs w:val="18"/>
          <w:color w:val="auto"/>
        </w:rPr>
        <w:t>  7,933,919 Shares of Common Stock (2)</w:t>
      </w:r>
    </w:p>
    <w:p>
      <w:pPr>
        <w:spacing w:after="0" w:line="36" w:lineRule="exact"/>
        <w:rPr>
          <w:sz w:val="20"/>
          <w:szCs w:val="20"/>
          <w:color w:val="auto"/>
        </w:rPr>
      </w:pPr>
    </w:p>
    <w:p>
      <w:pPr>
        <w:ind w:left="524" w:hanging="367"/>
        <w:spacing w:after="0"/>
        <w:tabs>
          <w:tab w:leader="none" w:pos="52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AGGREGATE AMOUNT BENEFICIALLY OWNED BY EACH REPORTING PERSON</w:t>
      </w:r>
    </w:p>
    <w:p>
      <w:pPr>
        <w:spacing w:after="0" w:line="25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8,094,512 Shares of Common Stock (1) (2)</w:t>
      </w:r>
    </w:p>
    <w:p>
      <w:pPr>
        <w:spacing w:after="0" w:line="3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24" w:hanging="98"/>
        <w:spacing w:after="0" w:line="207" w:lineRule="exact"/>
        <w:tabs>
          <w:tab w:leader="none" w:pos="624" w:val="left"/>
        </w:tabs>
        <w:numPr>
          <w:ilvl w:val="2"/>
          <w:numId w:val="4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23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 (3)</w:t>
      </w:r>
    </w:p>
    <w:p>
      <w:pPr>
        <w:spacing w:after="0" w:line="3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79" w:lineRule="exact"/>
        <w:rPr>
          <w:rFonts w:ascii="Times New Roman" w:cs="Times New Roman" w:eastAsia="Times New Roman" w:hAnsi="Times New Roman"/>
          <w:sz w:val="18"/>
          <w:szCs w:val="18"/>
          <w:color w:val="auto"/>
        </w:rPr>
      </w:pPr>
    </w:p>
    <w:p>
      <w:pPr>
        <w:ind w:left="424" w:right="160" w:hanging="424"/>
        <w:spacing w:after="0" w:line="261" w:lineRule="auto"/>
        <w:tabs>
          <w:tab w:leader="none" w:pos="42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160,593 shares subject to stock options granted to Terrance McGuire in his capacity as a director of the Issuer that are exercisable as of the date of filing this Statement (as defined in Item 1 below) or within 60 days thereafter.</w:t>
      </w:r>
    </w:p>
    <w:p>
      <w:pPr>
        <w:ind w:left="424" w:right="20" w:hanging="424"/>
        <w:spacing w:after="0" w:line="250" w:lineRule="auto"/>
        <w:tabs>
          <w:tab w:leader="none" w:pos="42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3,120,194 shares held of record by Polaris V, (ii) 60,814 shares held of record by Polaris EF V, (iii) 21,374 shares held of record by Polaris FF V, (iv) 31,198 shares held of record by Polaris SFF V, (v) 4,202,679 shares held of record by Polaris IX and (vi) 497,660 shares held of record by Polaris HCT. PVMC V is the general partner of each of Polaris V, Polaris EF V, Polaris FF V and Polaris SFF V and may be deemed to have shared voting, investment and dispositive power with respect to the securities held by each of Polaris V, Polaris EF V, Polaris FF V and Polaris SFF V. The PVMC V Managing Members are the managing members of PVMC V and may be deemed to have shared voting, investment and dispositive power with respect to the securities held by each of Polaris V, Polaris EF V, Polaris FF V and Polaris SFF V. PPGP IX is the general partner of Polaris IX and may be deemed to have shared voting, investment and dispositive power with respect to the securities held by Polaris IX. Terrance McGuire, an interest holder in PPGP IX and a member of the Issuer’s Board, and the PPGP IX Managing Members are the managing members of PPGP IX and may be deemed to have shared voting, investment and dispositive power with respect to the securities held by Polaris IX. PHCT GP is the general partner of Polaris HCT and may be deemed to have shared voting, investment and dispositive power with respect to the securities held by Polaris HCT. Terrance McGuire, an interest holder in PHCT GP and a member of the Issuer’s Board, and the PHCT GP Managing Members are the managing members of PHCT GP and may be deemed to have shared voting, investment and dispositive power with respect to the securities held by Polaris HCT.</w:t>
      </w:r>
    </w:p>
    <w:p>
      <w:pPr>
        <w:spacing w:after="0" w:line="5" w:lineRule="exact"/>
        <w:rPr>
          <w:rFonts w:ascii="Times New Roman" w:cs="Times New Roman" w:eastAsia="Times New Roman" w:hAnsi="Times New Roman"/>
          <w:sz w:val="18"/>
          <w:szCs w:val="18"/>
          <w:color w:val="auto"/>
        </w:rPr>
      </w:pPr>
    </w:p>
    <w:p>
      <w:pPr>
        <w:ind w:left="424" w:right="40" w:hanging="424"/>
        <w:spacing w:after="0" w:line="260" w:lineRule="auto"/>
        <w:tabs>
          <w:tab w:leader="none" w:pos="42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119,616,035 shares of Common Stock outstanding as of November 1, 2024, as set forth in the Form 10-Q, plus 160,593 shares subject to stock options held by Terrance McGuire and that are exercisable as of the date of the filing of this Statement or within 60 days thereafter.</w:t>
      </w:r>
    </w:p>
    <w:p>
      <w:pPr>
        <w:sectPr>
          <w:pgSz w:w="11900" w:h="16838" w:orient="portrait"/>
          <w:cols w:equalWidth="0" w:num="1">
            <w:col w:w="11024"/>
          </w:cols>
          <w:pgMar w:left="436" w:top="270" w:right="439" w:bottom="1440" w:gutter="0" w:footer="0" w:header="0"/>
        </w:sectPr>
      </w:pPr>
    </w:p>
    <w:bookmarkStart w:id="11" w:name="page12"/>
    <w:bookmarkEnd w:id="11"/>
    <w:tbl>
      <w:tblPr>
        <w:tblLayout w:type="fixed"/>
        <w:tblInd w:w="4"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00534A102</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244" w:hanging="87"/>
        <w:spacing w:after="0"/>
        <w:tabs>
          <w:tab w:leader="none" w:pos="244"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Jonathan Flint</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6111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14" w:lineRule="exact"/>
        <w:rPr>
          <w:sz w:val="20"/>
          <w:szCs w:val="20"/>
          <w:color w:val="auto"/>
        </w:rPr>
      </w:pPr>
    </w:p>
    <w:p>
      <w:pPr>
        <w:ind w:left="52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604" w:hanging="78"/>
        <w:spacing w:after="0"/>
        <w:tabs>
          <w:tab w:leader="none" w:pos="604" w:val="left"/>
        </w:tabs>
        <w:numPr>
          <w:ilvl w:val="1"/>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AF</w:t>
      </w:r>
    </w:p>
    <w:p>
      <w:pPr>
        <w:spacing w:after="0" w:line="70" w:lineRule="exact"/>
        <w:rPr>
          <w:rFonts w:ascii="Times New Roman" w:cs="Times New Roman" w:eastAsia="Times New Roman" w:hAnsi="Times New Roman"/>
          <w:sz w:val="15"/>
          <w:szCs w:val="15"/>
          <w:color w:val="auto"/>
        </w:rPr>
      </w:pPr>
    </w:p>
    <w:p>
      <w:pPr>
        <w:ind w:left="244" w:hanging="87"/>
        <w:spacing w:after="0"/>
        <w:tabs>
          <w:tab w:leader="none" w:pos="244"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 2(d) or 2(e)</w:t>
      </w:r>
    </w:p>
    <w:p>
      <w:pPr>
        <w:spacing w:after="0" w:line="222" w:lineRule="exact"/>
        <w:rPr>
          <w:rFonts w:ascii="Times New Roman" w:cs="Times New Roman" w:eastAsia="Times New Roman" w:hAnsi="Times New Roman"/>
          <w:sz w:val="17"/>
          <w:szCs w:val="17"/>
          <w:color w:val="auto"/>
        </w:rPr>
      </w:pPr>
    </w:p>
    <w:p>
      <w:pPr>
        <w:ind w:left="624" w:hanging="98"/>
        <w:spacing w:after="0" w:line="207" w:lineRule="exact"/>
        <w:tabs>
          <w:tab w:leader="none" w:pos="624" w:val="left"/>
        </w:tabs>
        <w:numPr>
          <w:ilvl w:val="1"/>
          <w:numId w:val="4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w:t>
      </w:r>
    </w:p>
    <w:p>
      <w:pPr>
        <w:spacing w:after="0" w:line="36" w:lineRule="exact"/>
        <w:rPr>
          <w:rFonts w:ascii="Times New Roman" w:cs="Times New Roman" w:eastAsia="Times New Roman" w:hAnsi="Times New Roman"/>
          <w:sz w:val="18"/>
          <w:szCs w:val="18"/>
          <w:color w:val="auto"/>
        </w:rPr>
      </w:pPr>
    </w:p>
    <w:p>
      <w:pPr>
        <w:ind w:left="1644" w:hanging="92"/>
        <w:spacing w:after="0"/>
        <w:tabs>
          <w:tab w:leader="none" w:pos="1644"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SOLE VOTING POWER</w:t>
      </w:r>
    </w:p>
    <w:p>
      <w:pPr>
        <w:spacing w:after="0" w:line="212" w:lineRule="exact"/>
        <w:rPr>
          <w:sz w:val="20"/>
          <w:szCs w:val="20"/>
          <w:color w:val="auto"/>
        </w:rPr>
      </w:pPr>
    </w:p>
    <w:tbl>
      <w:tblPr>
        <w:tblLayout w:type="fixed"/>
        <w:tblInd w:w="164" w:type="dxa"/>
        <w:tblCellMar>
          <w:top w:w="0" w:type="dxa"/>
          <w:left w:w="0" w:type="dxa"/>
          <w:bottom w:w="0" w:type="dxa"/>
          <w:right w:w="0" w:type="dxa"/>
        </w:tblCellMar>
      </w:tblP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Pr>
          <w:p>
            <w:pPr>
              <w:spacing w:after="0"/>
              <w:rPr>
                <w:sz w:val="19"/>
                <w:szCs w:val="19"/>
                <w:color w:val="auto"/>
              </w:rPr>
            </w:pP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400" w:type="dxa"/>
            <w:vAlign w:val="bottom"/>
            <w:tcBorders>
              <w:bottom w:val="single" w:sz="8" w:color="auto"/>
            </w:tcBorders>
          </w:tcPr>
          <w:p>
            <w:pPr>
              <w:spacing w:after="0"/>
              <w:rPr>
                <w:sz w:val="5"/>
                <w:szCs w:val="5"/>
                <w:color w:val="auto"/>
              </w:rPr>
            </w:pPr>
          </w:p>
        </w:tc>
        <w:tc>
          <w:tcPr>
            <w:tcW w:w="9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280" w:type="dxa"/>
            <w:vAlign w:val="bottom"/>
            <w:vMerge w:val="continue"/>
          </w:tcPr>
          <w:p>
            <w:pPr>
              <w:spacing w:after="0"/>
              <w:rPr>
                <w:sz w:val="10"/>
                <w:szCs w:val="10"/>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8</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104"/>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00" w:type="dxa"/>
            <w:vAlign w:val="bottom"/>
            <w:vMerge w:val="continue"/>
          </w:tcPr>
          <w:p>
            <w:pPr>
              <w:spacing w:after="0"/>
              <w:rPr>
                <w:sz w:val="9"/>
                <w:szCs w:val="9"/>
                <w:color w:val="auto"/>
              </w:rPr>
            </w:pPr>
          </w:p>
        </w:tc>
        <w:tc>
          <w:tcPr>
            <w:tcW w:w="9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28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9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3,233,580 Shares of Common Stock (1)</w:t>
            </w:r>
          </w:p>
        </w:tc>
        <w:tc>
          <w:tcPr>
            <w:tcW w:w="0" w:type="dxa"/>
            <w:vAlign w:val="bottom"/>
          </w:tcPr>
          <w:p>
            <w:pPr>
              <w:spacing w:after="0"/>
              <w:rPr>
                <w:sz w:val="1"/>
                <w:szCs w:val="1"/>
                <w:color w:val="auto"/>
              </w:rPr>
            </w:pPr>
          </w:p>
        </w:tc>
      </w:tr>
      <w:tr>
        <w:trPr>
          <w:trHeight w:val="120"/>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400" w:type="dxa"/>
            <w:vAlign w:val="bottom"/>
            <w:tcBorders>
              <w:bottom w:val="single" w:sz="8" w:color="auto"/>
            </w:tcBorders>
          </w:tcPr>
          <w:p>
            <w:pPr>
              <w:spacing w:after="0"/>
              <w:rPr>
                <w:sz w:val="10"/>
                <w:szCs w:val="10"/>
                <w:color w:val="auto"/>
              </w:rPr>
            </w:pPr>
          </w:p>
        </w:tc>
        <w:tc>
          <w:tcPr>
            <w:tcW w:w="90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280" w:type="dxa"/>
            <w:vAlign w:val="bottom"/>
            <w:vMerge w:val="continue"/>
          </w:tcPr>
          <w:p>
            <w:pPr>
              <w:spacing w:after="0"/>
              <w:rPr>
                <w:sz w:val="6"/>
                <w:szCs w:val="6"/>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9</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5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vMerge w:val="continue"/>
          </w:tcPr>
          <w:p>
            <w:pPr>
              <w:spacing w:after="0"/>
              <w:rPr>
                <w:sz w:val="13"/>
                <w:szCs w:val="13"/>
                <w:color w:val="auto"/>
              </w:rPr>
            </w:pPr>
          </w:p>
        </w:tc>
        <w:tc>
          <w:tcPr>
            <w:tcW w:w="9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2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80"/>
        </w:trPr>
        <w:tc>
          <w:tcPr>
            <w:tcW w:w="128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400" w:type="dxa"/>
            <w:vAlign w:val="bottom"/>
            <w:tcBorders>
              <w:bottom w:val="single" w:sz="8" w:color="auto"/>
            </w:tcBorders>
          </w:tcPr>
          <w:p>
            <w:pPr>
              <w:spacing w:after="0"/>
              <w:rPr>
                <w:sz w:val="15"/>
                <w:szCs w:val="15"/>
                <w:color w:val="auto"/>
              </w:rPr>
            </w:pPr>
          </w:p>
        </w:tc>
        <w:tc>
          <w:tcPr>
            <w:tcW w:w="9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280" w:type="dxa"/>
            <w:vAlign w:val="bottom"/>
          </w:tcPr>
          <w:p>
            <w:pPr>
              <w:spacing w:after="0"/>
              <w:rPr>
                <w:sz w:val="19"/>
                <w:szCs w:val="19"/>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964"/>
        <w:spacing w:after="0"/>
        <w:rPr>
          <w:sz w:val="20"/>
          <w:szCs w:val="20"/>
          <w:color w:val="auto"/>
        </w:rPr>
      </w:pPr>
      <w:r>
        <w:rPr>
          <w:rFonts w:ascii="Times New Roman" w:cs="Times New Roman" w:eastAsia="Times New Roman" w:hAnsi="Times New Roman"/>
          <w:sz w:val="18"/>
          <w:szCs w:val="18"/>
          <w:color w:val="auto"/>
        </w:rPr>
        <w:t>  3,233,580 Shares of Common Stock (1)</w:t>
      </w:r>
    </w:p>
    <w:p>
      <w:pPr>
        <w:spacing w:after="0" w:line="36" w:lineRule="exact"/>
        <w:rPr>
          <w:sz w:val="20"/>
          <w:szCs w:val="20"/>
          <w:color w:val="auto"/>
        </w:rPr>
      </w:pPr>
    </w:p>
    <w:p>
      <w:pPr>
        <w:ind w:left="524" w:hanging="367"/>
        <w:spacing w:after="0"/>
        <w:tabs>
          <w:tab w:leader="none" w:pos="52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AGGREGATE AMOUNT BENEFICIALLY OWNED BY EACH REPORTING PERSON</w:t>
      </w:r>
    </w:p>
    <w:p>
      <w:pPr>
        <w:spacing w:after="0" w:line="25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3,233,580 Shares of Common Stock (1)</w:t>
      </w:r>
    </w:p>
    <w:p>
      <w:pPr>
        <w:spacing w:after="0" w:line="3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24" w:hanging="98"/>
        <w:spacing w:after="0" w:line="207" w:lineRule="exact"/>
        <w:tabs>
          <w:tab w:leader="none" w:pos="624" w:val="left"/>
        </w:tabs>
        <w:numPr>
          <w:ilvl w:val="2"/>
          <w:numId w:val="4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23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 (2)</w:t>
      </w:r>
    </w:p>
    <w:p>
      <w:pPr>
        <w:spacing w:after="0" w:line="3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79" w:lineRule="exact"/>
        <w:rPr>
          <w:rFonts w:ascii="Times New Roman" w:cs="Times New Roman" w:eastAsia="Times New Roman" w:hAnsi="Times New Roman"/>
          <w:sz w:val="18"/>
          <w:szCs w:val="18"/>
          <w:color w:val="auto"/>
        </w:rPr>
      </w:pPr>
    </w:p>
    <w:p>
      <w:pPr>
        <w:ind w:left="424" w:right="40" w:hanging="424"/>
        <w:spacing w:after="0" w:line="253" w:lineRule="auto"/>
        <w:tabs>
          <w:tab w:leader="none" w:pos="42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3,120,194 shares held of record by Polaris V, (ii) 60,814 shares held of record by Polaris EF V, (iii) 21,374 shares held of record by Polaris FF V, and (iv) 31,198 shares held of record by Polaris SFF V. PVMC V is the general partner of each of Polaris V, Polaris EF V, Polaris FF V and Polaris SFF V and may be deemed to have shared voting, investment and dispositive power with respect to the securities held by each of Polaris V, Polaris EF V, Polaris FF V and Polaris SFF V. The PVMC V Managing Members are the managing members of PVMC V and may be deemed to have shared voting, investment and dispositive power with respect to the securities held by each of Polaris V, Polaris EF V, Polaris FF V and Polaris SFF V.</w:t>
      </w:r>
    </w:p>
    <w:p>
      <w:pPr>
        <w:spacing w:after="0" w:line="5"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119,616,035 shares of Common Stock outstanding as of November 1, 2024, as set forth in the Form 10-Q.</w:t>
      </w:r>
    </w:p>
    <w:p>
      <w:pPr>
        <w:sectPr>
          <w:pgSz w:w="11900" w:h="16838" w:orient="portrait"/>
          <w:cols w:equalWidth="0" w:num="1">
            <w:col w:w="11024"/>
          </w:cols>
          <w:pgMar w:left="436" w:top="270" w:right="439" w:bottom="1440" w:gutter="0" w:footer="0" w:header="0"/>
        </w:sectPr>
      </w:pPr>
    </w:p>
    <w:bookmarkStart w:id="12" w:name="page13"/>
    <w:bookmarkEnd w:id="12"/>
    <w:tbl>
      <w:tblPr>
        <w:tblLayout w:type="fixed"/>
        <w:tblInd w:w="4"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00534A102</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2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21" w:lineRule="exact"/>
        <w:rPr>
          <w:sz w:val="20"/>
          <w:szCs w:val="20"/>
          <w:color w:val="auto"/>
        </w:rPr>
      </w:pPr>
    </w:p>
    <w:p>
      <w:pPr>
        <w:ind w:left="4" w:right="160"/>
        <w:spacing w:after="0" w:line="258" w:lineRule="auto"/>
        <w:rPr>
          <w:sz w:val="20"/>
          <w:szCs w:val="20"/>
          <w:color w:val="auto"/>
        </w:rPr>
      </w:pPr>
      <w:r>
        <w:rPr>
          <w:rFonts w:ascii="Times New Roman" w:cs="Times New Roman" w:eastAsia="Times New Roman" w:hAnsi="Times New Roman"/>
          <w:sz w:val="18"/>
          <w:szCs w:val="18"/>
          <w:color w:val="auto"/>
        </w:rPr>
        <w:t>This Amendment No. 4 (this “</w:t>
      </w:r>
      <w:r>
        <w:rPr>
          <w:rFonts w:ascii="Times New Roman" w:cs="Times New Roman" w:eastAsia="Times New Roman" w:hAnsi="Times New Roman"/>
          <w:sz w:val="18"/>
          <w:szCs w:val="18"/>
          <w:u w:val="single" w:color="auto"/>
          <w:color w:val="auto"/>
        </w:rPr>
        <w:t>Amendment No. 4</w:t>
      </w:r>
      <w:r>
        <w:rPr>
          <w:rFonts w:ascii="Times New Roman" w:cs="Times New Roman" w:eastAsia="Times New Roman" w:hAnsi="Times New Roman"/>
          <w:sz w:val="18"/>
          <w:szCs w:val="18"/>
          <w:color w:val="auto"/>
        </w:rPr>
        <w:t>”) amends and supplements the Schedule 13D originally filed by the Reporting Persons with the Commission on August 20, 2021, as amended and supplemented on March 30, 2022, April 26, 2022, and June 24, 2022 (as amended, the “</w:t>
      </w:r>
      <w:r>
        <w:rPr>
          <w:rFonts w:ascii="Times New Roman" w:cs="Times New Roman" w:eastAsia="Times New Roman" w:hAnsi="Times New Roman"/>
          <w:sz w:val="18"/>
          <w:szCs w:val="18"/>
          <w:u w:val="single" w:color="auto"/>
          <w:color w:val="auto"/>
        </w:rPr>
        <w:t>Original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13D</w:t>
      </w:r>
      <w:r>
        <w:rPr>
          <w:rFonts w:ascii="Times New Roman" w:cs="Times New Roman" w:eastAsia="Times New Roman" w:hAnsi="Times New Roman"/>
          <w:sz w:val="18"/>
          <w:szCs w:val="18"/>
          <w:color w:val="auto"/>
        </w:rPr>
        <w:t>”). Only those items that are hereby reported are amended; all other items reported in the Original Schedule 13D remain unchanged. Information given in response to each item shall be deemed incorporated by reference in all other items, as applicable. Capitalized terms not defined in this Amendment No. 4 have the meanings ascribed to them in the Original Schedule 13D.</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1. Security and Issuer.</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Item 1 of the Original Schedule 13D is hereby amended and restated in its entirety as set forth below:</w:t>
      </w:r>
    </w:p>
    <w:p>
      <w:pPr>
        <w:spacing w:after="0" w:line="117" w:lineRule="exact"/>
        <w:rPr>
          <w:sz w:val="20"/>
          <w:szCs w:val="20"/>
          <w:color w:val="auto"/>
        </w:rPr>
      </w:pPr>
    </w:p>
    <w:p>
      <w:pPr>
        <w:jc w:val="both"/>
        <w:ind w:left="4" w:right="100"/>
        <w:spacing w:after="0" w:line="266" w:lineRule="auto"/>
        <w:rPr>
          <w:sz w:val="20"/>
          <w:szCs w:val="20"/>
          <w:color w:val="auto"/>
        </w:rPr>
      </w:pPr>
      <w:r>
        <w:rPr>
          <w:rFonts w:ascii="Times New Roman" w:cs="Times New Roman" w:eastAsia="Times New Roman" w:hAnsi="Times New Roman"/>
          <w:sz w:val="18"/>
          <w:szCs w:val="18"/>
          <w:color w:val="auto"/>
        </w:rPr>
        <w:t>“This joint statement on Schedule 13D (this “</w:t>
      </w: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 is filed with respect to the common stock, par value $0.0001 per share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Invivyd, Inc. (previously known as Adagio Therapeutics, Inc.), a Delaware corporation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The address of the principal executive offices of the Issuer is 1601 Trapelo Road, Suite 178, Waltham, MA 02451.”</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2. Identity and Background.</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Item 2(b) of the Original Schedule 13D is hereby amended and restated in its entirety as set forth below:</w:t>
      </w:r>
    </w:p>
    <w:p>
      <w:pPr>
        <w:spacing w:after="0" w:line="117" w:lineRule="exact"/>
        <w:rPr>
          <w:sz w:val="20"/>
          <w:szCs w:val="20"/>
          <w:color w:val="auto"/>
        </w:rPr>
      </w:pPr>
    </w:p>
    <w:p>
      <w:pPr>
        <w:ind w:left="4" w:right="220"/>
        <w:spacing w:after="0" w:line="213" w:lineRule="auto"/>
        <w:rPr>
          <w:sz w:val="20"/>
          <w:szCs w:val="20"/>
          <w:color w:val="auto"/>
        </w:rPr>
      </w:pPr>
      <w:r>
        <w:rPr>
          <w:rFonts w:ascii="Times New Roman" w:cs="Times New Roman" w:eastAsia="Times New Roman" w:hAnsi="Times New Roman"/>
          <w:sz w:val="18"/>
          <w:szCs w:val="18"/>
          <w:color w:val="auto"/>
        </w:rPr>
        <w:t>“(b) The address of the principal offices of each Reporting Entity and the business address of each Reporting Individual is One Marina Park Drive, 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Boston, MA 02210.”</w:t>
      </w:r>
    </w:p>
    <w:p>
      <w:pPr>
        <w:spacing w:after="0" w:line="3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Item 5 of the Original Schedule 13D is hereby supplemented and amended, as follows: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 and (b) See Items 7-11 and 13 of the cover pages of this Amendment No. 4.</w:t>
      </w:r>
    </w:p>
    <w:p>
      <w:pPr>
        <w:spacing w:after="0" w:line="225" w:lineRule="exact"/>
        <w:rPr>
          <w:sz w:val="20"/>
          <w:szCs w:val="20"/>
          <w:color w:val="auto"/>
        </w:rPr>
      </w:pPr>
    </w:p>
    <w:p>
      <w:pPr>
        <w:ind w:left="4" w:right="120" w:hanging="4"/>
        <w:spacing w:after="0" w:line="282" w:lineRule="auto"/>
        <w:tabs>
          <w:tab w:leader="none" w:pos="24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9, 2024, Polaris IX sold 150,000 shares of Common Stock at a weighted average price per share of $0.6104 for aggregate proceeds of approximately $91,560.00.</w:t>
      </w:r>
    </w:p>
    <w:p>
      <w:pPr>
        <w:spacing w:after="0" w:line="162" w:lineRule="exact"/>
        <w:rPr>
          <w:sz w:val="20"/>
          <w:szCs w:val="20"/>
          <w:color w:val="auto"/>
        </w:rPr>
      </w:pPr>
    </w:p>
    <w:p>
      <w:pPr>
        <w:ind w:left="4" w:right="280"/>
        <w:spacing w:after="0" w:line="282" w:lineRule="auto"/>
        <w:rPr>
          <w:sz w:val="20"/>
          <w:szCs w:val="20"/>
          <w:color w:val="auto"/>
        </w:rPr>
      </w:pPr>
      <w:r>
        <w:rPr>
          <w:rFonts w:ascii="Times New Roman" w:cs="Times New Roman" w:eastAsia="Times New Roman" w:hAnsi="Times New Roman"/>
          <w:sz w:val="18"/>
          <w:szCs w:val="18"/>
          <w:color w:val="auto"/>
        </w:rPr>
        <w:t>On December 10, 2024, Polaris IX sold 175,000 shares of Common Stock at a weighted average price per share of $0.5886 for aggregate proceeds of approximately $103,005.00.</w:t>
      </w:r>
    </w:p>
    <w:p>
      <w:pPr>
        <w:spacing w:after="0" w:line="162" w:lineRule="exact"/>
        <w:rPr>
          <w:sz w:val="20"/>
          <w:szCs w:val="20"/>
          <w:color w:val="auto"/>
        </w:rPr>
      </w:pPr>
    </w:p>
    <w:p>
      <w:pPr>
        <w:ind w:left="4" w:right="280"/>
        <w:spacing w:after="0" w:line="282" w:lineRule="auto"/>
        <w:rPr>
          <w:sz w:val="20"/>
          <w:szCs w:val="20"/>
          <w:color w:val="auto"/>
        </w:rPr>
      </w:pPr>
      <w:r>
        <w:rPr>
          <w:rFonts w:ascii="Times New Roman" w:cs="Times New Roman" w:eastAsia="Times New Roman" w:hAnsi="Times New Roman"/>
          <w:sz w:val="18"/>
          <w:szCs w:val="18"/>
          <w:color w:val="auto"/>
        </w:rPr>
        <w:t>On December 11, 2024, Polaris IX sold 160,400 shares of Common Stock at a weighted average price per share of $0.5911 for aggregate proceeds of approximately $94,812.44.</w:t>
      </w:r>
    </w:p>
    <w:p>
      <w:pPr>
        <w:sectPr>
          <w:pgSz w:w="11900" w:h="16838" w:orient="portrait"/>
          <w:cols w:equalWidth="0" w:num="1">
            <w:col w:w="11024"/>
          </w:cols>
          <w:pgMar w:left="436" w:top="270" w:right="439" w:bottom="1440" w:gutter="0" w:footer="0" w:header="0"/>
        </w:sectPr>
      </w:pPr>
    </w:p>
    <w:bookmarkStart w:id="13" w:name="page14"/>
    <w:bookmarkEnd w:id="13"/>
    <w:p>
      <w:pPr>
        <w:ind w:left="4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12, 2024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POLARIS VENTURE PARTNERS V, L.P.</w:t>
      </w:r>
    </w:p>
    <w:p>
      <w:pPr>
        <w:spacing w:after="0" w:line="2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Polaris Venture Management Co. V, L.L.C.</w:t>
      </w:r>
    </w:p>
    <w:p>
      <w:pPr>
        <w:spacing w:after="0" w:line="20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17145</wp:posOffset>
            </wp:positionV>
            <wp:extent cx="24345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POLARIS VENTURE PARTNERS ENTREPRENEURS’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 V, L.P.</w:t>
      </w:r>
    </w:p>
    <w:p>
      <w:pPr>
        <w:spacing w:after="0" w:line="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Polaris Venture Management Co. V, L.L.C.</w:t>
      </w:r>
    </w:p>
    <w:p>
      <w:pPr>
        <w:spacing w:after="0" w:line="20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17145</wp:posOffset>
            </wp:positionV>
            <wp:extent cx="24345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POLARIS VENTURE PARTNERS FOUNDERS’ FUND V,</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L.P.</w:t>
      </w:r>
    </w:p>
    <w:p>
      <w:pPr>
        <w:sectPr>
          <w:pgSz w:w="11900" w:h="16838" w:orient="portrait"/>
          <w:cols w:equalWidth="0" w:num="1">
            <w:col w:w="10460"/>
          </w:cols>
          <w:pgMar w:left="440" w:top="266" w:right="999" w:bottom="1440" w:gutter="0" w:footer="0" w:header="0"/>
        </w:sectPr>
      </w:pP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Polaris Venture Management Co. V, L.L.C.</w:t>
      </w:r>
    </w:p>
    <w:p>
      <w:pPr>
        <w:spacing w:after="0" w:line="200" w:lineRule="exact"/>
        <w:rPr>
          <w:sz w:val="20"/>
          <w:szCs w:val="20"/>
          <w:color w:val="auto"/>
        </w:rPr>
      </w:pPr>
    </w:p>
    <w:p>
      <w:pPr>
        <w:sectPr>
          <w:pgSz w:w="11900" w:h="16838" w:orient="portrait"/>
          <w:cols w:equalWidth="0" w:num="2">
            <w:col w:w="260" w:space="360"/>
            <w:col w:w="9840"/>
          </w:cols>
          <w:pgMar w:left="440" w:top="266" w:right="999" w:bottom="1440" w:gutter="0" w:footer="0" w:header="0"/>
          <w:type w:val="continuous"/>
        </w:sectPr>
      </w:pPr>
    </w:p>
    <w:p>
      <w:pPr>
        <w:spacing w:after="0" w:line="18"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31750</wp:posOffset>
            </wp:positionV>
            <wp:extent cx="24345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ectPr>
          <w:pgSz w:w="11900" w:h="16838" w:orient="portrait"/>
          <w:cols w:equalWidth="0" w:num="1">
            <w:col w:w="10460"/>
          </w:cols>
          <w:pgMar w:left="440" w:top="266" w:right="999" w:bottom="1440" w:gutter="0" w:footer="0" w:header="0"/>
          <w:type w:val="continuous"/>
        </w:sectPr>
      </w:pP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POLARIS VENTURE PARTNERS SPECIAL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FOUNDERS’ FUND V, L.P.</w:t>
      </w:r>
    </w:p>
    <w:p>
      <w:pPr>
        <w:spacing w:after="0" w:line="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Polaris Venture Management Co. V, L.L.C.</w:t>
      </w:r>
    </w:p>
    <w:p>
      <w:pPr>
        <w:spacing w:after="0" w:line="20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17145</wp:posOffset>
            </wp:positionV>
            <wp:extent cx="24345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POLARIS VENTURE MANAGEMENT CO. V,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38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POLARIS PARTNERS IX, L.P.</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Polaris Partners GP IX, L.L.C.</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Lauren Crockett</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Lauren Crockett</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Counsel</w:t>
            </w:r>
          </w:p>
        </w:tc>
      </w:tr>
    </w:tbl>
    <w:p>
      <w:pPr>
        <w:sectPr>
          <w:pgSz w:w="11900" w:h="16838" w:orient="portrait"/>
          <w:cols w:equalWidth="0" w:num="1">
            <w:col w:w="10460"/>
          </w:cols>
          <w:pgMar w:left="440" w:top="266" w:right="99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POLARIS PARTNERS GP IX,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Lauren Crockett</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Lauren Crockett</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Counsel</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POLARIS HEALTHCARE TECHNOLOGY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OPPORTUNITIES FUND, L.P.</w:t>
      </w:r>
    </w:p>
    <w:p>
      <w:pPr>
        <w:spacing w:after="0" w:line="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Polaris Healthcare Technology Opportunities Fund</w:t>
      </w:r>
    </w:p>
    <w:p>
      <w:pPr>
        <w:spacing w:after="0" w:line="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GP, L.L.C.</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Lauren Crockett</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Lauren Crockett</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Counsel</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POLARIS HEALTHCARE TECHNOLOGY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OPPORTUNITIES FUND GP, L.L.C.</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Lauren Crockett</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Lauren Crockett</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Counsel</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TERRANCE MCGUIRE</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400"/>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JONATHAN FLINT</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0</wp:posOffset>
            </wp:positionV>
            <wp:extent cx="243459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Lauren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17145</wp:posOffset>
            </wp:positionV>
            <wp:extent cx="24345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Name:</w:t>
        <w:tab/>
        <w:t>Lauren Crockett</w:t>
      </w:r>
    </w:p>
    <w:p>
      <w:pPr>
        <w:spacing w:after="0" w:line="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Attorney-in-Fact</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This Amendment was executed pursuant to a Power of Attorney. Note that copies of the applicable Powers of Attorney are already on file with the appropriate agencies.]</w:t>
      </w:r>
    </w:p>
    <w:sectPr>
      <w:pgSz w:w="11900" w:h="16838" w:orient="portrait"/>
      <w:cols w:equalWidth="0" w:num="1">
        <w:col w:w="10740"/>
      </w:cols>
      <w:pgMar w:left="440" w:top="270"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
      <w:numFmt w:val="bullet"/>
      <w:start w:val="1"/>
    </w:lvl>
    <w:lvl w:ilvl="1">
      <w:lvlJc w:val="left"/>
      <w:lvlText w:val=" "/>
      <w:numFmt w:val="bullet"/>
      <w:start w:val="1"/>
    </w:lvl>
  </w:abstractNum>
  <w:abstractNum w:abstractNumId="2">
    <w:nsid w:val="8EDBDAB"/>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3">
    <w:nsid w:val="79838CB2"/>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4">
    <w:nsid w:val="4353D0CD"/>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5">
    <w:nsid w:val="B03E0C6"/>
    <w:multiLevelType w:val="hybridMultilevel"/>
    <w:lvl w:ilvl="0">
      <w:lvlJc w:val="left"/>
      <w:lvlText w:val=" "/>
      <w:numFmt w:val="bullet"/>
      <w:start w:val="1"/>
    </w:lvl>
    <w:lvl w:ilvl="1">
      <w:lvlJc w:val="left"/>
      <w:lvlText w:val=" "/>
      <w:numFmt w:val="bullet"/>
      <w:start w:val="1"/>
    </w:lvl>
  </w:abstractNum>
  <w:abstractNum w:abstractNumId="6">
    <w:nsid w:val="189A769B"/>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7">
    <w:nsid w:val="54E49EB4"/>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8">
    <w:nsid w:val="71F32454"/>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9">
    <w:nsid w:val="2CA88611"/>
    <w:multiLevelType w:val="hybridMultilevel"/>
    <w:lvl w:ilvl="0">
      <w:lvlJc w:val="left"/>
      <w:lvlText w:val=" "/>
      <w:numFmt w:val="bullet"/>
      <w:start w:val="1"/>
    </w:lvl>
    <w:lvl w:ilvl="1">
      <w:lvlJc w:val="left"/>
      <w:lvlText w:val=" "/>
      <w:numFmt w:val="bullet"/>
      <w:start w:val="1"/>
    </w:lvl>
  </w:abstractNum>
  <w:abstractNum w:abstractNumId="10">
    <w:nsid w:val="836C40E"/>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1">
    <w:nsid w:val="2901D82"/>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12">
    <w:nsid w:val="3A95F874"/>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13">
    <w:nsid w:val="8138641"/>
    <w:multiLevelType w:val="hybridMultilevel"/>
    <w:lvl w:ilvl="0">
      <w:lvlJc w:val="left"/>
      <w:lvlText w:val=" "/>
      <w:numFmt w:val="bullet"/>
      <w:start w:val="1"/>
    </w:lvl>
    <w:lvl w:ilvl="1">
      <w:lvlJc w:val="left"/>
      <w:lvlText w:val=" "/>
      <w:numFmt w:val="bullet"/>
      <w:start w:val="1"/>
    </w:lvl>
  </w:abstractNum>
  <w:abstractNum w:abstractNumId="14">
    <w:nsid w:val="1E7FF521"/>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5">
    <w:nsid w:val="7C3DBD3D"/>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16">
    <w:nsid w:val="737B8DDC"/>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17">
    <w:nsid w:val="6CEAF087"/>
    <w:multiLevelType w:val="hybridMultilevel"/>
    <w:lvl w:ilvl="0">
      <w:lvlJc w:val="left"/>
      <w:lvlText w:val=" "/>
      <w:numFmt w:val="bullet"/>
      <w:start w:val="1"/>
    </w:lvl>
    <w:lvl w:ilvl="1">
      <w:lvlJc w:val="left"/>
      <w:lvlText w:val=" "/>
      <w:numFmt w:val="bullet"/>
      <w:start w:val="1"/>
    </w:lvl>
  </w:abstractNum>
  <w:abstractNum w:abstractNumId="18">
    <w:nsid w:val="22221A70"/>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9">
    <w:nsid w:val="4516DDE9"/>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20">
    <w:nsid w:val="3006C83E"/>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21">
    <w:nsid w:val="614FD4A1"/>
    <w:multiLevelType w:val="hybridMultilevel"/>
    <w:lvl w:ilvl="0">
      <w:lvlJc w:val="left"/>
      <w:lvlText w:val=" "/>
      <w:numFmt w:val="bullet"/>
      <w:start w:val="1"/>
    </w:lvl>
    <w:lvl w:ilvl="1">
      <w:lvlJc w:val="left"/>
      <w:lvlText w:val=" "/>
      <w:numFmt w:val="bullet"/>
      <w:start w:val="1"/>
    </w:lvl>
  </w:abstractNum>
  <w:abstractNum w:abstractNumId="22">
    <w:nsid w:val="419AC241"/>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23">
    <w:nsid w:val="5577F8E1"/>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24">
    <w:nsid w:val="440BADFC"/>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25">
    <w:nsid w:val="5072367"/>
    <w:multiLevelType w:val="hybridMultilevel"/>
    <w:lvl w:ilvl="0">
      <w:lvlJc w:val="left"/>
      <w:lvlText w:val=" "/>
      <w:numFmt w:val="bullet"/>
      <w:start w:val="1"/>
    </w:lvl>
    <w:lvl w:ilvl="1">
      <w:lvlJc w:val="left"/>
      <w:lvlText w:val=" "/>
      <w:numFmt w:val="bullet"/>
      <w:start w:val="1"/>
    </w:lvl>
  </w:abstractNum>
  <w:abstractNum w:abstractNumId="26">
    <w:nsid w:val="3804823E"/>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27">
    <w:nsid w:val="77465F01"/>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28">
    <w:nsid w:val="7724C67E"/>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29">
    <w:nsid w:val="5C482A97"/>
    <w:multiLevelType w:val="hybridMultilevel"/>
    <w:lvl w:ilvl="0">
      <w:lvlJc w:val="left"/>
      <w:lvlText w:val=" "/>
      <w:numFmt w:val="bullet"/>
      <w:start w:val="1"/>
    </w:lvl>
    <w:lvl w:ilvl="1">
      <w:lvlJc w:val="left"/>
      <w:lvlText w:val=" "/>
      <w:numFmt w:val="bullet"/>
      <w:start w:val="1"/>
    </w:lvl>
  </w:abstractNum>
  <w:abstractNum w:abstractNumId="30">
    <w:nsid w:val="2463B9EA"/>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31">
    <w:nsid w:val="5E884ADC"/>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32">
    <w:nsid w:val="51EAD36B"/>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33">
    <w:nsid w:val="2D517796"/>
    <w:multiLevelType w:val="hybridMultilevel"/>
    <w:lvl w:ilvl="0">
      <w:lvlJc w:val="left"/>
      <w:lvlText w:val=" "/>
      <w:numFmt w:val="bullet"/>
      <w:start w:val="1"/>
    </w:lvl>
    <w:lvl w:ilvl="1">
      <w:lvlJc w:val="left"/>
      <w:lvlText w:val=" "/>
      <w:numFmt w:val="bullet"/>
      <w:start w:val="1"/>
    </w:lvl>
  </w:abstractNum>
  <w:abstractNum w:abstractNumId="34">
    <w:nsid w:val="580BD78F"/>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35">
    <w:nsid w:val="153EA438"/>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36">
    <w:nsid w:val="3855585C"/>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37">
    <w:nsid w:val="70A64E2A"/>
    <w:multiLevelType w:val="hybridMultilevel"/>
    <w:lvl w:ilvl="0">
      <w:lvlJc w:val="left"/>
      <w:lvlText w:val=" "/>
      <w:numFmt w:val="bullet"/>
      <w:start w:val="1"/>
    </w:lvl>
    <w:lvl w:ilvl="1">
      <w:lvlJc w:val="left"/>
      <w:lvlText w:val=" "/>
      <w:numFmt w:val="bullet"/>
      <w:start w:val="1"/>
    </w:lvl>
  </w:abstractNum>
  <w:abstractNum w:abstractNumId="38">
    <w:nsid w:val="6A2342EC"/>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39">
    <w:nsid w:val="2A487CB0"/>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40">
    <w:nsid w:val="1D4ED43B"/>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41">
    <w:nsid w:val="725A06FB"/>
    <w:multiLevelType w:val="hybridMultilevel"/>
    <w:lvl w:ilvl="0">
      <w:lvlJc w:val="left"/>
      <w:lvlText w:val=" "/>
      <w:numFmt w:val="bullet"/>
      <w:start w:val="1"/>
    </w:lvl>
    <w:lvl w:ilvl="1">
      <w:lvlJc w:val="left"/>
      <w:lvlText w:val=" "/>
      <w:numFmt w:val="bullet"/>
      <w:start w:val="1"/>
    </w:lvl>
  </w:abstractNum>
  <w:abstractNum w:abstractNumId="42">
    <w:nsid w:val="2CD89A32"/>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43">
    <w:nsid w:val="57E4CCAF"/>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44">
    <w:nsid w:val="7A6D8D3C"/>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45">
    <w:nsid w:val="4B588F54"/>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2024-12-12T15:47:23Z</dcterms:created>
  <dcterms:modified xsi:type="dcterms:W3CDTF">2024-12-12T15:47:23Z</dcterms:modified>
</cp:coreProperties>
</file>