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vvd-20260723.htm"/>
      <w:bookmarkStart w:id="1" w:name="ksivvd20260723"/>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July 23, 2026</w:t>
      </w:r>
    </w:p>
    <w:p>
      <w:pPr>
        <w:pStyle w:val="TextBody"/>
        <w:pBdr>
          <w:bottom w:val="single" w:sz="8" w:space="1" w:color="000000"/>
        </w:pBdr>
        <w:bidi w:val="0"/>
        <w:spacing w:before="0" w:after="4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209 Church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Haven, 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(781) 819-0080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72" w:type="dxa"/>
        <w:jc w:val="left"/>
        <w:tblInd w:w="0" w:type="dxa"/>
        <w:tblLayout w:type="fixed"/>
        <w:tblCellMar>
          <w:top w:w="28" w:type="dxa"/>
          <w:left w:w="28" w:type="dxa"/>
          <w:bottom w:w="28" w:type="dxa"/>
          <w:right w:w="28" w:type="dxa"/>
        </w:tblCellMar>
      </w:tblPr>
      <w:tblGrid>
        <w:gridCol w:w="331"/>
        <w:gridCol w:w="9241"/>
      </w:tblGrid>
      <w:tr>
        <w:trPr/>
        <w:tc>
          <w:tcPr>
            <w:tcW w:w="331"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14d-2(b) under the Exchange Act (17 CFR 240.14d-2(b))</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676" w:type="dxa"/>
        <w:jc w:val="left"/>
        <w:tblInd w:w="0" w:type="dxa"/>
        <w:tblLayout w:type="fixed"/>
        <w:tblCellMar>
          <w:top w:w="28" w:type="dxa"/>
          <w:left w:w="28" w:type="dxa"/>
          <w:bottom w:w="28" w:type="dxa"/>
          <w:right w:w="28" w:type="dxa"/>
        </w:tblCellMar>
      </w:tblPr>
      <w:tblGrid>
        <w:gridCol w:w="3841"/>
        <w:gridCol w:w="109"/>
        <w:gridCol w:w="826"/>
        <w:gridCol w:w="109"/>
        <w:gridCol w:w="2791"/>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IVVD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9362" w:type="dxa"/>
        <w:jc w:val="left"/>
        <w:tblInd w:w="0" w:type="dxa"/>
        <w:tblLayout w:type="fixed"/>
        <w:tblCellMar>
          <w:top w:w="28" w:type="dxa"/>
          <w:left w:w="28" w:type="dxa"/>
          <w:bottom w:w="28" w:type="dxa"/>
          <w:right w:w="28" w:type="dxa"/>
        </w:tblCellMar>
      </w:tblPr>
      <w:tblGrid>
        <w:gridCol w:w="961"/>
        <w:gridCol w:w="8401"/>
      </w:tblGrid>
      <w:tr>
        <w:trPr/>
        <w:tc>
          <w:tcPr>
            <w:tcW w:w="961" w:type="dxa"/>
            <w:tcBorders/>
            <w:vAlign w:val="center"/>
          </w:tcPr>
          <w:p>
            <w:pPr>
              <w:pStyle w:val="TableContents"/>
              <w:bidi w:val="0"/>
              <w:spacing w:before="0" w:after="283"/>
              <w:jc w:val="left"/>
              <w:rPr>
                <w:sz w:val="4"/>
                <w:szCs w:val="4"/>
              </w:rPr>
            </w:pPr>
            <w:r>
              <w:rPr>
                <w:sz w:val="4"/>
                <w:szCs w:val="4"/>
              </w:rPr>
            </w:r>
          </w:p>
        </w:tc>
        <w:tc>
          <w:tcPr>
            <w:tcW w:w="840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3.01.</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Notice of Delisting or Failure to Satisfy a Continued Listing Rule or Standard; Transfer of Listing.</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July 23, 2026, Invivyd, Inc. (the “Company”) received a deficiency letter (the “</w:t>
      </w:r>
      <w:r>
        <w:rPr>
          <w:rFonts w:ascii="Times New Roman" w:hAnsi="Times New Roman"/>
          <w:color w:val="212529"/>
          <w:sz w:val="20"/>
        </w:rPr>
        <w:t>Letter”)</w:t>
      </w:r>
      <w:r>
        <w:rPr>
          <w:rFonts w:ascii="Times New Roman" w:hAnsi="Times New Roman"/>
          <w:color w:val="000000"/>
          <w:sz w:val="20"/>
        </w:rPr>
        <w:t xml:space="preserve"> from the Nasdaq Listing Qualifications Department (the “Staff”) of the Nasdaq Stock Market LLC (“Nasdaq”) notifying the Company that, for a period of 30 consecutive business days, the bid price for the Company’s common stock, $0.0001 par value per share (the “Common Stock”), had </w:t>
      </w:r>
      <w:r>
        <w:rPr>
          <w:rFonts w:ascii="Times New Roman" w:hAnsi="Times New Roman"/>
          <w:color w:val="212529"/>
          <w:sz w:val="20"/>
        </w:rPr>
        <w:t>closed below the</w:t>
      </w:r>
      <w:r>
        <w:rPr>
          <w:rFonts w:ascii="Times New Roman" w:hAnsi="Times New Roman"/>
          <w:color w:val="000000"/>
          <w:sz w:val="20"/>
        </w:rPr>
        <w:t xml:space="preserve"> $1.00 per share </w:t>
      </w:r>
      <w:r>
        <w:rPr>
          <w:rFonts w:ascii="Times New Roman" w:hAnsi="Times New Roman"/>
          <w:color w:val="212529"/>
          <w:sz w:val="20"/>
        </w:rPr>
        <w:t>minimum</w:t>
      </w:r>
      <w:r>
        <w:rPr>
          <w:rFonts w:ascii="Times New Roman" w:hAnsi="Times New Roman"/>
          <w:color w:val="000000"/>
          <w:sz w:val="20"/>
        </w:rPr>
        <w:t xml:space="preserve"> required for continued listing on The Nasdaq Global Market pursuant to Nasdaq Listing Rule 5450(a)(1) (the “Minimum Bid Price Requirement”). The </w:t>
      </w:r>
      <w:r>
        <w:rPr>
          <w:rFonts w:ascii="Times New Roman" w:hAnsi="Times New Roman"/>
          <w:color w:val="212529"/>
          <w:sz w:val="20"/>
        </w:rPr>
        <w:t>Letter</w:t>
      </w:r>
      <w:r>
        <w:rPr>
          <w:rFonts w:ascii="Times New Roman" w:hAnsi="Times New Roman"/>
          <w:color w:val="000000"/>
          <w:sz w:val="20"/>
        </w:rPr>
        <w:t xml:space="preserve"> has no immediate effect on the listing of the Common Stock, which continues to trade on The Nasdaq Global Market under the symbol “IVVD” at this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Nasdaq Listing Rule 5810(c)(3)(A), the Company has until January 19, 2027 to regain compliance with the Minimum Bid Price Requirement (the “Initial Compliance Period”). To regain compliance, the closing bid price for the Common Stock must be at least $1.00 per share for a minimum of ten consecutive business days during the Initial Compliance Period, unless the Staff exercises its discretion to extend this ten-day period pursuant to Nasdaq Listing Rule 5810(c)(3)(H).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If the Company does not regain compliance with the Minimum Bid Price Requirement by January 19, 2027, the Company may be eligible for an additional 180 calendar day period to regain compliance (the “Second Compliance Period”). To qualify</w:t>
      </w:r>
      <w:r>
        <w:rPr>
          <w:rFonts w:ascii="Times New Roman" w:hAnsi="Times New Roman"/>
          <w:color w:val="212529"/>
          <w:sz w:val="20"/>
        </w:rPr>
        <w:t xml:space="preserve"> for the </w:t>
      </w:r>
      <w:r>
        <w:rPr>
          <w:rFonts w:ascii="Times New Roman" w:hAnsi="Times New Roman"/>
          <w:color w:val="000000"/>
          <w:sz w:val="20"/>
        </w:rPr>
        <w:t xml:space="preserve">Second Compliance Period, the Company would be required to transfer to The Nasdaq Capital Market (the “Capital Market”) and meet the continued listing requirement for market value of publicly held shares on the Capital Market and all other applicable requirements for initial listing on the Capital Market, except for the </w:t>
      </w:r>
      <w:r>
        <w:rPr>
          <w:rFonts w:ascii="Times New Roman" w:hAnsi="Times New Roman"/>
          <w:color w:val="212529"/>
          <w:sz w:val="20"/>
        </w:rPr>
        <w:t>Capital Market’s bid price requirement</w:t>
      </w:r>
      <w:r>
        <w:rPr>
          <w:rFonts w:ascii="Times New Roman" w:hAnsi="Times New Roman"/>
          <w:color w:val="000000"/>
          <w:sz w:val="20"/>
        </w:rPr>
        <w:t>. In addition, the Company would be required to notify Nasdaq of its intent to cure the deficiency during the Second Compliance Period. As part of its review process</w:t>
      </w:r>
      <w:r>
        <w:rPr>
          <w:rFonts w:ascii="Times New Roman" w:hAnsi="Times New Roman"/>
          <w:color w:val="212529"/>
          <w:sz w:val="20"/>
        </w:rPr>
        <w:t xml:space="preserve"> to determine whether the </w:t>
      </w:r>
      <w:r>
        <w:rPr>
          <w:rFonts w:ascii="Times New Roman" w:hAnsi="Times New Roman"/>
          <w:color w:val="000000"/>
          <w:sz w:val="20"/>
        </w:rPr>
        <w:t>Second Compliance Period</w:t>
      </w:r>
      <w:r>
        <w:rPr>
          <w:rFonts w:ascii="Times New Roman" w:hAnsi="Times New Roman"/>
          <w:color w:val="212529"/>
          <w:sz w:val="20"/>
        </w:rPr>
        <w:t xml:space="preserve"> would be granted to the Company</w:t>
      </w:r>
      <w:r>
        <w:rPr>
          <w:rFonts w:ascii="Times New Roman" w:hAnsi="Times New Roman"/>
          <w:color w:val="000000"/>
          <w:sz w:val="20"/>
        </w:rPr>
        <w:t xml:space="preserve">, the Staff would make a determination about whether it believes the Company will be able to cure the deficiency. If the Staff concludes that the Company will not be able to cure the deficiency, or if the Company does not regain compliance </w:t>
      </w:r>
      <w:r>
        <w:rPr>
          <w:rFonts w:ascii="Times New Roman" w:hAnsi="Times New Roman"/>
          <w:color w:val="212529"/>
          <w:sz w:val="20"/>
        </w:rPr>
        <w:t>within the allotted compliance period(s), including any extensions that may be granted by the Staff</w:t>
      </w:r>
      <w:r>
        <w:rPr>
          <w:rFonts w:ascii="Times New Roman" w:hAnsi="Times New Roman"/>
          <w:color w:val="000000"/>
          <w:sz w:val="20"/>
        </w:rPr>
        <w:t xml:space="preserve">, the Staff will provide written notice to the Company that the Common Stock will be subject to delisting. At that time, the Company may appeal the Staff’s delisting determination to a Nasdaq Hearings Panel (a “Panel”). However, there can be no assurance that, if the Company receives a delisting notice and appeals the delisting determination by the Staff to a Panel, such appeal would be successful.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intends to actively monitor the closing bid price for the Common Stock and, as appropriate, will consider implementing available options to resolve the deficiency and regain compliance with the Minimum Bid Price Requirement. However, there can be no assurance that the Company will be able to regain compliance with the Minimum Bid Price Requirement.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Cautionary Note Regarding Forward-Looking Statements</w:t>
      </w:r>
      <w:r>
        <w:rPr>
          <w:rFonts w:ascii="Times New Roman" w:hAnsi="Times New Roman"/>
          <w:color w:val="000000"/>
          <w:sz w:val="20"/>
        </w:rPr>
        <w:t>. This Current Report on Form 8-K contains forward-looking statements, including, but not limited to, statements regarding the Company’s ability to regain compliance with the Minimum Bid Price Requirement, the Company’s intentions to actively monitor the closing bid price of the Common Stock, anticipated actions to be taken by Nasdaq, and the Company’s plans to consider implementing available options to resolve the deficiency and regain compliance with the Minimum Bid Price Requirement. The Company’s actual results and the timing of events could differ materially from those anticipated in such forward-looking statements as a result of risks and uncertainties, including the risk that the Company may not regain compliance with the Minimum Bid Price Requirement, the risk that Nasdaq may not grant the Company relief from delisting if necessary, and the risk that the Company may not ultimately meet applicable Nasdaq requirements if any such relief is necessary, among other risks and uncertainties. A further description of the risks and uncertainties relating to the business of the Company is contained in the Company’s most recent annual report on Form 10-K and the Company’s other filings with the U.S. Securities and Exchange Commission (“SEC”), and in its future reports to be filed with the SEC and available at www.sec.gov. Forward-looking statements contained in this Current Report on Form 8-K are made as of this date, and the Company undertakes no duty to update such information whether as a result of new information, future events or otherwise, except as required under applicable law.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5977" w:type="dxa"/>
        <w:jc w:val="left"/>
        <w:tblInd w:w="0" w:type="dxa"/>
        <w:tblLayout w:type="fixed"/>
        <w:tblCellMar>
          <w:top w:w="28" w:type="dxa"/>
          <w:left w:w="28" w:type="dxa"/>
          <w:bottom w:w="28" w:type="dxa"/>
          <w:right w:w="28" w:type="dxa"/>
        </w:tblCellMar>
      </w:tblPr>
      <w:tblGrid>
        <w:gridCol w:w="1756"/>
        <w:gridCol w:w="109"/>
        <w:gridCol w:w="406"/>
        <w:gridCol w:w="3706"/>
      </w:tblGrid>
      <w:tr>
        <w:trPr/>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INVIVYD, INC.</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July 24, 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Andersen</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1129</Words>
  <Characters>6091</Characters>
  <CharactersWithSpaces>7194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