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133350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Invivyd,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001-40703</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88" w:lineRule="exact"/>
        <w:rPr>
          <w:sz w:val="24"/>
          <w:szCs w:val="24"/>
          <w:color w:val="auto"/>
        </w:rPr>
      </w:pPr>
    </w:p>
    <w:p>
      <w:pPr>
        <w:sectPr>
          <w:pgSz w:w="11900" w:h="16838" w:orient="portrait"/>
          <w:cols w:equalWidth="0" w:num="1">
            <w:col w:w="9019"/>
          </w:cols>
          <w:pgMar w:left="1440" w:top="305"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209 Church Street</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New Haven, CT</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06510</w:t>
      </w:r>
    </w:p>
    <w:p>
      <w:pPr>
        <w:spacing w:after="0" w:line="28"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90"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819-0080</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110490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5"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0"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4"/>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IVVD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37"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2"/>
          <w:szCs w:val="12"/>
          <w:color w:val="auto"/>
        </w:rPr>
        <w:t>On January 8, 2026, Invivyd, Inc. (the “Company”) issued a press release entitled “Invivyd Reports Preliminary Fourth Quarter 2025 Revenue and Recent Business Highlights” (the “Press Release”), which included the Company’s estimated fourth quarter 2025 PEMGARDA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(pemivibart) net product revenue and cash and cash equivalents as of December 31, 2025. The amounts included in the Press Release are preliminary and are subject to change upon completion of the Company’s financial closing controls and procedures for the quarter and year ended December 31, 2025, and finalization of the Company’s financial statements. The preliminary financial data included in the Press Release have been prepared by, and are the responsibility of, the Company’s management. These preliminary estimates have not been audited by the Company’s independent registered public accounting firm. Additional information and disclosures would be required for a more complete understanding of the Company’s financial position and results of operations as of December 31, 2025. A copy of the Press Release is filed herewith as Exhibit 99.1 and is incorporated by reference in this Item 2.02.</w:t>
      </w:r>
    </w:p>
    <w:p>
      <w:pPr>
        <w:spacing w:after="0" w:line="233"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On January 8, 2026, the Company issued the Press Release, a copy of which is filed herewith as Exhibit 99.1 and is incorporated by reference in this Item 8.01.</w:t>
      </w:r>
    </w:p>
    <w:p>
      <w:pPr>
        <w:spacing w:after="0" w:line="122"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On January 8, 2026, the Company posted an updated corporate presentation on its website at www.invivyd.com. A copy of the presentation is filed herewith as Exhibit 99.2 and is incorporated by reference in this Item 8.01.</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404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c>
          <w:tcPr>
            <w:tcW w:w="0" w:type="dxa"/>
            <w:vAlign w:val="bottom"/>
          </w:tcPr>
          <w:p>
            <w:pPr>
              <w:spacing w:after="0"/>
              <w:rPr>
                <w:sz w:val="1"/>
                <w:szCs w:val="1"/>
                <w:color w:val="auto"/>
              </w:rPr>
            </w:pPr>
          </w:p>
        </w:tc>
      </w:tr>
      <w:tr>
        <w:trPr>
          <w:trHeight w:val="227"/>
        </w:trPr>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(d) Exhibits</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6"/>
              </w:rPr>
              <w:t>Description</w:t>
            </w:r>
          </w:p>
        </w:tc>
        <w:tc>
          <w:tcPr>
            <w:tcW w:w="3540" w:type="dxa"/>
            <w:vAlign w:val="bottom"/>
            <w:gridSpan w:val="3"/>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No.</w:t>
            </w:r>
          </w:p>
        </w:tc>
        <w:tc>
          <w:tcPr>
            <w:tcW w:w="30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3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6"/>
                <w:szCs w:val="16"/>
                <w:color w:val="auto"/>
              </w:rPr>
            </w:pPr>
          </w:p>
        </w:tc>
        <w:tc>
          <w:tcPr>
            <w:tcW w:w="1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5"/>
              </w:rPr>
              <w:t>Press Release, dated January 8, 2026</w:t>
            </w:r>
          </w:p>
        </w:tc>
        <w:tc>
          <w:tcPr>
            <w:tcW w:w="2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00" w:type="dxa"/>
            <w:vAlign w:val="bottom"/>
          </w:tcPr>
          <w:p>
            <w:pPr>
              <w:spacing w:after="0"/>
              <w:rPr>
                <w:sz w:val="18"/>
                <w:szCs w:val="18"/>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Corporate Presentation, dated January 8, 2026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20"/>
                <w:szCs w:val="20"/>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INVIVYD,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January 8,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Jill Andersen</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Legal Officer and Corporate Secretary</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73406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4060" cy="18034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Invivyd Reports Preliminary Fourth Quarter 2025 Revenue and Recent Business Highlights</w:t>
      </w:r>
    </w:p>
    <w:p>
      <w:pPr>
        <w:spacing w:after="0" w:line="87" w:lineRule="exact"/>
        <w:rPr>
          <w:sz w:val="20"/>
          <w:szCs w:val="20"/>
          <w:color w:val="auto"/>
        </w:rPr>
      </w:pPr>
    </w:p>
    <w:p>
      <w:pPr>
        <w:ind w:left="1320" w:right="699" w:hanging="303"/>
        <w:spacing w:after="0" w:line="214"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Preliminary Q4 2025 PEMGARDA</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(pemivibart) net product revenue of $17.2 million, representing 25% growth year-over-year and 31% growth quarter-over-quarter</w:t>
      </w:r>
    </w:p>
    <w:p>
      <w:pPr>
        <w:spacing w:after="0" w:line="70" w:lineRule="exact"/>
        <w:rPr>
          <w:rFonts w:ascii="Times New Roman" w:cs="Times New Roman" w:eastAsia="Times New Roman" w:hAnsi="Times New Roman"/>
          <w:sz w:val="13"/>
          <w:szCs w:val="13"/>
          <w:color w:val="auto"/>
        </w:rPr>
      </w:pPr>
    </w:p>
    <w:p>
      <w:pPr>
        <w:ind w:left="1320" w:right="83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Preliminary ending 2025 cash and cash equivalents of $226.7 million after raising over $200 million from financing transactions in 2H 2025</w:t>
      </w:r>
    </w:p>
    <w:p>
      <w:pPr>
        <w:spacing w:after="0" w:line="52" w:lineRule="exact"/>
        <w:rPr>
          <w:rFonts w:ascii="Times New Roman" w:cs="Times New Roman" w:eastAsia="Times New Roman" w:hAnsi="Times New Roman"/>
          <w:sz w:val="13"/>
          <w:szCs w:val="13"/>
          <w:color w:val="auto"/>
        </w:rPr>
      </w:pPr>
    </w:p>
    <w:p>
      <w:pPr>
        <w:ind w:left="1320" w:right="79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Announced initiation of DECLARATION Phase 3 pivotal clinical trial of vaccine-alternative antibody VYD2311 to prevent COVID, with top-line data expected mid-2026; Fast Track designation for VYD2311 granted by FDA in December 2025</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Potential best-in-class RSV antibody VBY329 nominated for preclinical development</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Preclinical measles mAb candidate selection targeted for 1H 2026 for treatment and prevention of measles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Further updates to be provided in conjunction with Form 10-K filing and upcoming ordinary quarterly reporting</w:t>
      </w:r>
    </w:p>
    <w:p>
      <w:pPr>
        <w:spacing w:after="0" w:line="156" w:lineRule="exact"/>
        <w:rPr>
          <w:sz w:val="20"/>
          <w:szCs w:val="20"/>
          <w:color w:val="auto"/>
        </w:rPr>
      </w:pPr>
    </w:p>
    <w:p>
      <w:pPr>
        <w:ind w:left="640" w:right="1059"/>
        <w:spacing w:after="0" w:line="267" w:lineRule="auto"/>
        <w:rPr>
          <w:sz w:val="20"/>
          <w:szCs w:val="20"/>
          <w:color w:val="auto"/>
        </w:rPr>
      </w:pPr>
      <w:r>
        <w:rPr>
          <w:rFonts w:ascii="Times New Roman" w:cs="Times New Roman" w:eastAsia="Times New Roman" w:hAnsi="Times New Roman"/>
          <w:sz w:val="13"/>
          <w:szCs w:val="13"/>
          <w:color w:val="auto"/>
        </w:rPr>
        <w:t>NEW HAVEN, Conn., Jan. 08, 2026 (GLOBE NEWSWIRE) — Invivyd, Inc. (Nasdaq: IVVD) today announced preliminary fourth quarter (Q4) revenue and recent business highlights.</w:t>
      </w:r>
    </w:p>
    <w:p>
      <w:pPr>
        <w:spacing w:after="0" w:line="122"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2"/>
          <w:szCs w:val="12"/>
          <w:color w:val="auto"/>
        </w:rPr>
        <w:t>“We are pleased by strong top-line revenue growth of PEMGARDA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(pemivibart), which we believe is attributable to our commercial execution and the fundamental appeal of monoclonal antibody prophylaxis even in the face of declining COVID vaccination trends. We are actively preparing for the potential commercial launch of VYD2311, an accessible vaccine-alternative to prevent COVID, which, if approved, could represent a step-change from PEMGARDA, a specialty medicine for the immunocompromised,” noted Bill Duke, Chief Financial Officer of Invivyd. “With a strong balance sheet bolstered by our recent capital raises, we are well-positioned to support the DECLARATION pivotal clinical trial and VYD2311 commercial launch, if approved, and look forward to trial enrollment during the anticipated upcoming peak season of COVID infections.”</w:t>
      </w:r>
    </w:p>
    <w:p>
      <w:pPr>
        <w:spacing w:after="0" w:line="135"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“2026 will be a critical year for Invivyd and vulnerable people seeking relief from the continued burden of COVID as we execute our pivotal program and attempt to institute a new standard of care for COVID prophylaxis,” commented Marc Elia, Chairman of the Invivyd Board of Directors. “The company is also rapidly expanding its pipeline of monoclonal antibodies that can treat critical infectious diseases or provide important alternatives and complements to vaccination for the most vulnerable Americans. We are looking forward to providing a host of updates in the coming year across all of our programs that we believe can drive substantial medical and shareholder value creation.”</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Recent Business Highlights</w:t>
      </w:r>
    </w:p>
    <w:p>
      <w:pPr>
        <w:spacing w:after="0" w:line="87" w:lineRule="exact"/>
        <w:rPr>
          <w:sz w:val="20"/>
          <w:szCs w:val="20"/>
          <w:color w:val="auto"/>
        </w:rPr>
      </w:pPr>
    </w:p>
    <w:p>
      <w:pPr>
        <w:ind w:left="940" w:hanging="227"/>
        <w:spacing w:after="0"/>
        <w:tabs>
          <w:tab w:leader="none" w:pos="94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Clinical &amp; Regulatory Developments</w:t>
      </w:r>
    </w:p>
    <w:p>
      <w:pPr>
        <w:spacing w:after="0" w:line="89" w:lineRule="exact"/>
        <w:rPr>
          <w:rFonts w:ascii="Times New Roman" w:cs="Times New Roman" w:eastAsia="Times New Roman" w:hAnsi="Times New Roman"/>
          <w:sz w:val="13"/>
          <w:szCs w:val="13"/>
          <w:b w:val="1"/>
          <w:bCs w:val="1"/>
          <w:color w:val="auto"/>
        </w:rPr>
      </w:pPr>
    </w:p>
    <w:p>
      <w:pPr>
        <w:ind w:left="1320" w:hanging="303"/>
        <w:spacing w:after="0"/>
        <w:tabs>
          <w:tab w:leader="none" w:pos="13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December 2025, Invivyd announced the initiation of its DECLARATION clinical trial.</w:t>
      </w:r>
    </w:p>
    <w:p>
      <w:pPr>
        <w:spacing w:after="0" w:line="87" w:lineRule="exact"/>
        <w:rPr>
          <w:rFonts w:ascii="Times New Roman" w:cs="Times New Roman" w:eastAsia="Times New Roman" w:hAnsi="Times New Roman"/>
          <w:sz w:val="13"/>
          <w:szCs w:val="13"/>
          <w:color w:val="auto"/>
        </w:rPr>
      </w:pPr>
    </w:p>
    <w:p>
      <w:pPr>
        <w:ind w:left="1640" w:right="739" w:hanging="235"/>
        <w:spacing w:after="0" w:line="255" w:lineRule="auto"/>
        <w:tabs>
          <w:tab w:leader="none" w:pos="1640" w:val="left"/>
        </w:tabs>
        <w:numPr>
          <w:ilvl w:val="2"/>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DECLARATION is a Phase 3, randomized, placebo-controlled clinical trial to evaluate the safety and efficacy of VYD2311 in the prevention of COVID versus placebo, at three months, from a single intramuscular (IM) dose, with protection beyond three months anticipated.</w:t>
      </w:r>
    </w:p>
    <w:p>
      <w:pPr>
        <w:sectPr>
          <w:pgSz w:w="11900" w:h="16838" w:orient="portrait"/>
          <w:cols w:equalWidth="0" w:num="1">
            <w:col w:w="9019"/>
          </w:cols>
          <w:pgMar w:left="1440" w:top="125" w:right="1440" w:bottom="1440" w:gutter="0" w:footer="0" w:header="0"/>
        </w:sectPr>
      </w:pPr>
    </w:p>
    <w:bookmarkStart w:id="4" w:name="page5"/>
    <w:bookmarkEnd w:id="4"/>
    <w:p>
      <w:pPr>
        <w:ind w:left="1640" w:right="939" w:hanging="235"/>
        <w:spacing w:after="0" w:line="267"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second arm will evaluate monthly IM doses versus placebo to demonstrate the safety and efficacy of more frequent dosing to support individual choice should at-risk persons seek periodic extra protection from COVID.</w:t>
      </w:r>
    </w:p>
    <w:p>
      <w:pPr>
        <w:spacing w:after="0" w:line="55" w:lineRule="exact"/>
        <w:rPr>
          <w:rFonts w:ascii="Times New Roman" w:cs="Times New Roman" w:eastAsia="Times New Roman" w:hAnsi="Times New Roman"/>
          <w:sz w:val="13"/>
          <w:szCs w:val="13"/>
          <w:color w:val="auto"/>
        </w:rPr>
      </w:pPr>
    </w:p>
    <w:p>
      <w:pPr>
        <w:ind w:left="1640" w:right="759" w:hanging="235"/>
        <w:spacing w:after="0" w:line="267"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primary endpoint of DECLARATION is the reduction of PCR-confirmed symptomatic COVID incidence versus placebo; total expected enrollment of 1770 people across all three arms.</w:t>
      </w:r>
    </w:p>
    <w:p>
      <w:pPr>
        <w:spacing w:after="0" w:line="55" w:lineRule="exact"/>
        <w:rPr>
          <w:rFonts w:ascii="Times New Roman" w:cs="Times New Roman" w:eastAsia="Times New Roman" w:hAnsi="Times New Roman"/>
          <w:sz w:val="13"/>
          <w:szCs w:val="13"/>
          <w:color w:val="auto"/>
        </w:rPr>
      </w:pPr>
    </w:p>
    <w:p>
      <w:pPr>
        <w:ind w:left="1640" w:right="799" w:hanging="235"/>
        <w:spacing w:after="0" w:line="267"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DECLARATION is part of Invivyd’s REVOLUTION clinical program aimed at establishing monoclonal antibody prophylaxis for prevention of COVID; top-line data are expected mid-2026.</w:t>
      </w:r>
    </w:p>
    <w:p>
      <w:pPr>
        <w:spacing w:after="0" w:line="55" w:lineRule="exact"/>
        <w:rPr>
          <w:rFonts w:ascii="Times New Roman" w:cs="Times New Roman" w:eastAsia="Times New Roman" w:hAnsi="Times New Roman"/>
          <w:sz w:val="13"/>
          <w:szCs w:val="13"/>
          <w:color w:val="auto"/>
        </w:rPr>
      </w:pPr>
    </w:p>
    <w:p>
      <w:pPr>
        <w:ind w:left="1640" w:right="799" w:hanging="235"/>
        <w:spacing w:after="0" w:line="255"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Phase 1/2 study, IM administered VYD2311, at 4 times the planned dose in DECLARATION, was well tolerated, with all adverse events (AEs) considered mild to moderate in severity with no serious or severe AEs reported; all AEs, including headache and injection site pain, were deemed unrelated to study drug.</w:t>
      </w:r>
    </w:p>
    <w:p>
      <w:pPr>
        <w:spacing w:after="0" w:line="6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December 2025, Invivyd announced that the U.S. Food and Drug Administration (FDA) granted Fast Track designation for VYD2311.</w:t>
      </w:r>
    </w:p>
    <w:p>
      <w:pPr>
        <w:spacing w:after="0" w:line="98" w:lineRule="exact"/>
        <w:rPr>
          <w:rFonts w:ascii="Times New Roman" w:cs="Times New Roman" w:eastAsia="Times New Roman" w:hAnsi="Times New Roman"/>
          <w:sz w:val="12"/>
          <w:szCs w:val="12"/>
          <w:color w:val="auto"/>
        </w:rPr>
      </w:pPr>
    </w:p>
    <w:p>
      <w:pPr>
        <w:ind w:left="1640" w:right="739" w:hanging="235"/>
        <w:spacing w:after="0" w:line="251"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Fast Track is a process that enables the FDA to expedite the development and review of new drugs that address a serious or life-threatening condition and fill an unmet medical need. If relevant criteria are met, programs with Fast Track designation can become eligible for priority review and rolling Biologics License Application (BLA) submission, which can reduce the timelines associated with regulatory action.</w:t>
      </w:r>
    </w:p>
    <w:p>
      <w:pPr>
        <w:spacing w:after="0" w:line="66" w:lineRule="exact"/>
        <w:rPr>
          <w:rFonts w:ascii="Times New Roman" w:cs="Times New Roman" w:eastAsia="Times New Roman" w:hAnsi="Times New Roman"/>
          <w:sz w:val="13"/>
          <w:szCs w:val="13"/>
          <w:color w:val="auto"/>
        </w:rPr>
      </w:pPr>
    </w:p>
    <w:p>
      <w:pPr>
        <w:ind w:left="1640" w:right="759" w:hanging="235"/>
        <w:spacing w:after="0" w:line="267"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VYD2311 was granted Fast Track designation by the FDA for the prevention of COVID in individuals with underlying risk factors for severe COVID.</w:t>
      </w:r>
    </w:p>
    <w:p>
      <w:pPr>
        <w:spacing w:after="0" w:line="53"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Pipeline Expansion</w:t>
      </w:r>
    </w:p>
    <w:p>
      <w:pPr>
        <w:spacing w:after="0" w:line="89" w:lineRule="exact"/>
        <w:rPr>
          <w:rFonts w:ascii="Times New Roman" w:cs="Times New Roman" w:eastAsia="Times New Roman" w:hAnsi="Times New Roman"/>
          <w:sz w:val="13"/>
          <w:szCs w:val="13"/>
          <w:b w:val="1"/>
          <w:bCs w:val="1"/>
          <w:color w:val="auto"/>
        </w:rPr>
      </w:pPr>
    </w:p>
    <w:p>
      <w:pPr>
        <w:ind w:left="1320" w:right="1079" w:hanging="303"/>
        <w:spacing w:after="0" w:line="267" w:lineRule="auto"/>
        <w:tabs>
          <w:tab w:leader="none" w:pos="13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November 2025, Invivyd announced selection of a potential best-in-class Respiratory Syncytial Virus (RSV) antibody candidate VBY329.</w:t>
      </w:r>
    </w:p>
    <w:p>
      <w:pPr>
        <w:spacing w:after="0" w:line="55" w:lineRule="exact"/>
        <w:rPr>
          <w:rFonts w:ascii="Times New Roman" w:cs="Times New Roman" w:eastAsia="Times New Roman" w:hAnsi="Times New Roman"/>
          <w:sz w:val="13"/>
          <w:szCs w:val="13"/>
          <w:color w:val="auto"/>
        </w:rPr>
      </w:pPr>
    </w:p>
    <w:p>
      <w:pPr>
        <w:ind w:left="1640" w:right="719" w:hanging="235"/>
        <w:spacing w:after="0" w:line="267"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VBY329 is designed for the prevention of RSV infections in newborns, infants, and children, and results from Invivyd’s proprietary antibody discovery technology platform.</w:t>
      </w:r>
    </w:p>
    <w:p>
      <w:pPr>
        <w:spacing w:after="0" w:line="55" w:lineRule="exact"/>
        <w:rPr>
          <w:rFonts w:ascii="Times New Roman" w:cs="Times New Roman" w:eastAsia="Times New Roman" w:hAnsi="Times New Roman"/>
          <w:sz w:val="13"/>
          <w:szCs w:val="13"/>
          <w:color w:val="auto"/>
        </w:rPr>
      </w:pPr>
    </w:p>
    <w:p>
      <w:pPr>
        <w:ind w:left="1640" w:right="959" w:hanging="235"/>
        <w:spacing w:after="0" w:line="267" w:lineRule="auto"/>
        <w:tabs>
          <w:tab w:leader="none" w:pos="164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VBY329 meets Invivyd’s target profile of higher potency and improved barrier to resistance compared to standard of care RSV medicines, as assessed </w:t>
      </w:r>
      <w:r>
        <w:rPr>
          <w:rFonts w:ascii="Times New Roman" w:cs="Times New Roman" w:eastAsia="Times New Roman" w:hAnsi="Times New Roman"/>
          <w:sz w:val="13"/>
          <w:szCs w:val="13"/>
          <w:i w:val="1"/>
          <w:iCs w:val="1"/>
          <w:color w:val="auto"/>
        </w:rPr>
        <w:t>in vitro</w:t>
      </w:r>
      <w:r>
        <w:rPr>
          <w:rFonts w:ascii="Times New Roman" w:cs="Times New Roman" w:eastAsia="Times New Roman" w:hAnsi="Times New Roman"/>
          <w:sz w:val="13"/>
          <w:szCs w:val="13"/>
          <w:color w:val="auto"/>
        </w:rPr>
        <w:t>:</w:t>
      </w:r>
    </w:p>
    <w:p>
      <w:pPr>
        <w:spacing w:after="0" w:line="55" w:lineRule="exact"/>
        <w:rPr>
          <w:rFonts w:ascii="Times New Roman" w:cs="Times New Roman" w:eastAsia="Times New Roman" w:hAnsi="Times New Roman"/>
          <w:sz w:val="13"/>
          <w:szCs w:val="13"/>
          <w:color w:val="auto"/>
        </w:rPr>
      </w:pPr>
    </w:p>
    <w:p>
      <w:pPr>
        <w:ind w:left="2100" w:right="899" w:hanging="382"/>
        <w:spacing w:after="0" w:line="267" w:lineRule="auto"/>
        <w:tabs>
          <w:tab w:leader="none" w:pos="2100" w:val="left"/>
        </w:tabs>
        <w:numPr>
          <w:ilvl w:val="3"/>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Antiviral potency 1.5-fold greater on average than nirsevimab and 1.2-fold greater on average than clesrovimab against established authentic RSV strains representing circulating variants.</w:t>
      </w:r>
    </w:p>
    <w:p>
      <w:pPr>
        <w:spacing w:after="0" w:line="55" w:lineRule="exact"/>
        <w:rPr>
          <w:rFonts w:ascii="Times New Roman" w:cs="Times New Roman" w:eastAsia="Times New Roman" w:hAnsi="Times New Roman"/>
          <w:sz w:val="13"/>
          <w:szCs w:val="13"/>
          <w:color w:val="auto"/>
        </w:rPr>
      </w:pPr>
    </w:p>
    <w:p>
      <w:pPr>
        <w:ind w:left="2100" w:right="819" w:hanging="382"/>
        <w:spacing w:after="0" w:line="255" w:lineRule="auto"/>
        <w:tabs>
          <w:tab w:leader="none" w:pos="2100" w:val="left"/>
        </w:tabs>
        <w:numPr>
          <w:ilvl w:val="3"/>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Resistance profile compared to nirsevimab reflects up to approximately 500-fold greater enhanced neutralization activity against RSV F protein variants resistant to nirsevimab in pseudovirus assays that reflect contemporary, circulating, nirsevimab-resistant variants associated with various RSV A &amp; B strains.</w:t>
      </w:r>
    </w:p>
    <w:p>
      <w:pPr>
        <w:spacing w:after="0" w:line="61" w:lineRule="exact"/>
        <w:rPr>
          <w:rFonts w:ascii="Times New Roman" w:cs="Times New Roman" w:eastAsia="Times New Roman" w:hAnsi="Times New Roman"/>
          <w:sz w:val="13"/>
          <w:szCs w:val="13"/>
          <w:color w:val="auto"/>
        </w:rPr>
      </w:pPr>
    </w:p>
    <w:p>
      <w:pPr>
        <w:ind w:left="2100" w:right="1119" w:hanging="382"/>
        <w:spacing w:after="0" w:line="257" w:lineRule="auto"/>
        <w:tabs>
          <w:tab w:leader="none" w:pos="2100" w:val="left"/>
        </w:tabs>
        <w:numPr>
          <w:ilvl w:val="3"/>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Half-life extension technology and biophysical properties expected to confer equivalent or greater </w:t>
      </w:r>
      <w:r>
        <w:rPr>
          <w:rFonts w:ascii="Times New Roman" w:cs="Times New Roman" w:eastAsia="Times New Roman" w:hAnsi="Times New Roman"/>
          <w:sz w:val="13"/>
          <w:szCs w:val="13"/>
          <w:i w:val="1"/>
          <w:iCs w:val="1"/>
          <w:color w:val="auto"/>
        </w:rPr>
        <w:t>in vivo</w:t>
      </w:r>
      <w:r>
        <w:rPr>
          <w:rFonts w:ascii="Times New Roman" w:cs="Times New Roman" w:eastAsia="Times New Roman" w:hAnsi="Times New Roman"/>
          <w:sz w:val="13"/>
          <w:szCs w:val="13"/>
          <w:color w:val="auto"/>
        </w:rPr>
        <w:t xml:space="preserve"> half-life compared to nirsevimab and clesrovimab, which, along with higher potency, may expand the protective window of VBY329 compared to standard of care.</w:t>
      </w:r>
    </w:p>
    <w:p>
      <w:pPr>
        <w:sectPr>
          <w:pgSz w:w="11900" w:h="16838" w:orient="portrait"/>
          <w:cols w:equalWidth="0" w:num="1">
            <w:col w:w="9019"/>
          </w:cols>
          <w:pgMar w:left="1440" w:top="231" w:right="1440" w:bottom="1440" w:gutter="0" w:footer="0" w:header="0"/>
        </w:sectPr>
      </w:pPr>
    </w:p>
    <w:bookmarkStart w:id="5" w:name="page6"/>
    <w:bookmarkEnd w:id="5"/>
    <w:p>
      <w:pPr>
        <w:ind w:left="1640" w:right="679" w:hanging="235"/>
        <w:spacing w:after="0" w:line="267" w:lineRule="auto"/>
        <w:tabs>
          <w:tab w:leader="none" w:pos="1640" w:val="left"/>
        </w:tabs>
        <w:numPr>
          <w:ilvl w:val="2"/>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expects to advance VBY329 toward IND readiness in 2H 2026 for development in pediatric RSV prophylaxis, a blockbuster pharmaceutical market in 2024, expected to grow to $3-$4 billion in annual revenues globally by 2030.</w:t>
      </w:r>
    </w:p>
    <w:p>
      <w:pPr>
        <w:spacing w:after="0" w:line="55" w:lineRule="exact"/>
        <w:rPr>
          <w:rFonts w:ascii="Times New Roman" w:cs="Times New Roman" w:eastAsia="Times New Roman" w:hAnsi="Times New Roman"/>
          <w:sz w:val="13"/>
          <w:szCs w:val="13"/>
          <w:color w:val="auto"/>
        </w:rPr>
      </w:pPr>
    </w:p>
    <w:p>
      <w:pPr>
        <w:ind w:left="1640" w:right="1139" w:hanging="235"/>
        <w:spacing w:after="0" w:line="267" w:lineRule="auto"/>
        <w:tabs>
          <w:tab w:leader="none" w:pos="1640" w:val="left"/>
        </w:tabs>
        <w:numPr>
          <w:ilvl w:val="2"/>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Additional Invivyd discovery efforts focus on ultra-long half-life RSV antibodies with the aim of a candidate RSV vaccine-alternative for elderly and immunocompromised populations.</w:t>
      </w:r>
    </w:p>
    <w:p>
      <w:pPr>
        <w:spacing w:after="0" w:line="55" w:lineRule="exact"/>
        <w:rPr>
          <w:rFonts w:ascii="Times New Roman" w:cs="Times New Roman" w:eastAsia="Times New Roman" w:hAnsi="Times New Roman"/>
          <w:sz w:val="13"/>
          <w:szCs w:val="13"/>
          <w:color w:val="auto"/>
        </w:rPr>
      </w:pPr>
    </w:p>
    <w:p>
      <w:pPr>
        <w:ind w:left="1320" w:right="719" w:hanging="303"/>
        <w:spacing w:after="0" w:line="267" w:lineRule="auto"/>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Invivyd has initiated discovery efforts to assess pipeline expansion beyond SARS-CoV-2 and RSV, and anticipates providing an update on selection of a preclinical measles mAb candidate in the first half of 2026.</w:t>
      </w:r>
    </w:p>
    <w:p>
      <w:pPr>
        <w:spacing w:after="0" w:line="53"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Corporate and Financial Updates</w:t>
      </w:r>
    </w:p>
    <w:p>
      <w:pPr>
        <w:spacing w:after="0" w:line="89" w:lineRule="exact"/>
        <w:rPr>
          <w:rFonts w:ascii="Times New Roman" w:cs="Times New Roman" w:eastAsia="Times New Roman" w:hAnsi="Times New Roman"/>
          <w:sz w:val="13"/>
          <w:szCs w:val="13"/>
          <w:b w:val="1"/>
          <w:bCs w:val="1"/>
          <w:color w:val="auto"/>
        </w:rPr>
      </w:pPr>
    </w:p>
    <w:p>
      <w:pPr>
        <w:ind w:left="1320" w:right="899" w:hanging="303"/>
        <w:spacing w:after="0" w:line="221" w:lineRule="auto"/>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currently available information, the company is announcing preliminary Q4 2025 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net product revenue of $17.2 million, representing a 25% increase over Q4 2024 net product revenue of $13.8 million and a 31% increase over Q3 2025 net product revenue of $13.1 million.</w:t>
      </w:r>
    </w:p>
    <w:p>
      <w:pPr>
        <w:spacing w:after="0" w:line="74" w:lineRule="exact"/>
        <w:rPr>
          <w:rFonts w:ascii="Times New Roman" w:cs="Times New Roman" w:eastAsia="Times New Roman" w:hAnsi="Times New Roman"/>
          <w:sz w:val="13"/>
          <w:szCs w:val="13"/>
          <w:color w:val="auto"/>
        </w:rPr>
      </w:pPr>
    </w:p>
    <w:p>
      <w:pPr>
        <w:ind w:left="1320" w:right="779" w:hanging="303"/>
        <w:spacing w:after="0" w:line="267" w:lineRule="auto"/>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second half of 2025, Invivyd secured over $200 million of capital, resulting in a strong balance sheet with anticipated 2025 ending cash and cash equivalents of $226.7 million.</w:t>
      </w:r>
    </w:p>
    <w:p>
      <w:pPr>
        <w:spacing w:after="0" w:line="55" w:lineRule="exact"/>
        <w:rPr>
          <w:rFonts w:ascii="Times New Roman" w:cs="Times New Roman" w:eastAsia="Times New Roman" w:hAnsi="Times New Roman"/>
          <w:sz w:val="13"/>
          <w:szCs w:val="13"/>
          <w:color w:val="auto"/>
        </w:rPr>
      </w:pPr>
    </w:p>
    <w:p>
      <w:pPr>
        <w:ind w:left="1320" w:right="699" w:hanging="303"/>
        <w:spacing w:after="0" w:line="267" w:lineRule="auto"/>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shares of common stock outstanding as of December 31, 2025 were 281,987,033, excluding pre-funded warrants totaling 27,342,442 which will be included in shares outstanding utilized to calculate earnings per share.</w:t>
      </w:r>
    </w:p>
    <w:p>
      <w:pPr>
        <w:spacing w:after="0" w:line="55" w:lineRule="exact"/>
        <w:rPr>
          <w:rFonts w:ascii="Times New Roman" w:cs="Times New Roman" w:eastAsia="Times New Roman" w:hAnsi="Times New Roman"/>
          <w:sz w:val="13"/>
          <w:szCs w:val="13"/>
          <w:color w:val="auto"/>
        </w:rPr>
      </w:pPr>
    </w:p>
    <w:p>
      <w:pPr>
        <w:ind w:left="1320" w:right="739" w:hanging="303"/>
        <w:spacing w:after="0" w:line="249" w:lineRule="auto"/>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Invivyd’s current cash and cash equivalents are anticipated to be sufficient to support the DECLARATION pivotal study, commercial preparedness for the potential launch of VYD2311, continued research and development related to its pipeline programs such as RSV and measles, continued advancement of the Spike Protein Elimination and Recovery (SPEAR) Study Group efforts related to assessing the effects of monoclonal antibody therapy for Long COVID and COVID-19 Post-Vaccination Syndrome, and for working capital and other general corporate purposes.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PEMGARDA</w:t>
      </w:r>
    </w:p>
    <w:p>
      <w:pPr>
        <w:spacing w:after="0" w:line="80" w:lineRule="exact"/>
        <w:rPr>
          <w:sz w:val="20"/>
          <w:szCs w:val="20"/>
          <w:color w:val="auto"/>
        </w:rPr>
      </w:pPr>
    </w:p>
    <w:p>
      <w:pPr>
        <w:ind w:left="640" w:right="779"/>
        <w:spacing w:after="0" w:line="229" w:lineRule="auto"/>
        <w:rPr>
          <w:sz w:val="20"/>
          <w:szCs w:val="20"/>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is a half-life extended investigational monoclonal antibody (mAb). PEMGARDA was engineered from adintrevimab, Invivyd’s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XEC, LP.8.1 and XFG. PEMGARDA targets the SARS-CoV-2 spike protein receptor binding domain (RBD), thereby inhibiting virus attachment to the human ACE2 receptor on host cells.</w:t>
      </w:r>
    </w:p>
    <w:p>
      <w:pPr>
        <w:spacing w:after="0" w:line="14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ectPr>
          <w:pgSz w:w="11900" w:h="16838" w:orient="portrait"/>
          <w:cols w:equalWidth="0" w:num="1">
            <w:col w:w="9019"/>
          </w:cols>
          <w:pgMar w:left="1440" w:top="231" w:right="1440" w:bottom="1440" w:gutter="0" w:footer="0" w:header="0"/>
        </w:sectPr>
      </w:pPr>
    </w:p>
    <w:bookmarkStart w:id="6" w:name="page7"/>
    <w:bookmarkEnd w:id="6"/>
    <w:p>
      <w:pPr>
        <w:ind w:left="640" w:right="8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PEMGARDA is not authorized for use for treatment of COVID-19, treatment of Long COVID,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pacing w:after="0" w:line="134"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 For additional information, please see the PEMGARDA full product Fact Sheet for Healthcare Providers, including important safety information and boxed warning.</w:t>
      </w:r>
    </w:p>
    <w:p>
      <w:pPr>
        <w:spacing w:after="0" w:line="133"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123"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VYD2311</w:t>
      </w:r>
    </w:p>
    <w:p>
      <w:pPr>
        <w:spacing w:after="0" w:line="80"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ectPr>
          <w:pgSz w:w="11900" w:h="16838" w:orient="portrait"/>
          <w:cols w:equalWidth="0" w:num="1">
            <w:col w:w="9019"/>
          </w:cols>
          <w:pgMar w:left="1440" w:top="231" w:right="1440" w:bottom="1440" w:gutter="0" w:footer="0" w:header="0"/>
        </w:sectPr>
      </w:pPr>
    </w:p>
    <w:bookmarkStart w:id="7" w:name="page8"/>
    <w:bookmarkEnd w:id="7"/>
    <w:p>
      <w:pPr>
        <w:ind w:left="640" w:right="101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VYD2311 was engineered using Invivyd’s proprietary integrated technology platform and is the product of serial molecular evolution designed to generate an antibody optimized for neutralizing contemporary virus lineages. VYD2311 leverages the same antibody backbone as</w:t>
      </w:r>
    </w:p>
    <w:p>
      <w:pPr>
        <w:spacing w:after="0" w:line="1" w:lineRule="exact"/>
        <w:rPr>
          <w:sz w:val="20"/>
          <w:szCs w:val="20"/>
          <w:color w:val="auto"/>
        </w:rPr>
      </w:pPr>
    </w:p>
    <w:p>
      <w:pPr>
        <w:ind w:left="640" w:right="899"/>
        <w:spacing w:after="0" w:line="245" w:lineRule="auto"/>
        <w:rPr>
          <w:sz w:val="20"/>
          <w:szCs w:val="20"/>
          <w:color w:val="auto"/>
        </w:rPr>
      </w:pPr>
      <w:r>
        <w:rPr>
          <w:rFonts w:ascii="Times New Roman" w:cs="Times New Roman" w:eastAsia="Times New Roman" w:hAnsi="Times New Roman"/>
          <w:sz w:val="13"/>
          <w:szCs w:val="13"/>
          <w:color w:val="auto"/>
        </w:rPr>
        <w:t>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DECLARATION</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DECLARATION is a Phase 3, randomized, triple-blind, placebo-controlled trial to evaluate VYD2311 efficacy and safety in prevention of symptomatic COVID in a broad population of participants including adults and adolescents both with and without risk factors for progression to severe COVID-19, at three months. Participants will receive either a single dose or a monthly dose of VYD2311, each administered via intramuscular (IM) injection, compared to placebo. Total enrollment of the trial is expected to be 1770 participants.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VBY329</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VBY329 is a novel, potential best-in-class monoclonal antibody (mAb) candidate being developed to prevent Respiratory Syncytial Virus (RSV) among neonates, infants, and children.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Invivyd</w:t>
      </w:r>
    </w:p>
    <w:p>
      <w:pPr>
        <w:spacing w:after="0" w:line="80"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Trademarks are the property of their respective owners.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Preliminary Financial Results</w:t>
      </w:r>
    </w:p>
    <w:p>
      <w:pPr>
        <w:spacing w:after="0" w:line="80"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The preliminary financial results for the fourth quarter 2025 included in this press release are preliminary, unaudited and subject to completion. The preliminary financial data included in this press release has been prepared by, and is the responsibility of, the company’s management. PricewaterhouseCoopers LLP, the company’s independent registered public accounting firm, has not audited, reviewed, examined, compiled, nor applied agreed-upon procedures with respect to the preliminary financial data. Accordingly, PricewaterhouseCoopers LLP does not express an opinion or any other form of assurance with respect thereto. Such preliminary results are subject to the finalization of quarter- and year-end financial and accounting procedures, and actual results may vary from the preliminary results presented herein. The preliminary financial results represent management’s estimates that constitute forward-looking statements subject to certain risks and uncertainties.</w:t>
      </w:r>
    </w:p>
    <w:p>
      <w:pPr>
        <w:sectPr>
          <w:pgSz w:w="11900" w:h="16838" w:orient="portrait"/>
          <w:cols w:equalWidth="0" w:num="1">
            <w:col w:w="9019"/>
          </w:cols>
          <w:pgMar w:left="1440" w:top="231"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Cautionary Note Regarding 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“could,” “expects,” “estimates,” “intends,” “plans,” “potential,” “predicts,” “projects,” “future” and “target” or similar expressions (as well as other words or expressions referencing future events, conditions or circumstances) are intended to identify forward-looking statements. Forward-looking statements include statements concerning, among other things, the company’s preliminary fourth quarter financial results; plans related to the company’s research and development activities, and the timing and potential results thereof; expectations regarding the company’s clinical trial designs and enrollment, regulatory pathway, product profile, indication and administration paradigm for VYD2311, as well as preparations for the potential commercial launch of VYD2311, if approved; the potential benefits of Fast Track designation; expectations regarding the COVID landscape and peak season of COVID infections; the potential of PEMGARDA as a mAb for pre-exposure prophylaxis (prevention) of COVID-19 in certain immunocompromised persons; the potential of VYD2311 as a novel mAb candidate that may be able to deliver clinically meaningful titer levels through more patient-friendly means; the company’s devotion to delivering protection from serious viral infectious diseases, beginning with SARS-CoV-2; pipeline expansion beyond SARS-CoV-2, including potential targets such as RSV and measles, and expected announcements related thereto; the potential of VBY329 as a novel, potential best-in-class RSV mAb candidate; the company’s business strategies and objectives, and ability to execute on them; expectations about the market size and opportunity for the company’s product candidates; the company’s beliefs that it can drive substantial medical and shareholder value creation; the company’s future prospects;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uncertainties regarding the company’s expectations, projections and estimates regarding future costs and expenses, future revenue, capital requirements, and the availability of and the need for additional financing; whether the company’s cash and cash equivalents are sufficient to support its operating plan for as long as anticipated; uncertainties regarding market acceptance, payor coverage and reimbursement, or future revenue generated by any authorized or approved product; how long the EUA granted by the FDA for PEMGARDA will remain in effect and whether such EUA is revised or revoked by the FDA; the ability to maintain a continued acceptable safety, tolerability and efficacy profile of any product candidate following regulatory authorization or approval; the success of the company’s in-house sales force, and company’s ability to maintain and expand sales, marketing and distribution capabilities to successfully commercialize any authorized or approved product; changes in expected or existing competition; changes in the regulatory environment; the outcome of the company’s engagement with regulators; uncertainties related to the regulatory authorization or approval process, and available development and regulatory pathways; whether or not any preclinical candidate identified by the company is determined to be suitable for clinical development; the timing, progress and results of the company’s discovery, preclinical and clinical development activities; clinical trial site activation or enrollment rates; unexpected safety or efficacy data observed during preclinical studies or clinical trials; the risk that results of nonclinical studies or clinical trials may not be predictive of future results, and interim data are subject to further analysis; the company’s ability to generate the data needed to support a potential BLA submission for VYD2311; potential variability in neutralizing activity of product candidates tested in different assays, such as pseudovirus assays and authentic assays; variability of results in models and methods used to predict activity against SARS-CoV-2 variants; whether the epitopes that pemivibart and VYD2311 target remain structurally intact and the company’s product candidates are able to demonstrate and sustain neutralizing activity against major SARS-CoV-2 variants, particularly in the face of viral evolution;</w:t>
      </w:r>
    </w:p>
    <w:p>
      <w:pPr>
        <w:sectPr>
          <w:pgSz w:w="11900" w:h="16838" w:orient="portrait"/>
          <w:cols w:equalWidth="0" w:num="1">
            <w:col w:w="9019"/>
          </w:cols>
          <w:pgMar w:left="1440" w:top="229" w:right="1440" w:bottom="1440" w:gutter="0" w:footer="0" w:header="0"/>
        </w:sectPr>
      </w:pPr>
    </w:p>
    <w:bookmarkStart w:id="9" w:name="page10"/>
    <w:bookmarkEnd w:id="9"/>
    <w:p>
      <w:pPr>
        <w:ind w:left="640" w:right="67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company’s reliance on third parties; complexities of manufacturing mAb therapies; macroeconomic and political uncertainties; any change in the preliminary estimates of the company’s Q4 2025 results upon completion of the company’s financial closing controls and procedures, and finalization of the financial statements;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and its Quarterly Report on Form 10-Q for the quarter ended September 30, 2025, each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This press release contains hyperlinks to information that is not deemed to be incorporated by reference in this press release.</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Relations</w:t>
      </w:r>
    </w:p>
    <w:p>
      <w:pPr>
        <w:spacing w:after="0" w:line="17" w:lineRule="exact"/>
        <w:rPr>
          <w:sz w:val="20"/>
          <w:szCs w:val="20"/>
          <w:color w:val="auto"/>
        </w:rPr>
      </w:pPr>
    </w:p>
    <w:p>
      <w:pPr>
        <w:ind w:left="640" w:right="7319" w:hanging="3"/>
        <w:spacing w:after="0" w:line="287" w:lineRule="auto"/>
        <w:tabs>
          <w:tab w:leader="none" w:pos="94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208-0160 media@invivyd.com</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p>
    <w:p>
      <w:pPr>
        <w:spacing w:after="0" w:line="17" w:lineRule="exact"/>
        <w:rPr>
          <w:sz w:val="20"/>
          <w:szCs w:val="20"/>
          <w:color w:val="auto"/>
        </w:rPr>
      </w:pPr>
    </w:p>
    <w:p>
      <w:pPr>
        <w:ind w:left="640" w:right="7179" w:hanging="3"/>
        <w:spacing w:after="0" w:line="287" w:lineRule="auto"/>
        <w:tabs>
          <w:tab w:leader="none" w:pos="94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208-1747 investors@invivyd.com</w:t>
      </w:r>
    </w:p>
    <w:p>
      <w:pPr>
        <w:sectPr>
          <w:pgSz w:w="11900" w:h="16838" w:orient="portrait"/>
          <w:cols w:equalWidth="0" w:num="1">
            <w:col w:w="9019"/>
          </w:cols>
          <w:pgMar w:left="1440" w:top="231" w:right="1440" w:bottom="1440" w:gutter="0" w:footer="0" w:header="0"/>
        </w:sectPr>
      </w:pPr>
    </w:p>
    <w:bookmarkStart w:id="10" w:name="page11"/>
    <w:bookmarkEnd w:id="1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2EB141F2"/>
    <w:multiLevelType w:val="hybridMultilevel"/>
    <w:lvl w:ilvl="0">
      <w:lvlJc w:val="left"/>
      <w:lvlText w:val="(%1)"/>
      <w:numFmt w:val="decimal"/>
      <w:start w:val="781"/>
    </w:lvl>
  </w:abstractNum>
  <w:abstractNum w:abstractNumId="6">
    <w:nsid w:val="41B71EFB"/>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2026-01-08T06:13:39Z</dcterms:created>
  <dcterms:modified xsi:type="dcterms:W3CDTF">2026-01-08T06:13:39Z</dcterms:modified>
</cp:coreProperties>
</file>