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Miller Redonda</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06/22/2022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06/22/2022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44,178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06/21/2032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44,178</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44,178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22, 2022 and vests in full on the earlier of (i) June 22, 2023 or (ii) the date of the Issuer's 2023 Annual Meeting of Stockholders, subject to continued service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Jane Henderson attorney-in-  </w:t>
      </w:r>
      <w:r>
        <w:rPr>
          <w:rFonts w:ascii="Arial" w:cs="Arial" w:eastAsia="Arial" w:hAnsi="Arial"/>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Redonda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07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74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91346"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2022-06-24T15:41:11Z</dcterms:created>
  <dcterms:modified xsi:type="dcterms:W3CDTF">2022-06-24T15:41:11Z</dcterms:modified>
</cp:coreProperties>
</file>