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5"/>
            <w:vMerge w:val="restart"/>
          </w:tcPr>
          <w:p>
            <w:pPr>
              <w:ind w:left="20"/>
              <w:spacing w:after="0"/>
              <w:rPr>
                <w:rFonts w:ascii="Arial" w:cs="Arial" w:eastAsia="Arial" w:hAnsi="Arial"/>
                <w:sz w:val="21"/>
                <w:szCs w:val="21"/>
                <w:color w:val="0000EE"/>
                <w:w w:val="98"/>
              </w:rPr>
            </w:pPr>
            <w:hyperlink r:id="rId12">
              <w:r>
                <w:rPr>
                  <w:rFonts w:ascii="Arial" w:cs="Arial" w:eastAsia="Arial" w:hAnsi="Arial"/>
                  <w:sz w:val="21"/>
                  <w:szCs w:val="21"/>
                  <w:color w:val="0000EE"/>
                  <w:w w:val="98"/>
                </w:rPr>
                <w:t>Mayer Howard</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Adagio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ADGI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5"/>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7"/>
            <w:vMerge w:val="continue"/>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06/22/2022</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ADAGIO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1601 TRAPELO ROAD, SUITE 178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WALTHAM</w:t>
            </w:r>
          </w:p>
        </w:tc>
        <w:tc>
          <w:tcPr>
            <w:tcW w:w="1220" w:type="dxa"/>
            <w:vAlign w:val="bottom"/>
            <w:gridSpan w:val="3"/>
          </w:tcPr>
          <w:p>
            <w:pPr>
              <w:spacing w:after="0"/>
              <w:rPr>
                <w:sz w:val="20"/>
                <w:szCs w:val="20"/>
                <w:color w:val="auto"/>
              </w:rPr>
            </w:pPr>
            <w:r>
              <w:rPr>
                <w:rFonts w:ascii="Arial" w:cs="Arial" w:eastAsia="Arial" w:hAnsi="Arial"/>
                <w:sz w:val="17"/>
                <w:szCs w:val="17"/>
                <w:color w:val="0000FF"/>
              </w:rPr>
              <w:t>MA</w:t>
            </w:r>
          </w:p>
        </w:tc>
        <w:tc>
          <w:tcPr>
            <w:tcW w:w="1100" w:type="dxa"/>
            <w:vAlign w:val="bottom"/>
          </w:tcPr>
          <w:p>
            <w:pPr>
              <w:spacing w:after="0"/>
              <w:rPr>
                <w:sz w:val="20"/>
                <w:szCs w:val="20"/>
                <w:color w:val="auto"/>
              </w:rPr>
            </w:pPr>
            <w:r>
              <w:rPr>
                <w:rFonts w:ascii="Arial" w:cs="Arial" w:eastAsia="Arial" w:hAnsi="Arial"/>
                <w:sz w:val="17"/>
                <w:szCs w:val="17"/>
                <w:color w:val="0000FF"/>
              </w:rPr>
              <w:t>02451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8"/>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8"/>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3.09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06/22/2022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75,000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06/21/2032</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75,000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75,000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5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22, 2022 and vests in full on the earlier of (i) June 22, 2023 or (ii) the date of the Issuer's 2023 Annual Meeting of Stockholders, subject to continued service through the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Jane Henderson attorney-in-  </w:t>
      </w:r>
      <w:r>
        <w:rPr>
          <w:rFonts w:ascii="Arial" w:cs="Arial" w:eastAsia="Arial" w:hAnsi="Arial"/>
          <w:sz w:val="33"/>
          <w:szCs w:val="33"/>
          <w:color w:val="0000FF"/>
          <w:vertAlign w:val="subscript"/>
        </w:rPr>
        <w:t>06/24/2022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2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 for Howard Mayer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984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425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99610"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2022-06-24T15:40:15Z</dcterms:created>
  <dcterms:modified xsi:type="dcterms:W3CDTF">2022-06-24T15:40:15Z</dcterms:modified>
</cp:coreProperties>
</file>