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207645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9" w:lineRule="exact"/>
        <w:rPr>
          <w:sz w:val="24"/>
          <w:szCs w:val="24"/>
          <w:color w:val="auto"/>
        </w:rPr>
      </w:pPr>
    </w:p>
    <w:p>
      <w:pPr>
        <w:ind w:left="3880" w:right="1620" w:hanging="3859"/>
        <w:spacing w:after="0" w:line="360"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2600" w:right="1600" w:hanging="2579"/>
        <w:spacing w:after="0" w:line="375" w:lineRule="auto"/>
        <w:tabs>
          <w:tab w:leader="none" w:pos="47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 to ___________________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Adagio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1"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85-1403134</w:t>
      </w:r>
    </w:p>
    <w:p>
      <w:pPr>
        <w:spacing w:after="0" w:line="1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69" w:lineRule="exact"/>
        <w:rPr>
          <w:sz w:val="24"/>
          <w:szCs w:val="24"/>
          <w:color w:val="auto"/>
        </w:rPr>
      </w:pPr>
    </w:p>
    <w:p>
      <w:pPr>
        <w:sectPr>
          <w:pgSz w:w="11900" w:h="16838" w:orient="portrait"/>
          <w:cols w:equalWidth="0" w:num="2">
            <w:col w:w="7220" w:space="720"/>
            <w:col w:w="3300"/>
          </w:cols>
          <w:pgMar w:left="320" w:top="673" w:right="339" w:bottom="1440" w:gutter="0" w:footer="0" w:header="0"/>
          <w:type w:val="continuous"/>
        </w:sectPr>
      </w:pPr>
    </w:p>
    <w:tbl>
      <w:tblPr>
        <w:tblLayout w:type="fixed"/>
        <w:tblInd w:w="1700" w:type="dxa"/>
        <w:tblCellMar>
          <w:top w:w="0" w:type="dxa"/>
          <w:left w:w="0" w:type="dxa"/>
          <w:bottom w:w="0" w:type="dxa"/>
          <w:right w:w="0" w:type="dxa"/>
        </w:tblCellMar>
      </w:tblPr>
      <w:tr>
        <w:trPr>
          <w:trHeight w:val="207"/>
        </w:trPr>
        <w:tc>
          <w:tcPr>
            <w:tcW w:w="4340" w:type="dxa"/>
            <w:vAlign w:val="bottom"/>
          </w:tcPr>
          <w:p>
            <w:pPr>
              <w:jc w:val="center"/>
              <w:ind w:right="2019"/>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680" w:type="dxa"/>
            <w:vAlign w:val="bottom"/>
          </w:tcPr>
          <w:p>
            <w:pPr>
              <w:spacing w:after="0"/>
              <w:rPr>
                <w:sz w:val="18"/>
                <w:szCs w:val="18"/>
                <w:color w:val="auto"/>
              </w:rPr>
            </w:pPr>
          </w:p>
        </w:tc>
      </w:tr>
      <w:tr>
        <w:trPr>
          <w:trHeight w:val="232"/>
        </w:trPr>
        <w:tc>
          <w:tcPr>
            <w:tcW w:w="4340" w:type="dxa"/>
            <w:vAlign w:val="bottom"/>
          </w:tcPr>
          <w:p>
            <w:pPr>
              <w:jc w:val="center"/>
              <w:ind w:right="203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66"/>
        </w:trPr>
        <w:tc>
          <w:tcPr>
            <w:tcW w:w="4340" w:type="dxa"/>
            <w:vAlign w:val="bottom"/>
          </w:tcPr>
          <w:p>
            <w:pPr>
              <w:jc w:val="center"/>
              <w:ind w:right="201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680" w:type="dxa"/>
            <w:vAlign w:val="bottom"/>
          </w:tcPr>
          <w:p>
            <w:pPr>
              <w:jc w:val="center"/>
              <w:ind w:left="202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5"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ADGI</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right="1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Accelerated filer</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5"/>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3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63" w:lineRule="exact"/>
        <w:rPr>
          <w:sz w:val="24"/>
          <w:szCs w:val="24"/>
          <w:color w:val="auto"/>
        </w:rPr>
      </w:pPr>
    </w:p>
    <w:p>
      <w:pPr>
        <w:jc w:val="both"/>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right="20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8, 2022, the registrant had 108,830,525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360045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gridSpan w:val="2"/>
            <w:vMerge w:val="continue"/>
          </w:tcPr>
          <w:p>
            <w:pPr>
              <w:spacing w:after="0"/>
              <w:rPr>
                <w:sz w:val="13"/>
                <w:szCs w:val="13"/>
                <w:color w:val="auto"/>
              </w:rPr>
            </w:pPr>
          </w:p>
        </w:tc>
        <w:tc>
          <w:tcPr>
            <w:tcW w:w="9300" w:type="dxa"/>
            <w:vAlign w:val="bottom"/>
            <w:gridSpan w:val="20"/>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2260" w:type="dxa"/>
            <w:vAlign w:val="bottom"/>
            <w:tcBorders>
              <w:top w:val="single" w:sz="8" w:color="0000FF"/>
              <w:bottom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2"/>
              </w:rPr>
              <w:t>Financial Statements (Unaudited)</w:t>
            </w:r>
          </w:p>
        </w:tc>
        <w:tc>
          <w:tcPr>
            <w:tcW w:w="16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6860" w:type="dxa"/>
            <w:vAlign w:val="bottom"/>
            <w:gridSpan w:val="10"/>
          </w:tcPr>
          <w:p>
            <w:pPr>
              <w:ind w:left="40"/>
              <w:spacing w:after="0" w:line="18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4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260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7"/>
              </w:rPr>
              <w:t>Operations and Comprehensive Loss</w:t>
            </w:r>
          </w:p>
        </w:tc>
        <w:tc>
          <w:tcPr>
            <w:tcW w:w="376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 of Convertible Preferred Stock and Stockholders’ Equity (Deficit)</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36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9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right w:val="single" w:sz="8" w:color="0000EE"/>
            </w:tcBorders>
            <w:gridSpan w:val="5"/>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bottom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5"/>
                <w:szCs w:val="15"/>
                <w:color w:val="auto"/>
              </w:rPr>
            </w:pPr>
          </w:p>
        </w:tc>
        <w:tc>
          <w:tcPr>
            <w:tcW w:w="4480" w:type="dxa"/>
            <w:vAlign w:val="bottom"/>
            <w:gridSpan w:val="4"/>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8"/>
          </w:tcPr>
          <w:p>
            <w:pPr>
              <w:spacing w:after="0"/>
              <w:rPr>
                <w:sz w:val="15"/>
                <w:szCs w:val="15"/>
                <w:color w:val="auto"/>
              </w:rPr>
            </w:pPr>
          </w:p>
        </w:tc>
        <w:tc>
          <w:tcPr>
            <w:tcW w:w="492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100" w:type="dxa"/>
            <w:vAlign w:val="bottom"/>
            <w:tcBorders>
              <w:bottom w:val="single" w:sz="8" w:color="0000FF"/>
            </w:tcBorders>
          </w:tcPr>
          <w:p>
            <w:pPr>
              <w:spacing w:after="0"/>
              <w:rPr>
                <w:sz w:val="15"/>
                <w:szCs w:val="15"/>
                <w:color w:val="auto"/>
              </w:rPr>
            </w:pPr>
          </w:p>
        </w:tc>
        <w:tc>
          <w:tcPr>
            <w:tcW w:w="2460" w:type="dxa"/>
            <w:vAlign w:val="bottom"/>
            <w:gridSpan w:val="6"/>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w:t>
            </w:r>
          </w:p>
        </w:tc>
        <w:tc>
          <w:tcPr>
            <w:tcW w:w="190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2460" w:type="dxa"/>
            <w:vAlign w:val="bottom"/>
            <w:gridSpan w:val="6"/>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tcPr>
          <w:p>
            <w:pPr>
              <w:spacing w:after="0"/>
              <w:rPr>
                <w:sz w:val="15"/>
                <w:szCs w:val="15"/>
                <w:color w:val="auto"/>
              </w:rPr>
            </w:pPr>
          </w:p>
        </w:tc>
        <w:tc>
          <w:tcPr>
            <w:tcW w:w="3020" w:type="dxa"/>
            <w:vAlign w:val="bottom"/>
            <w:gridSpan w:val="9"/>
          </w:tcPr>
          <w:p>
            <w:pPr>
              <w:spacing w:after="0"/>
              <w:rPr>
                <w:sz w:val="15"/>
                <w:szCs w:val="15"/>
                <w:color w:val="auto"/>
              </w:rPr>
            </w:pP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7"/>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436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4940" w:type="dxa"/>
            <w:vAlign w:val="bottom"/>
            <w:gridSpan w:val="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1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summarizes the principal factors that make an investment in us speculative or risky, all of which are more fully described in the Risk Factors section below. This summary should be read in conjunction with the Risk Factors section and should not be relied upon as an exhaustive summary of the material risks facing our business.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21" w:lineRule="exact"/>
        <w:rPr>
          <w:sz w:val="20"/>
          <w:szCs w:val="20"/>
          <w:color w:val="auto"/>
        </w:rPr>
      </w:pPr>
    </w:p>
    <w:p>
      <w:pPr>
        <w:ind w:left="1020" w:right="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We expect to incur losses over the next several years and may never achieve or maintain profitability.</w:t>
      </w:r>
    </w:p>
    <w:p>
      <w:pPr>
        <w:spacing w:after="0" w:line="54"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08" w:lineRule="exact"/>
        <w:rPr>
          <w:sz w:val="20"/>
          <w:szCs w:val="20"/>
          <w:color w:val="auto"/>
        </w:rPr>
      </w:pPr>
    </w:p>
    <w:p>
      <w:pPr>
        <w:jc w:val="both"/>
        <w:ind w:left="1020" w:hanging="503"/>
        <w:spacing w:after="0" w:line="24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Based on feedback received from the FDA in the second quarter of 2022, we decided to pause our planned submission of an Emergency Use Authorization (“EUA”) request for adintrevimab as a result of the Omicron BA.2 sublineage becoming the predominant variant in the United States. Published data has shown that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adintrevimab has markedly reduced neutralization activity against the Omicron BA.2, BA.4, and BA.5 sublineages. While we intend to continue to engage with the FDA and to monitor the evolution of SARS-CoV-2 and the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activity of adintrevimab against predominant variants in the United States to determine the optimal timing for an EUA request,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cannot be certain that adintrevimab will neutralize future variants and that we will submit an EUA for adintrevimab or whether an EUA will be granted if we do submit such request.</w:t>
      </w:r>
    </w:p>
    <w:p>
      <w:pPr>
        <w:spacing w:after="0" w:line="7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6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adintrevimab and any future product candidates represent novel approaches to the prevention and treatment of disease, there are many uncertainties regarding the development, market acceptance, third-party reimbursement coverage and commercial potential of our product candidates.</w:t>
      </w:r>
    </w:p>
    <w:p>
      <w:pPr>
        <w:spacing w:after="0" w:line="61"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emerging and future SARS-CoV-2 variants could reduce the activity and effectiveness of adintrevimab as a potential prevention of or treatment for symptomatic COVID-19. We may not be able to modify adintrevimab to improve binding to such variants and obtain sufficient data on the activity and effectiveness of re-engineered adintrevimab in order to support an EUA or regulatory approval, and we may not be successful in identifying new antibodies that are suitable either as monotherapy or as combination therapy to mitigate the risk of reduced activity against future SARS-CoV-2 variants.</w:t>
      </w:r>
    </w:p>
    <w:p>
      <w:pPr>
        <w:spacing w:after="0" w:line="86" w:lineRule="exact"/>
        <w:rPr>
          <w:rFonts w:ascii="Times New Roman" w:cs="Times New Roman" w:eastAsia="Times New Roman" w:hAnsi="Times New Roman"/>
          <w:sz w:val="18"/>
          <w:szCs w:val="18"/>
          <w:color w:val="auto"/>
        </w:rPr>
      </w:pPr>
    </w:p>
    <w:p>
      <w:pPr>
        <w:jc w:val="both"/>
        <w:ind w:left="1020" w:hanging="503"/>
        <w:spacing w:after="0" w:line="24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Health Emergency (as defined herein) will continue to be in place for an extended period of time and that the product we are developing for COVID-19 could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7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54"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awareness or negative public opinion of monoclonal antibody therapies and increased regulatory scrutiny of monoclonal antibody therapies to prevent or treat COVID-19 may adversely impact the development or commercial success of our current and future product candidates.</w:t>
      </w:r>
    </w:p>
    <w:p>
      <w:pPr>
        <w:spacing w:after="0" w:line="6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or difficulties in the enrollment and/or retention of patients in clinical trials, or we may pause, delay or terminate enrollment in our clinical trials, which could in turn delay or prevent our receipt of necessary regulatory approvals.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build a pipeline of additional product candidates through internal efforts or through partnerships for discovery of novel antibody product candidates.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may be adversely affected by the evolving and ongoing COVID-19 global pandemic.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08" w:lineRule="exact"/>
        <w:rPr>
          <w:sz w:val="20"/>
          <w:szCs w:val="20"/>
          <w:color w:val="auto"/>
        </w:rPr>
      </w:pPr>
    </w:p>
    <w:p>
      <w:pPr>
        <w:jc w:val="both"/>
        <w:ind w:left="102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08" w:lineRule="exact"/>
        <w:rPr>
          <w:sz w:val="20"/>
          <w:szCs w:val="20"/>
          <w:color w:val="auto"/>
        </w:rPr>
      </w:pPr>
    </w:p>
    <w:p>
      <w:pPr>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affected populations for adintrevimab or our other product candidates may be smaller than we or third parties currently project, which may affect our ability to enroll our clinical trials as well as the addressable markets for our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Adintrevimab and our other monoclonal antibody product candidates may face significant competition from vaccines, antiviral agents and other therapeutics for COVID-19 that are currently available or in development.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jc w:val="both"/>
        <w:ind w:left="102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82"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108" w:lineRule="exact"/>
        <w:rPr>
          <w:sz w:val="20"/>
          <w:szCs w:val="20"/>
          <w:color w:val="auto"/>
        </w:rPr>
      </w:pPr>
    </w:p>
    <w:p>
      <w:pPr>
        <w:jc w:val="both"/>
        <w:ind w:left="102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previously identified a material weakness in our internal control over financial reporting. 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474,885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542,224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49,194</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616,711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484,612</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620,091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 (Deficit)</w:t>
            </w:r>
          </w:p>
        </w:tc>
        <w:tc>
          <w:tcPr>
            <w:tcW w:w="3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67,883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Early-exercise liability</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3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69,773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72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7720" w:type="dxa"/>
            <w:vAlign w:val="bottom"/>
          </w:tcPr>
          <w:p>
            <w:pPr>
              <w:ind w:left="520"/>
              <w:spacing w:after="0" w:line="181" w:lineRule="exact"/>
              <w:rPr>
                <w:sz w:val="20"/>
                <w:szCs w:val="20"/>
                <w:color w:val="auto"/>
              </w:rPr>
            </w:pPr>
            <w:r>
              <w:rPr>
                <w:rFonts w:ascii="Times New Roman" w:cs="Times New Roman" w:eastAsia="Times New Roman" w:hAnsi="Times New Roman"/>
                <w:sz w:val="18"/>
                <w:szCs w:val="18"/>
                <w:color w:val="auto"/>
              </w:rPr>
              <w:t>authorized and no shares issued and outstanding at June 30, 2022</w:t>
            </w: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77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December 31, 2021</w:t>
            </w:r>
          </w:p>
        </w:tc>
        <w:tc>
          <w:tcPr>
            <w:tcW w:w="32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720" w:type="dxa"/>
            <w:vAlign w:val="bottom"/>
            <w:shd w:val="clear" w:color="auto" w:fill="CFF0FC"/>
          </w:tcPr>
          <w:p>
            <w:pPr>
              <w:ind w:left="380"/>
              <w:spacing w:after="0" w:line="170" w:lineRule="exact"/>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0"/>
        </w:trPr>
        <w:tc>
          <w:tcPr>
            <w:tcW w:w="7720" w:type="dxa"/>
            <w:vAlign w:val="bottom"/>
            <w:shd w:val="clear" w:color="auto" w:fill="CFF0FC"/>
          </w:tcPr>
          <w:p>
            <w:pPr>
              <w:ind w:left="520"/>
              <w:spacing w:after="0" w:line="181" w:lineRule="exact"/>
              <w:rPr>
                <w:sz w:val="20"/>
                <w:szCs w:val="20"/>
                <w:color w:val="auto"/>
              </w:rPr>
            </w:pPr>
            <w:r>
              <w:rPr>
                <w:rFonts w:ascii="Times New Roman" w:cs="Times New Roman" w:eastAsia="Times New Roman" w:hAnsi="Times New Roman"/>
                <w:sz w:val="18"/>
                <w:szCs w:val="18"/>
                <w:color w:val="auto"/>
              </w:rPr>
              <w:t>109,773,173 shares issued and 108,780,525 shares outstanding at</w:t>
            </w:r>
          </w:p>
        </w:tc>
        <w:tc>
          <w:tcPr>
            <w:tcW w:w="3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4"/>
        </w:trPr>
        <w:tc>
          <w:tcPr>
            <w:tcW w:w="7720" w:type="dxa"/>
            <w:vAlign w:val="bottom"/>
            <w:shd w:val="clear" w:color="auto" w:fill="CFF0FC"/>
          </w:tcPr>
          <w:p>
            <w:pPr>
              <w:ind w:left="520"/>
              <w:spacing w:after="0" w:line="184" w:lineRule="exact"/>
              <w:rPr>
                <w:sz w:val="20"/>
                <w:szCs w:val="20"/>
                <w:color w:val="auto"/>
              </w:rPr>
            </w:pPr>
            <w:r>
              <w:rPr>
                <w:rFonts w:ascii="Times New Roman" w:cs="Times New Roman" w:eastAsia="Times New Roman" w:hAnsi="Times New Roman"/>
                <w:sz w:val="18"/>
                <w:szCs w:val="18"/>
                <w:color w:val="auto"/>
              </w:rPr>
              <w:t>June 30, 2022; 1,000,000,000 shares authorized, 111,251,660 shares</w:t>
            </w:r>
          </w:p>
        </w:tc>
        <w:tc>
          <w:tcPr>
            <w:tcW w:w="32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8"/>
        </w:trPr>
        <w:tc>
          <w:tcPr>
            <w:tcW w:w="77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issued and 110,782,909 shares outstanding at December 31, 2021</w:t>
            </w: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171"/>
        </w:trPr>
        <w:tc>
          <w:tcPr>
            <w:tcW w:w="772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Treasury stock, at cost; 992,648 shares and 468,751 shares at</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June 30, 2022 and December 31, 2021, respectively</w:t>
            </w:r>
          </w:p>
        </w:tc>
        <w:tc>
          <w:tcPr>
            <w:tcW w:w="32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858,593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850,125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(443,765 )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(292,109 )</w:t>
            </w:r>
          </w:p>
        </w:tc>
      </w:tr>
      <w:tr>
        <w:trPr>
          <w:trHeight w:val="210"/>
        </w:trPr>
        <w:tc>
          <w:tcPr>
            <w:tcW w:w="77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414,839</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558,019</w:t>
            </w:r>
          </w:p>
        </w:tc>
        <w:tc>
          <w:tcPr>
            <w:tcW w:w="100" w:type="dxa"/>
            <w:vAlign w:val="bottom"/>
            <w:tcBorders>
              <w:top w:val="single" w:sz="8" w:color="CFF0FC"/>
            </w:tcBorders>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 (deficit)</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484,612</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620,091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-4405630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-4405630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-3848100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-2708275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-2142490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-2142490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8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280" w:type="dxa"/>
            <w:vAlign w:val="bottom"/>
            <w:gridSpan w:val="2"/>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0" w:type="dxa"/>
            <w:vAlign w:val="bottom"/>
          </w:tcPr>
          <w:p>
            <w:pPr>
              <w:spacing w:after="0"/>
              <w:rPr>
                <w:sz w:val="13"/>
                <w:szCs w:val="13"/>
                <w:color w:val="auto"/>
              </w:rPr>
            </w:pPr>
          </w:p>
        </w:tc>
        <w:tc>
          <w:tcPr>
            <w:tcW w:w="116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75"/>
        </w:trPr>
        <w:tc>
          <w:tcPr>
            <w:tcW w:w="5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5"/>
                <w:szCs w:val="15"/>
                <w:color w:val="auto"/>
              </w:rPr>
            </w:pPr>
          </w:p>
        </w:tc>
        <w:tc>
          <w:tcPr>
            <w:tcW w:w="128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5"/>
                <w:szCs w:val="15"/>
                <w:color w:val="auto"/>
              </w:rPr>
            </w:pPr>
          </w:p>
        </w:tc>
        <w:tc>
          <w:tcPr>
            <w:tcW w:w="128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5"/>
                <w:szCs w:val="15"/>
                <w:color w:val="auto"/>
              </w:rPr>
            </w:pPr>
          </w:p>
        </w:tc>
        <w:tc>
          <w:tcPr>
            <w:tcW w:w="116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87"/>
        </w:trPr>
        <w:tc>
          <w:tcPr>
            <w:tcW w:w="5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69,204</w:t>
            </w:r>
          </w:p>
        </w:tc>
        <w:tc>
          <w:tcPr>
            <w:tcW w:w="100" w:type="dxa"/>
            <w:vAlign w:val="bottom"/>
          </w:tcPr>
          <w:p>
            <w:pPr>
              <w:spacing w:after="0"/>
              <w:rPr>
                <w:sz w:val="18"/>
                <w:szCs w:val="18"/>
                <w:color w:val="auto"/>
              </w:rPr>
            </w:pPr>
          </w:p>
        </w:tc>
      </w:tr>
      <w:tr>
        <w:trPr>
          <w:trHeight w:val="216"/>
        </w:trPr>
        <w:tc>
          <w:tcPr>
            <w:tcW w:w="578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Acquired in-process research and development</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10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44,691</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152,488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83,399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(51,749 )</w:t>
            </w:r>
          </w:p>
        </w:tc>
        <w:tc>
          <w:tcPr>
            <w:tcW w:w="10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(44,691 )</w:t>
            </w:r>
          </w:p>
        </w:tc>
        <w:tc>
          <w:tcPr>
            <w:tcW w:w="10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(152,488 )</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(83,399 )</w:t>
            </w: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r>
      <w:tr>
        <w:trPr>
          <w:trHeight w:val="209"/>
        </w:trPr>
        <w:tc>
          <w:tcPr>
            <w:tcW w:w="57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3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(50,990 )</w:t>
            </w:r>
          </w:p>
        </w:tc>
        <w:tc>
          <w:tcPr>
            <w:tcW w:w="10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(44,673 )</w:t>
            </w:r>
          </w:p>
        </w:tc>
        <w:tc>
          <w:tcPr>
            <w:tcW w:w="100" w:type="dxa"/>
            <w:vAlign w:val="bottom"/>
          </w:tcPr>
          <w:p>
            <w:pPr>
              <w:spacing w:after="0"/>
              <w:rPr>
                <w:sz w:val="18"/>
                <w:szCs w:val="18"/>
                <w:color w:val="auto"/>
              </w:rPr>
            </w:pP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(151,656 )</w:t>
            </w:r>
          </w:p>
        </w:tc>
        <w:tc>
          <w:tcPr>
            <w:tcW w:w="1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(83,373 )</w:t>
            </w:r>
          </w:p>
        </w:tc>
      </w:tr>
      <w:tr>
        <w:trPr>
          <w:trHeight w:val="20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 on available-for-sale securities, net of tax</w:t>
            </w:r>
          </w:p>
        </w:tc>
        <w:tc>
          <w:tcPr>
            <w:tcW w:w="120" w:type="dxa"/>
            <w:vAlign w:val="bottom"/>
          </w:tcPr>
          <w:p>
            <w:pPr>
              <w:spacing w:after="0"/>
              <w:rPr>
                <w:sz w:val="18"/>
                <w:szCs w:val="18"/>
                <w:color w:val="auto"/>
              </w:rPr>
            </w:pPr>
          </w:p>
        </w:tc>
        <w:tc>
          <w:tcPr>
            <w:tcW w:w="13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(151,648</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(83,373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1"/>
              <w:spacing w:after="0" w:line="196" w:lineRule="exact"/>
              <w:rPr>
                <w:sz w:val="20"/>
                <w:szCs w:val="20"/>
                <w:color w:val="auto"/>
              </w:rPr>
            </w:pPr>
            <w:r>
              <w:rPr>
                <w:rFonts w:ascii="Times New Roman" w:cs="Times New Roman" w:eastAsia="Times New Roman" w:hAnsi="Times New Roman"/>
                <w:sz w:val="18"/>
                <w:szCs w:val="18"/>
                <w:color w:val="auto"/>
              </w:rPr>
              <w:t>(0.47 )</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(178.86 )</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81"/>
              <w:spacing w:after="0" w:line="196" w:lineRule="exact"/>
              <w:rPr>
                <w:sz w:val="20"/>
                <w:szCs w:val="20"/>
                <w:color w:val="auto"/>
              </w:rPr>
            </w:pPr>
            <w:r>
              <w:rPr>
                <w:rFonts w:ascii="Times New Roman" w:cs="Times New Roman" w:eastAsia="Times New Roman" w:hAnsi="Times New Roman"/>
                <w:sz w:val="18"/>
                <w:szCs w:val="18"/>
                <w:color w:val="auto"/>
              </w:rPr>
              <w:t>(1.40 )</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(663.94 )</w:t>
            </w:r>
          </w:p>
        </w:tc>
      </w:tr>
      <w:tr>
        <w:trPr>
          <w:trHeight w:val="20"/>
        </w:trPr>
        <w:tc>
          <w:tcPr>
            <w:tcW w:w="5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108,166,890</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249,769</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108,019,051</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125,574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-1499870</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-1499870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-1499870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-925195</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-925195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-925195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-350520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-334010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-350520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-334010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-350520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-334010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left="520" w:right="20" w:hanging="512"/>
        <w:spacing w:after="0" w:line="254"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$2,285 and $4,285 for the three and six months ended June 30, 2022, respectively, and $247 and $435 for the three and six months ended June 30, 2021, respectively (see Note 15).</w:t>
      </w:r>
    </w:p>
    <w:p>
      <w:pPr>
        <w:ind w:left="520" w:hanging="512"/>
        <w:spacing w:after="0" w:line="243"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 related-party amounts for both the three and six months ended June 30, 2022, and $2,500 and $3,500 for the three and six months ended June 30, 2021, respectively (see Note 15).</w:t>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11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w:t>
      </w:r>
    </w:p>
    <w:p>
      <w:pPr>
        <w:spacing w:after="0" w:line="10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PREFERRED STOCK AND STOCKHOLDERS’ EQUITY (DEFICIT)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60" w:type="dxa"/>
            <w:vAlign w:val="bottom"/>
          </w:tcPr>
          <w:p>
            <w:pPr>
              <w:spacing w:after="0"/>
              <w:rPr>
                <w:sz w:val="12"/>
                <w:szCs w:val="12"/>
                <w:color w:val="auto"/>
              </w:rPr>
            </w:pPr>
          </w:p>
        </w:tc>
        <w:tc>
          <w:tcPr>
            <w:tcW w:w="14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8"/>
        </w:trPr>
        <w:tc>
          <w:tcPr>
            <w:tcW w:w="226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vMerge w:val="restart"/>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08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94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86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Stockholder</w:t>
            </w:r>
          </w:p>
        </w:tc>
        <w:tc>
          <w:tcPr>
            <w:tcW w:w="0" w:type="dxa"/>
            <w:vAlign w:val="bottom"/>
          </w:tcPr>
          <w:p>
            <w:pPr>
              <w:spacing w:after="0"/>
              <w:rPr>
                <w:sz w:val="1"/>
                <w:szCs w:val="1"/>
                <w:color w:val="auto"/>
              </w:rPr>
            </w:pPr>
          </w:p>
        </w:tc>
      </w:tr>
      <w:tr>
        <w:trPr>
          <w:trHeight w:val="176"/>
        </w:trPr>
        <w:tc>
          <w:tcPr>
            <w:tcW w:w="22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43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w:t>
            </w:r>
          </w:p>
        </w:tc>
        <w:tc>
          <w:tcPr>
            <w:tcW w:w="1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4"/>
              </w:rPr>
              <w:t>s’</w:t>
            </w:r>
          </w:p>
        </w:tc>
        <w:tc>
          <w:tcPr>
            <w:tcW w:w="0" w:type="dxa"/>
            <w:vAlign w:val="bottom"/>
          </w:tcPr>
          <w:p>
            <w:pPr>
              <w:spacing w:after="0"/>
              <w:rPr>
                <w:sz w:val="1"/>
                <w:szCs w:val="1"/>
                <w:color w:val="auto"/>
              </w:rPr>
            </w:pPr>
          </w:p>
        </w:tc>
      </w:tr>
      <w:tr>
        <w:trPr>
          <w:trHeight w:val="125"/>
        </w:trPr>
        <w:tc>
          <w:tcPr>
            <w:tcW w:w="22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vMerge w:val="restart"/>
          </w:tcPr>
          <w:p>
            <w:pPr>
              <w:spacing w:after="0"/>
              <w:rPr>
                <w:sz w:val="10"/>
                <w:szCs w:val="10"/>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9"/>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2020</w:t>
            </w: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260" w:type="dxa"/>
            <w:vAlign w:val="bottom"/>
            <w:vMerge w:val="continue"/>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12,64</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169,548</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5,593,24</w:t>
            </w:r>
          </w:p>
        </w:tc>
        <w:tc>
          <w:tcPr>
            <w:tcW w:w="24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22,600,</w:t>
            </w:r>
          </w:p>
        </w:tc>
        <w:tc>
          <w:tcPr>
            <w:tcW w:w="200" w:type="dxa"/>
            <w:vAlign w:val="bottom"/>
          </w:tcPr>
          <w:p>
            <w:pPr>
              <w:spacing w:after="0"/>
              <w:rPr>
                <w:sz w:val="11"/>
                <w:szCs w:val="11"/>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w w:val="96"/>
              </w:rPr>
              <w:t>(85 )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2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(65,319 )</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(65,249 )</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7,934</w:t>
            </w:r>
          </w:p>
        </w:tc>
        <w:tc>
          <w:tcPr>
            <w:tcW w:w="34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(38,700 )</w:t>
            </w: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(38,700 )</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2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Balances at March 31, 2021</w:t>
            </w:r>
          </w:p>
        </w:tc>
        <w:tc>
          <w:tcPr>
            <w:tcW w:w="5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12,64</w:t>
            </w:r>
          </w:p>
        </w:tc>
        <w:tc>
          <w:tcPr>
            <w:tcW w:w="24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169,548</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5,593,24</w:t>
            </w:r>
          </w:p>
        </w:tc>
        <w:tc>
          <w:tcPr>
            <w:tcW w:w="24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22,600,</w:t>
            </w:r>
          </w:p>
        </w:tc>
        <w:tc>
          <w:tcPr>
            <w:tcW w:w="20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w w:val="96"/>
              </w:rPr>
              <w:t>(85 )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20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(104,019 )</w:t>
            </w: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(103,362 )</w:t>
            </w:r>
          </w:p>
        </w:tc>
        <w:tc>
          <w:tcPr>
            <w:tcW w:w="0" w:type="dxa"/>
            <w:vAlign w:val="bottom"/>
          </w:tcPr>
          <w:p>
            <w:pPr>
              <w:spacing w:after="0"/>
              <w:rPr>
                <w:sz w:val="1"/>
                <w:szCs w:val="1"/>
                <w:color w:val="auto"/>
              </w:rPr>
            </w:pPr>
          </w:p>
        </w:tc>
      </w:tr>
      <w:tr>
        <w:trPr>
          <w:trHeight w:val="215"/>
        </w:trPr>
        <w:tc>
          <w:tcPr>
            <w:tcW w:w="22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7,934</w:t>
            </w:r>
          </w:p>
        </w:tc>
        <w:tc>
          <w:tcPr>
            <w:tcW w:w="24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200" w:type="dxa"/>
            <w:vAlign w:val="bottom"/>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420" w:type="dxa"/>
            <w:vAlign w:val="bottom"/>
            <w:gridSpan w:val="2"/>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1080" w:type="dxa"/>
            <w:vAlign w:val="bottom"/>
            <w:gridSpan w:val="2"/>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7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260" w:type="dxa"/>
            <w:vAlign w:val="bottom"/>
            <w:tcBorders>
              <w:top w:val="single" w:sz="8" w:color="CFF0FC"/>
            </w:tcBorders>
          </w:tcPr>
          <w:p>
            <w:pPr>
              <w:ind w:left="20"/>
              <w:spacing w:after="0" w:line="116" w:lineRule="exact"/>
              <w:rPr>
                <w:sz w:val="20"/>
                <w:szCs w:val="20"/>
                <w:color w:val="auto"/>
              </w:rPr>
            </w:pPr>
            <w:r>
              <w:rPr>
                <w:rFonts w:ascii="Times New Roman" w:cs="Times New Roman" w:eastAsia="Times New Roman" w:hAnsi="Times New Roman"/>
                <w:sz w:val="13"/>
                <w:szCs w:val="13"/>
                <w:color w:val="auto"/>
              </w:rPr>
              <w:t>Issuance of Series C convertible</w:t>
            </w:r>
          </w:p>
        </w:tc>
        <w:tc>
          <w:tcPr>
            <w:tcW w:w="50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FF0FC"/>
              <w:right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preferred stock, net of issuance costs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4,296,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of $337</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335,163</w:t>
            </w: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Vesting of restricted common stock</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from early-exercised options</w:t>
            </w:r>
          </w:p>
        </w:tc>
        <w:tc>
          <w:tcPr>
            <w:tcW w:w="50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60" w:type="dxa"/>
            <w:vAlign w:val="bottom"/>
          </w:tcPr>
          <w:p>
            <w:pPr>
              <w:ind w:left="20"/>
              <w:spacing w:after="0" w:line="123" w:lineRule="exact"/>
              <w:rPr>
                <w:sz w:val="20"/>
                <w:szCs w:val="20"/>
                <w:color w:val="auto"/>
              </w:rPr>
            </w:pPr>
            <w:r>
              <w:rPr>
                <w:rFonts w:ascii="Times New Roman" w:cs="Times New Roman" w:eastAsia="Times New Roman" w:hAnsi="Times New Roman"/>
                <w:sz w:val="13"/>
                <w:szCs w:val="13"/>
                <w:color w:val="auto"/>
              </w:rPr>
              <w:t>Retirement of treasury stock</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(22,600,</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2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000 )</w:t>
            </w:r>
          </w:p>
        </w:tc>
        <w:tc>
          <w:tcPr>
            <w:tcW w:w="3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(85 )</w:t>
            </w:r>
          </w:p>
        </w:tc>
        <w:tc>
          <w:tcPr>
            <w:tcW w:w="1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(44,673 )</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(44,673 )</w:t>
            </w:r>
          </w:p>
        </w:tc>
        <w:tc>
          <w:tcPr>
            <w:tcW w:w="0" w:type="dxa"/>
            <w:vAlign w:val="bottom"/>
          </w:tcPr>
          <w:p>
            <w:pPr>
              <w:spacing w:after="0"/>
              <w:rPr>
                <w:sz w:val="1"/>
                <w:szCs w:val="1"/>
                <w:color w:val="auto"/>
              </w:rPr>
            </w:pPr>
          </w:p>
        </w:tc>
      </w:tr>
      <w:tr>
        <w:trPr>
          <w:trHeight w:val="20"/>
        </w:trPr>
        <w:tc>
          <w:tcPr>
            <w:tcW w:w="2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260" w:type="dxa"/>
            <w:vAlign w:val="bottom"/>
          </w:tcPr>
          <w:p>
            <w:pPr>
              <w:spacing w:after="0"/>
              <w:rPr>
                <w:sz w:val="11"/>
                <w:szCs w:val="11"/>
                <w:color w:val="auto"/>
              </w:rPr>
            </w:pPr>
          </w:p>
        </w:tc>
        <w:tc>
          <w:tcPr>
            <w:tcW w:w="50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16,94</w:t>
            </w:r>
          </w:p>
        </w:tc>
        <w:tc>
          <w:tcPr>
            <w:tcW w:w="24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504,711</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5,599,24</w:t>
            </w:r>
          </w:p>
        </w:tc>
        <w:tc>
          <w:tcPr>
            <w:tcW w:w="24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vMerge w:val="restart"/>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spacing w:after="0"/>
              <w:rPr>
                <w:sz w:val="11"/>
                <w:szCs w:val="11"/>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4,067</w:t>
            </w:r>
          </w:p>
        </w:tc>
        <w:tc>
          <w:tcPr>
            <w:tcW w:w="2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(148,692 )</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3"/>
                <w:szCs w:val="13"/>
                <w:color w:val="auto"/>
              </w:rPr>
              <w:t>(144,624 )</w:t>
            </w: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2021</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4,484</w:t>
            </w:r>
          </w:p>
        </w:tc>
        <w:tc>
          <w:tcPr>
            <w:tcW w:w="2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60" w:type="dxa"/>
            <w:vAlign w:val="bottom"/>
          </w:tcPr>
          <w:p>
            <w:pPr>
              <w:spacing w:after="0"/>
              <w:rPr>
                <w:sz w:val="13"/>
                <w:szCs w:val="13"/>
                <w:color w:val="auto"/>
              </w:rPr>
            </w:pPr>
          </w:p>
        </w:tc>
        <w:tc>
          <w:tcPr>
            <w:tcW w:w="14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1480" w:type="dxa"/>
            <w:vAlign w:val="bottom"/>
            <w:gridSpan w:val="4"/>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4"/>
            <w:vMerge w:val="restart"/>
          </w:tcPr>
          <w:p>
            <w:pPr>
              <w:jc w:val="right"/>
              <w:ind w:right="27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jc w:val="center"/>
              <w:ind w:right="200"/>
              <w:spacing w:after="0" w:line="13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2"/>
                <w:szCs w:val="12"/>
                <w:color w:val="auto"/>
              </w:rPr>
            </w:pPr>
          </w:p>
        </w:tc>
        <w:tc>
          <w:tcPr>
            <w:tcW w:w="1080" w:type="dxa"/>
            <w:vAlign w:val="bottom"/>
            <w:gridSpan w:val="2"/>
          </w:tcPr>
          <w:p>
            <w:pPr>
              <w:jc w:val="center"/>
              <w:ind w:right="320"/>
              <w:spacing w:after="0" w:line="139" w:lineRule="exact"/>
              <w:rPr>
                <w:sz w:val="20"/>
                <w:szCs w:val="20"/>
                <w:color w:val="auto"/>
              </w:rPr>
            </w:pPr>
            <w:r>
              <w:rPr>
                <w:rFonts w:ascii="Times New Roman" w:cs="Times New Roman" w:eastAsia="Times New Roman" w:hAnsi="Times New Roman"/>
                <w:sz w:val="13"/>
                <w:szCs w:val="13"/>
                <w:b w:val="1"/>
                <w:bCs w:val="1"/>
                <w:color w:val="auto"/>
              </w:rPr>
              <w:t>Other</w:t>
            </w:r>
          </w:p>
        </w:tc>
        <w:tc>
          <w:tcPr>
            <w:tcW w:w="94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Accumulate</w:t>
            </w:r>
          </w:p>
        </w:tc>
        <w:tc>
          <w:tcPr>
            <w:tcW w:w="860" w:type="dxa"/>
            <w:vAlign w:val="bottom"/>
            <w:gridSpan w:val="3"/>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rPr>
              <w:t>Stockholder</w:t>
            </w: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433"/>
              <w:spacing w:after="0"/>
              <w:rPr>
                <w:sz w:val="20"/>
                <w:szCs w:val="20"/>
                <w:color w:val="auto"/>
              </w:rPr>
            </w:pPr>
            <w:r>
              <w:rPr>
                <w:rFonts w:ascii="Times New Roman" w:cs="Times New Roman" w:eastAsia="Times New Roman" w:hAnsi="Times New Roman"/>
                <w:sz w:val="13"/>
                <w:szCs w:val="13"/>
                <w:b w:val="1"/>
                <w:bCs w:val="1"/>
                <w:color w:val="auto"/>
              </w:rPr>
              <w:t>Stock</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d</w:t>
            </w:r>
          </w:p>
        </w:tc>
        <w:tc>
          <w:tcPr>
            <w:tcW w:w="12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84"/>
              </w:rPr>
              <w:t>s’</w:t>
            </w:r>
          </w:p>
        </w:tc>
        <w:tc>
          <w:tcPr>
            <w:tcW w:w="0" w:type="dxa"/>
            <w:vAlign w:val="bottom"/>
          </w:tcPr>
          <w:p>
            <w:pPr>
              <w:spacing w:after="0"/>
              <w:rPr>
                <w:sz w:val="1"/>
                <w:szCs w:val="1"/>
                <w:color w:val="auto"/>
              </w:rPr>
            </w:pPr>
          </w:p>
        </w:tc>
      </w:tr>
      <w:tr>
        <w:trPr>
          <w:trHeight w:val="125"/>
        </w:trPr>
        <w:tc>
          <w:tcPr>
            <w:tcW w:w="22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vMerge w:val="restart"/>
          </w:tcPr>
          <w:p>
            <w:pPr>
              <w:spacing w:after="0"/>
              <w:rPr>
                <w:sz w:val="10"/>
                <w:szCs w:val="10"/>
                <w:color w:val="auto"/>
              </w:rPr>
            </w:pPr>
          </w:p>
        </w:tc>
        <w:tc>
          <w:tcPr>
            <w:tcW w:w="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2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restart"/>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500" w:type="dxa"/>
            <w:vAlign w:val="bottom"/>
            <w:tcBorders>
              <w:bottom w:val="single" w:sz="8" w:color="auto"/>
            </w:tcBorders>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26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110,782,</w:t>
            </w:r>
          </w:p>
        </w:tc>
        <w:tc>
          <w:tcPr>
            <w:tcW w:w="24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468,751</w:t>
            </w:r>
          </w:p>
        </w:tc>
        <w:tc>
          <w:tcPr>
            <w:tcW w:w="200" w:type="dxa"/>
            <w:vAlign w:val="bottom"/>
            <w:shd w:val="clear" w:color="auto" w:fill="CFF0FC"/>
          </w:tcPr>
          <w:p>
            <w:pPr>
              <w:spacing w:after="0"/>
              <w:rPr>
                <w:sz w:val="11"/>
                <w:szCs w:val="11"/>
                <w:color w:val="auto"/>
              </w:rPr>
            </w:pPr>
          </w:p>
        </w:tc>
        <w:tc>
          <w:tcPr>
            <w:tcW w:w="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850,125</w:t>
            </w:r>
          </w:p>
        </w:tc>
        <w:tc>
          <w:tcPr>
            <w:tcW w:w="20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(8 )</w:t>
            </w: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(292,109 )</w:t>
            </w: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558,019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340" w:type="dxa"/>
            <w:vAlign w:val="bottom"/>
            <w:gridSpan w:val="2"/>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240" w:type="dxa"/>
            <w:vAlign w:val="bottom"/>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vMerge w:val="continue"/>
            <w:shd w:val="clear" w:color="auto" w:fill="CFF0FC"/>
          </w:tcPr>
          <w:p>
            <w:pPr>
              <w:spacing w:after="0"/>
              <w:rPr>
                <w:sz w:val="15"/>
                <w:szCs w:val="15"/>
                <w:color w:val="auto"/>
              </w:rPr>
            </w:pPr>
          </w:p>
        </w:tc>
        <w:tc>
          <w:tcPr>
            <w:tcW w:w="420" w:type="dxa"/>
            <w:vAlign w:val="bottom"/>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080" w:type="dxa"/>
            <w:vAlign w:val="bottom"/>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2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Vesting of restricted common stock</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1"/>
                <w:szCs w:val="11"/>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early-exercised options</w:t>
            </w:r>
          </w:p>
        </w:tc>
        <w:tc>
          <w:tcPr>
            <w:tcW w:w="5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50,353</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60" w:type="dxa"/>
            <w:vAlign w:val="bottom"/>
          </w:tcPr>
          <w:p>
            <w:pPr>
              <w:ind w:left="20"/>
              <w:spacing w:after="0" w:line="123" w:lineRule="exact"/>
              <w:rPr>
                <w:sz w:val="20"/>
                <w:szCs w:val="20"/>
                <w:color w:val="auto"/>
              </w:rPr>
            </w:pPr>
            <w:r>
              <w:rPr>
                <w:rFonts w:ascii="Times New Roman" w:cs="Times New Roman" w:eastAsia="Times New Roman" w:hAnsi="Times New Roman"/>
                <w:sz w:val="13"/>
                <w:szCs w:val="13"/>
                <w:color w:val="auto"/>
              </w:rPr>
              <w:t>Repurchase of unvested restricted</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6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3"/>
                <w:szCs w:val="13"/>
                <w:color w:val="auto"/>
              </w:rPr>
              <w:t>(1,158,0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line="123" w:lineRule="exact"/>
              <w:rPr>
                <w:sz w:val="20"/>
                <w:szCs w:val="20"/>
                <w:color w:val="auto"/>
              </w:rPr>
            </w:pPr>
            <w:r>
              <w:rPr>
                <w:rFonts w:ascii="Times New Roman" w:cs="Times New Roman" w:eastAsia="Times New Roman" w:hAnsi="Times New Roman"/>
                <w:sz w:val="13"/>
                <w:szCs w:val="13"/>
                <w:color w:val="auto"/>
              </w:rPr>
              <w:t>1,158,0</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6"/>
                <w:szCs w:val="16"/>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89 )</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260" w:type="dxa"/>
            <w:vAlign w:val="bottom"/>
            <w:shd w:val="clear" w:color="auto" w:fill="CFF0FC"/>
          </w:tcPr>
          <w:p>
            <w:pPr>
              <w:ind w:left="20"/>
              <w:spacing w:after="0" w:line="123" w:lineRule="exact"/>
              <w:rPr>
                <w:sz w:val="20"/>
                <w:szCs w:val="20"/>
                <w:color w:val="auto"/>
              </w:rPr>
            </w:pPr>
            <w:r>
              <w:rPr>
                <w:rFonts w:ascii="Times New Roman" w:cs="Times New Roman" w:eastAsia="Times New Roman" w:hAnsi="Times New Roman"/>
                <w:sz w:val="13"/>
                <w:szCs w:val="13"/>
                <w:color w:val="auto"/>
              </w:rPr>
              <w:t>Retirement of treasury stock</w:t>
            </w:r>
          </w:p>
        </w:tc>
        <w:tc>
          <w:tcPr>
            <w:tcW w:w="5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color w:val="auto"/>
              </w:rPr>
              <w:t>(1,626,8</w:t>
            </w: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26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40 )</w:t>
            </w:r>
          </w:p>
        </w:tc>
        <w:tc>
          <w:tcPr>
            <w:tcW w:w="30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Unrealized gain on available-for-sale</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1"/>
                <w:szCs w:val="11"/>
                <w:color w:val="auto"/>
              </w:rPr>
            </w:pPr>
          </w:p>
        </w:tc>
        <w:tc>
          <w:tcPr>
            <w:tcW w:w="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securities, net of tax</w:t>
            </w:r>
          </w:p>
        </w:tc>
        <w:tc>
          <w:tcPr>
            <w:tcW w:w="50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gridSpan w:val="2"/>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2"/>
            <w:vMerge w:val="continue"/>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(100,666 )</w:t>
            </w:r>
          </w:p>
        </w:tc>
        <w:tc>
          <w:tcPr>
            <w:tcW w:w="1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(100,666 )</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26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Balances at March 31, 2022</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3"/>
                <w:szCs w:val="13"/>
                <w:color w:val="auto"/>
              </w:rPr>
              <w:t>109,675,</w:t>
            </w:r>
          </w:p>
        </w:tc>
        <w:tc>
          <w:tcPr>
            <w:tcW w:w="240" w:type="dxa"/>
            <w:vAlign w:val="bottom"/>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11"/>
                <w:szCs w:val="11"/>
                <w:color w:val="auto"/>
              </w:rPr>
            </w:pPr>
          </w:p>
        </w:tc>
        <w:tc>
          <w:tcPr>
            <w:tcW w:w="3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852,156</w:t>
            </w:r>
          </w:p>
        </w:tc>
        <w:tc>
          <w:tcPr>
            <w:tcW w:w="20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11"/>
                <w:szCs w:val="11"/>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(392,775 )</w:t>
            </w:r>
          </w:p>
        </w:tc>
        <w:tc>
          <w:tcPr>
            <w:tcW w:w="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459,392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260" w:type="dxa"/>
            <w:vAlign w:val="bottom"/>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24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240" w:type="dxa"/>
            <w:vAlign w:val="bottom"/>
            <w:shd w:val="clear" w:color="auto" w:fill="CFF0FC"/>
          </w:tcPr>
          <w:p>
            <w:pPr>
              <w:spacing w:after="0"/>
              <w:rPr>
                <w:sz w:val="18"/>
                <w:szCs w:val="18"/>
                <w:color w:val="auto"/>
              </w:rPr>
            </w:pPr>
          </w:p>
        </w:tc>
        <w:tc>
          <w:tcPr>
            <w:tcW w:w="8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30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220" w:type="dxa"/>
            <w:vAlign w:val="bottom"/>
            <w:vMerge w:val="continue"/>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vMerge w:val="continue"/>
            <w:shd w:val="clear" w:color="auto" w:fill="CFF0FC"/>
          </w:tcPr>
          <w:p>
            <w:pPr>
              <w:spacing w:after="0"/>
              <w:rPr>
                <w:sz w:val="18"/>
                <w:szCs w:val="18"/>
                <w:color w:val="auto"/>
              </w:rPr>
            </w:pPr>
          </w:p>
        </w:tc>
        <w:tc>
          <w:tcPr>
            <w:tcW w:w="880" w:type="dxa"/>
            <w:vAlign w:val="bottom"/>
            <w:vMerge w:val="continue"/>
            <w:shd w:val="clear" w:color="auto" w:fill="CFF0FC"/>
          </w:tcPr>
          <w:p>
            <w:pPr>
              <w:spacing w:after="0"/>
              <w:rPr>
                <w:sz w:val="18"/>
                <w:szCs w:val="18"/>
                <w:color w:val="auto"/>
              </w:rPr>
            </w:pPr>
          </w:p>
        </w:tc>
        <w:tc>
          <w:tcPr>
            <w:tcW w:w="20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80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6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2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right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98,000</w:t>
            </w:r>
          </w:p>
        </w:tc>
        <w:tc>
          <w:tcPr>
            <w:tcW w:w="24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2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26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Repurchase of unvested restricted</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1"/>
                <w:szCs w:val="11"/>
                <w:color w:val="auto"/>
              </w:rPr>
            </w:pPr>
          </w:p>
        </w:tc>
        <w:tc>
          <w:tcPr>
            <w:tcW w:w="1000" w:type="dxa"/>
            <w:vAlign w:val="bottom"/>
            <w:gridSpan w:val="3"/>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(992,648 )</w:t>
            </w:r>
          </w:p>
        </w:tc>
        <w:tc>
          <w:tcPr>
            <w:tcW w:w="8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992,648</w:t>
            </w:r>
          </w:p>
        </w:tc>
        <w:tc>
          <w:tcPr>
            <w:tcW w:w="20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50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240" w:type="dxa"/>
            <w:vAlign w:val="bottom"/>
            <w:tcBorders>
              <w:right w:val="single" w:sz="8" w:color="auto"/>
            </w:tcBorders>
            <w:shd w:val="clear" w:color="auto" w:fill="CFF0FC"/>
          </w:tcPr>
          <w:p>
            <w:pPr>
              <w:spacing w:after="0"/>
              <w:rPr>
                <w:sz w:val="15"/>
                <w:szCs w:val="15"/>
                <w:color w:val="auto"/>
              </w:rPr>
            </w:pPr>
          </w:p>
        </w:tc>
        <w:tc>
          <w:tcPr>
            <w:tcW w:w="1000" w:type="dxa"/>
            <w:vAlign w:val="bottom"/>
            <w:gridSpan w:val="3"/>
            <w:vMerge w:val="continue"/>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42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(50,990 )</w:t>
            </w: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(50,990 )</w:t>
            </w:r>
          </w:p>
        </w:tc>
        <w:tc>
          <w:tcPr>
            <w:tcW w:w="0" w:type="dxa"/>
            <w:vAlign w:val="bottom"/>
          </w:tcPr>
          <w:p>
            <w:pPr>
              <w:spacing w:after="0"/>
              <w:rPr>
                <w:sz w:val="1"/>
                <w:szCs w:val="1"/>
                <w:color w:val="auto"/>
              </w:rPr>
            </w:pPr>
          </w:p>
        </w:tc>
      </w:tr>
      <w:tr>
        <w:trPr>
          <w:trHeight w:val="20"/>
        </w:trPr>
        <w:tc>
          <w:tcPr>
            <w:tcW w:w="2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26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b w:val="1"/>
                <w:bCs w:val="1"/>
                <w:color w:val="auto"/>
              </w:rPr>
              <w:t>Balances at June 30, 2022</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0" w:lineRule="exact"/>
              <w:rPr>
                <w:sz w:val="20"/>
                <w:szCs w:val="20"/>
                <w:color w:val="auto"/>
              </w:rPr>
            </w:pPr>
            <w:r>
              <w:rPr>
                <w:rFonts w:ascii="Times New Roman" w:cs="Times New Roman" w:eastAsia="Times New Roman" w:hAnsi="Times New Roman"/>
                <w:sz w:val="13"/>
                <w:szCs w:val="13"/>
                <w:color w:val="auto"/>
              </w:rPr>
              <w:t>108,780,</w:t>
            </w:r>
          </w:p>
        </w:tc>
        <w:tc>
          <w:tcPr>
            <w:tcW w:w="24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992,648</w:t>
            </w:r>
          </w:p>
        </w:tc>
        <w:tc>
          <w:tcPr>
            <w:tcW w:w="200" w:type="dxa"/>
            <w:vAlign w:val="bottom"/>
          </w:tcPr>
          <w:p>
            <w:pPr>
              <w:spacing w:after="0"/>
              <w:rPr>
                <w:sz w:val="11"/>
                <w:szCs w:val="11"/>
                <w:color w:val="auto"/>
              </w:rPr>
            </w:pP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858,593</w:t>
            </w:r>
          </w:p>
        </w:tc>
        <w:tc>
          <w:tcPr>
            <w:tcW w:w="2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spacing w:after="0"/>
              <w:rPr>
                <w:sz w:val="11"/>
                <w:szCs w:val="11"/>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(443,765 )</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414,839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2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-4199890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-4182745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-4199890</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-4182745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-4199890</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-4182745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-4199890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-4182745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-4199890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-4182745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-4199890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-4182745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-4199890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-4182745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-4199890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-4182745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-4199890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-4182745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-4182745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-3154045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-3154045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-3154045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-3154045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-3154045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-3154045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-3154045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-3154045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-3154045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-788035</wp:posOffset>
            </wp:positionV>
            <wp:extent cx="77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-770890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-788035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-770890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-788035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-770890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-788035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-770890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-788035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-770890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-788035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-770890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-788035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-770890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-788035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-770890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-788035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-770890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-230505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-230505</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-230505</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-230505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-230505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-230505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-230505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-230505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-230505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400" w:type="dxa"/>
            <w:vAlign w:val="bottom"/>
            <w:gridSpan w:val="3"/>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380" w:type="dxa"/>
            <w:vAlign w:val="bottom"/>
            <w:gridSpan w:val="3"/>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5"/>
        </w:trPr>
        <w:tc>
          <w:tcPr>
            <w:tcW w:w="8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center"/>
              <w:ind w:right="2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r>
      <w:tr>
        <w:trPr>
          <w:trHeight w:val="209"/>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(151,656 )</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(83,373 )</w:t>
            </w:r>
          </w:p>
        </w:tc>
      </w:tr>
      <w:tr>
        <w:trPr>
          <w:trHeight w:val="216"/>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payments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amortization of premiums and accretion of discounts on marketable securities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(1,146 )</w:t>
            </w:r>
          </w:p>
        </w:tc>
      </w:tr>
      <w:tr>
        <w:trPr>
          <w:trHeight w:val="216"/>
        </w:trPr>
        <w:tc>
          <w:tcPr>
            <w:tcW w:w="8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21,054</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3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(116,441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49,000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48,983</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convertible preferred stock, net of issuance costs paid</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335,264</w:t>
            </w:r>
          </w:p>
        </w:tc>
        <w:tc>
          <w:tcPr>
            <w:tcW w:w="100" w:type="dxa"/>
            <w:vAlign w:val="bottom"/>
            <w:shd w:val="clear" w:color="auto" w:fill="CFF0FC"/>
          </w:tcPr>
          <w:p>
            <w:pPr>
              <w:spacing w:after="0"/>
              <w:rPr>
                <w:sz w:val="18"/>
                <w:szCs w:val="18"/>
                <w:color w:val="auto"/>
              </w:rPr>
            </w:pPr>
          </w:p>
        </w:tc>
      </w:tr>
      <w:tr>
        <w:trPr>
          <w:trHeight w:val="216"/>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of initial public offering costs</w:t>
            </w:r>
          </w:p>
        </w:tc>
        <w:tc>
          <w:tcPr>
            <w:tcW w:w="26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(432 )</w:t>
            </w:r>
          </w:p>
        </w:tc>
      </w:tr>
      <w:tr>
        <w:trPr>
          <w:trHeight w:val="216"/>
        </w:trPr>
        <w:tc>
          <w:tcPr>
            <w:tcW w:w="8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for repurchases of unvested restricted common stock</w:t>
            </w:r>
          </w:p>
        </w:tc>
        <w:tc>
          <w:tcPr>
            <w:tcW w:w="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3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(67,339 )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277,521</w:t>
            </w:r>
          </w:p>
        </w:tc>
        <w:tc>
          <w:tcPr>
            <w:tcW w:w="100" w:type="dxa"/>
            <w:vAlign w:val="bottom"/>
          </w:tcPr>
          <w:p>
            <w:pPr>
              <w:spacing w:after="0"/>
              <w:rPr>
                <w:sz w:val="18"/>
                <w:szCs w:val="18"/>
                <w:color w:val="auto"/>
              </w:rPr>
            </w:pPr>
          </w:p>
        </w:tc>
      </w:tr>
      <w:tr>
        <w:trPr>
          <w:trHeight w:val="216"/>
        </w:trPr>
        <w:tc>
          <w:tcPr>
            <w:tcW w:w="8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542,224</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474,885</w:t>
            </w:r>
          </w:p>
        </w:tc>
        <w:tc>
          <w:tcPr>
            <w:tcW w:w="100" w:type="dxa"/>
            <w:vAlign w:val="bottom"/>
          </w:tcPr>
          <w:p>
            <w:pPr>
              <w:spacing w:after="0"/>
              <w:rPr>
                <w:sz w:val="18"/>
                <w:szCs w:val="18"/>
                <w:color w:val="auto"/>
              </w:rPr>
            </w:pP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392,509</w:t>
            </w:r>
          </w:p>
        </w:tc>
        <w:tc>
          <w:tcPr>
            <w:tcW w:w="100" w:type="dxa"/>
            <w:vAlign w:val="bottom"/>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3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recognized upon adoption of ASC 842</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18"/>
                <w:szCs w:val="18"/>
                <w:color w:val="auto"/>
              </w:rPr>
            </w:pP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 recognized under ASC 842</w:t>
            </w:r>
          </w:p>
        </w:tc>
        <w:tc>
          <w:tcPr>
            <w:tcW w:w="26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offering and issuance costs included in accrued expenses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-2419985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-2419985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-1854200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-1854200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-1014095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-1014095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-730885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Adagio Therapeutics, Inc., together with its consolidated subsidiaries (the “Company”), is a clinical-stage biopharmaceutical company focused on the discovery, development and commercialization of differentiated products for the prevention and treatment of infectious diseases. The Company is developing its lead product candidate, adintrevimab, for the prevention and treatment of COVID-19, the disease caused by the virus SARS-CoV-2 and its variants. Adintrevimab is designed to be a potent, long-acting and broadly neutralizing antibody for both the prevention and treatment of COVID-19. The Company initiated clinical trials for adintrevimab in February 2021 and due to the emergence and global spread of the Omicron variant, against which adintrevimab has reduced in vitro neutralization potency compared to prior variants, enrollment in both EVADE (evaluating adintrevimab for the prevention of COVID-19) and STAMP (evaluating adintrevimab for the treatment of COVID-19) was paused in January 2022. The Company reported preliminary safety and efficacy data (pre-Omicron) from both its EVADE and STAMP trials in March 2022</w:t>
      </w:r>
    </w:p>
    <w:p>
      <w:pPr>
        <w:spacing w:after="0" w:line="7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 xml:space="preserve">The BA.4 and BA.5 sublineages of the SARS-CoV-2 Omicron variant, which have shown reduced in vitro susceptibility to monoclonal antibodies, have recently emerged as the current predominant variants of SARS-CoV-2 in the United States. Adintrevimab, which has demonstrated broadly neutralizing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SARS-CoV-2 variants of concern (“VOCs”) including Alpha, Beta, Delta, Delta Plus, Gamma and Omicron BA.1, has markedly reduced neutralization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the Omicron BA.2, BA.4, and BA.5 sublineages. Based on feedback from the FDA regarding adintrevimab’s lack of neutralizing activity against the BA.2 variant, the Company paused the submission of an Emergency Use Authorization (“EUA”) request.</w:t>
      </w:r>
    </w:p>
    <w:p>
      <w:pPr>
        <w:spacing w:after="0" w:line="7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is advancing proprietary antibodies targeting distinct sites with activity against all SARS-CoV-2 VOCs to date, including the Omicron variant and its sublineages, and plans to take a combination of these antibodies into clinical trials in the first quarter of 2023 for the prevention and treatment of COVID-19. Beyond COVID-19, the Company is leveraging robust antibody discovery and development capabilities that have enabled expedited advancement of adintrevimab into clinical trials to develop therapeutic or preventative options for other infectious diseases, such as additional coronaviruses and influenza. The Company was incorporated in the State of Delaware in June 2020. The Company operates as a virtual company and maintains a corporate headquarters for general and administrative purposes only. The Company performs research and development activities internally and engages third parties, including Adimab, LLC (“Adimab”), to perform ongoing research and development and other services on its behalf.</w:t>
      </w:r>
    </w:p>
    <w:p>
      <w:pPr>
        <w:spacing w:after="0" w:line="7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early-stage companies in the biopharmaceutical industry, including, but not limited to, completing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COVID-19, dependence on key personnel, the ability to attract and retain qualified employees, and reliance on third-party organizations for the discovery, manufacturing, clinical and commercial success of its product candidates.</w:t>
      </w:r>
    </w:p>
    <w:p>
      <w:pPr>
        <w:spacing w:after="0" w:line="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July 2021, the Company effected a five-for-one stock split of its issued and outstanding shares of common stock and a proportional adjustment to the existing conversion ratios of each series of the Company’s preferred stock (see Note 9).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6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 August 2021, the Company completed its initial public offering (“IPO”) pursuant to which it issued and sold 20,930,000 shares of its common stock, including 2,730,000 shares pursuant to the full exercise of the underwriters’ option to purchase additional shares. The aggregate net proceeds received by the Company from the IPO were approximately $327.5 million, after deducting underwriting discounts and commissions and offering expenses payable by the Company. Upon the closing of the IPO, all shares of the Company’s convertible preferred stock then outstanding converted into 84,722,420 shares of common stock (see Note 10).</w:t>
      </w:r>
    </w:p>
    <w:p>
      <w:pPr>
        <w:spacing w:after="0" w:line="8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has not generated any revenue since inception. The Company’s lead product candidate could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p>
    <w:p>
      <w:pPr>
        <w:spacing w:after="0" w:line="86"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and proceeds from the Company’s IPO. The Company has incurred losses and negative cash flows from operations since its inception, including a net loss of $151.7 million for the six months ended June 30, 2022. As of June 30, 2022, the Company had an accumulated deficit of $443.8 million. The Company expects to continue to generate operating losses for the foreseeable future. The Company expects that its existing cash and cash equivalents will be sufficient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for at least 12 months from the issuance date of the interim condensed consolidated financial statements.</w:t>
      </w:r>
    </w:p>
    <w:p>
      <w:pPr>
        <w:spacing w:after="0" w:line="4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expects to seek additional funding through equity offerings,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could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 of the COVID-19 Coronavirus</w:t>
      </w:r>
    </w:p>
    <w:p>
      <w:pPr>
        <w:spacing w:after="0" w:line="12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global pandemic. The evolving and constantly changing impact of the pandemic will directly affect the potential commercial prospects of adintrevimab and other product candidates for the prevention and treatment of COVID-19. The severity of the COVID-19 pandemic and the continued emergence of variants of concern (such as the widespread Omicron variant and its sublineages and the Delta variant), the availability, administration and acceptance of vaccines, monoclonal antibodies, antiviral agents and other therapeutic modalities, vaccine mandates by employers and/or local or national governments,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spacing w:after="0" w:line="7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the Company's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has fallen. The global COVID-19 pandemic continues to evolve rapidly, and the Company will continue to monitor it closely. The ultimate extent of the impact of the COVID-19 pandemic on the Company's business, financial condition, operations and product development timelines and plans remains highly uncertain and will depend on future developments, including the duration and spread of outbreaks and the continued emergence of variants, its impact on the Company's clinical trial design and enrollment, trial sites, contract research organizations (“CROs”), contract development and manufacturing organizations (“CDMOs”), and other third parties with which the Company does business, as well as its impact on regulatory authorities and the Company's key scientific and management personnel. To date, the Company has experienced some delays and disruptions in its development activities as a result of the COVID-19 pandemic. Some of the Company's CROs, CDMOs and other service providers also continue to be impacted. The Company will continue to monitor developments as it addresses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the Company's results and operations may be materially adversely affected and may affect the Company's ability to raise capital.</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w:t>
      </w:r>
    </w:p>
    <w:p>
      <w:pPr>
        <w:spacing w:after="0" w:line="8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Adagio Therapeutics, Inc. and its wholly owned subsidiaries, Adagio Therapeutics Security Corporation, Adagio Therapeutics Switzerland GmbH, and Adagio Therapeutics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the Company’s significant accounting policies and estimates, which are detailed in the Company’s Annual Report on Form 10-K for the year ended December 31, 2021, as filed with the U.S. Securities and Exchange Commission (“SEC”) on March 31, 2022 (as subsequently amended by Amendment No. 1 to the Company’s Annual Report on Form 10-K, filed with the SEC on April 29, 2022, the “2021 Form 10-K”) have not changed except as discussed below.</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Effective January 1, 2022, the Company adopted ASU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(“ASC 842”) using the required modified retrospective approach and utilizing the effective date as its date of initial application. As a result, prior periods are presented in accordance with the previous guidance in ASC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840”).</w:t>
      </w:r>
    </w:p>
    <w:p>
      <w:pPr>
        <w:spacing w:after="0" w:line="8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Company evaluates whether an arrangement is or contains a lease at the inception date. If determined to be or contain a lease, the Company determines the classification of the lease at the commencement date, which represents the date at which the lessor makes the underlying asset available for use by the Company. When determining the expected accounting lease term, the Company includes the noncancellable lease term, together with periods covered by (i) an option to extend the lease if the Company is reasonably certain to exercise such option, (ii) an option to terminate the lease if the Company is reasonably certain not to exercise such option and (iii) an option to extend or not terminate the lease where the exercise of such option is controlled by the lessor. The Company has elected the short-term lease exemption, which allows the Company to not recognize lease liabilities and right-of-use assets arising from lease arrangements with original lease terms of twelve months or less. The Company elected the practical expedient to not separate lease and non-lease components for its leases</w:t>
      </w:r>
      <w:r>
        <w:rPr>
          <w:rFonts w:ascii="Times New Roman" w:cs="Times New Roman" w:eastAsia="Times New Roman" w:hAnsi="Times New Roman"/>
          <w:sz w:val="18"/>
          <w:szCs w:val="18"/>
          <w:color w:val="323E4F"/>
        </w:rPr>
        <w:t>.</w:t>
      </w:r>
    </w:p>
    <w:p>
      <w:pPr>
        <w:spacing w:after="0" w:line="7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over the lease term and lease liabilities represent the Company’s obligation to make lease payments under the arrangement. The Company measures its lease liabilities as the present value of the lease payments, discounted using an incremental borrowing rate, as interest rates implicit in lease arrangements are generally not readily determinable. The Company measures its right-of-use assets as the present value of its lease payments at the commencement date. The incremental borrowing rate represents the interest rate at which the Company could borrow an amount equal to the lease payments on a fully collateralized basis, over a similar term, in a similar economic environment. The Company recognizes rent expense for operating leases on a straight-line basis. The Company recognizes variable lease expenses as incurred.</w:t>
      </w:r>
    </w:p>
    <w:p>
      <w:pPr>
        <w:spacing w:after="0" w:line="7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 remeasures right-of-use assets and lease liabilities when a lease is modified, and the modification is not accounted for as a separate contract. A modification is accounted for as a separate contract if the modification grants the Company an additional right of use not included in the original lease arrangement and the increase in lease payments is commensurate with the additional right of use. The Company assesses its right-of-use assets for impairment in a manner consistent with its assessment for long-lived assets held and used in operations.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June 30, 2022, the condensed consolidated statements of operations and comprehensive loss for the three and six months ended June 30, 2022 and 2021, the condensed consolidated statements of cash flows for the six months ended June 30, 2022 and 2021 and the condensed consolidated statements of convertible preferred stock and stockholders’ equity (deficit) for the three and six months ended June 30, 2022 and 2021 are unaudited.</w:t>
      </w:r>
    </w:p>
    <w:p>
      <w:pPr>
        <w:spacing w:after="0" w:line="6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June 30, 2022 and for the three and six months ended June 30, 2022 and 2021 have been prepared by the Company pursuant to the rules and regulations of the SEC for interim financial statements. The accompanying consolidated balance sheet as of December 31, 2021 was derived from audited financial statements, but does not include all disclosures required by GAAP. Certain information and footnote disclosures normally included in the financial statements prepared in accordance with GAAP have been condensed or omitted pursuant to such rules and regulations. These interim condensed consolidated financial statements should be read in conjunction with the Company’s audited annual consolidated financial statements, and the notes thereto, as of and for the year ended December 31, 2021, which are included in the Company’s 2021 Form 10-K.</w:t>
      </w:r>
    </w:p>
    <w:p>
      <w:pPr>
        <w:spacing w:after="0" w:line="73"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necessary for a fair statement of the Company’s condensed consolidated financial position as of June 30, 2022 and December 31, 2021, the condensed consolidated results of operations for the three and six months ended June 30, 2022 and June 30, 2021, the condensed consolidated cash flows for the six months ended June 30, 2022 and June 30, 2021 and changes in stockholders’ equity (deficit) for the three and six months ended June 30, 2022 and June 30, 2021 have been made. The Company’s condensed consolidated results of operations for the three and six months ended June 30, 2022 are not necessarily indicative of the results of operations that may be expected for the year ending December 31, 2022.</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U.S.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research and development expenses and related prepaid or accrued costs. Prior to the IPO, significant estimates and assumptions also included the valuation of common stock and resulting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Changes in estimates are recorded in the period in which they become known. Actual results may differ materially from those estimates or assumptions.</w:t>
      </w:r>
    </w:p>
    <w:p>
      <w:pPr>
        <w:spacing w:after="0" w:line="90"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The Company is monitoring the potential impact of the COVID-19 pandemic on its business and condensed consolidated financial statements. The Company is not aware of any specific event or circumstance that would require any update to its estimates or judgments reflected in these condensed consolidated financial statements or a revision of the carrying value of its assets or liabilities as of the issuance date of these condensed consolidated financial statements. These estimates may change as new events occur and additional information is obtained.</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94"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79"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 February 2016, the FASB issued ASC 842, as subsequently amended. ASC 842 sets forth the principles for the recognition, measurement, presentation and disclosure of leases for both parties to a contract (i.e., lessees and lessors). ASC 842 replaces the existing guidance in ASC 840. ASC 842 requires lessees to apply a dual approach, classifying leases as either finance or operating leases based on the principle of whether or not the lease is effectively a financed purchase by the lessee. A lessee is also required to record (i) a right-of-use asset and a lease liability on its balance 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The Company adopted the new standard and used the modified retrospective approach with January 1, 2022 as the initial date of application. The Company elected the available package of practical expedients which allowed the Company to not reassess previous accounting conclusions around whether arrangements are or contain leases, the classification of leases, and the treatment of initial direct costs. As a result of the adoption of ASC 842, the Company recorded (i) an operating lease liability, current of $0.3 million, (ii) an operating lease liability, non-current of $1.4 million and (iii) an operating lease right-of-use asset of $1.7 million, net of the unamortized balance of deferred rent liability as of the transition date. There was no impact from the adoption of ASC 842 to the Company’s results of operations and cash flows from operations. A summary of the impact of the adoption is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Impact of Adoption</w:t>
            </w:r>
          </w:p>
        </w:tc>
        <w:tc>
          <w:tcPr>
            <w:tcW w:w="120" w:type="dxa"/>
            <w:vAlign w:val="bottom"/>
          </w:tcPr>
          <w:p>
            <w:pPr>
              <w:spacing w:after="0"/>
              <w:rPr>
                <w:sz w:val="16"/>
                <w:szCs w:val="16"/>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100" w:type="dxa"/>
            <w:vAlign w:val="bottom"/>
          </w:tcPr>
          <w:p>
            <w:pPr>
              <w:spacing w:after="0"/>
              <w:rPr>
                <w:sz w:val="16"/>
                <w:szCs w:val="16"/>
                <w:color w:val="auto"/>
              </w:rPr>
            </w:pPr>
          </w:p>
        </w:tc>
      </w:tr>
      <w:tr>
        <w:trPr>
          <w:trHeight w:val="210"/>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8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jc w:val="right"/>
              <w:ind w:right="31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FF0FC"/>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8"/>
                <w:szCs w:val="18"/>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liability</w:t>
            </w:r>
          </w:p>
        </w:tc>
        <w:tc>
          <w:tcPr>
            <w:tcW w:w="24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Pr>
          <w:p>
            <w:pPr>
              <w:spacing w:after="0"/>
              <w:rPr>
                <w:sz w:val="20"/>
                <w:szCs w:val="20"/>
                <w:color w:val="auto"/>
              </w:rPr>
            </w:pPr>
          </w:p>
        </w:tc>
      </w:tr>
      <w:tr>
        <w:trPr>
          <w:trHeight w:val="616"/>
        </w:trPr>
        <w:tc>
          <w:tcPr>
            <w:tcW w:w="4120" w:type="dxa"/>
            <w:vAlign w:val="bottom"/>
          </w:tcPr>
          <w:p>
            <w:pPr>
              <w:spacing w:after="0"/>
              <w:rPr>
                <w:sz w:val="24"/>
                <w:szCs w:val="24"/>
                <w:color w:val="auto"/>
              </w:rPr>
            </w:pPr>
          </w:p>
        </w:tc>
        <w:tc>
          <w:tcPr>
            <w:tcW w:w="24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8</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12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2" w:name="page13"/>
    <w:bookmarkEnd w:id="12"/>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(“ASU 2016-13”), and also issued subsequent amendments to the initial guidance: ASU 2018-19, ASU 2019-04 and ASU 2019-05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“Topic 326”). The main objective of this update and amendments is to provide information about the expected credit losses on financial instruments and other commitments to extend credit held by a reporting entity at each reporting date and utilize a methodology that requires consideration of a broader range of reasonable and supportable information to inform credit loss estimates. Expected credit losses relating to financial assets measured on an amortized cost basis and available-for-sale debt securities are required to be recorded through an allowance for credit losses. The update limits the recognition of the amount of credit losses for available-for-sale debt securities to the amount by which the carrying value exceeds fair value. The measurement will be based on relevant information, including historical experience, current conditions and reasonable and supportable forecasts that affect the collectability of the reported amount and requires disclosure requirements related to credit risks. For public entities that qualify as a filer with the Securities and Exchange Commission, excluding entities eligible to be smaller reporting companies, ASU 2016-13 is effective for annual periods beginning after December 15, 2019, including interim periods within those fiscal years and early adoption is permitted. In November 2019, the FASB deferred the effective date for nonpublic entities to annual reporting periods beginning after December 15, 2022, including interim periods within those fiscal years. ASU 2016-13 is applied by means of a cumulative-effect adjustment to the opening retained earnings as of the beginning of the first reporting period in which the guidance is effective. The Company is currently evaluating the potential impact that the adoption of this standard may have on its consolidated financial statements and related disclosures.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Treasury securities held by the Company are classified as available-for-sale pursuant to ASC 320, Investments – Debt and Equity Securities, and carried at fair value in the accompanying condensed consolidated balance sheet on a settlement date basis.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hold any available-for-sale marketable securities as of June 30, 2022.</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gross unrealized gains and losses of the Company’s marketable securities as of December 31, 2021 (in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49"/>
        </w:trPr>
        <w:tc>
          <w:tcPr>
            <w:tcW w:w="5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49,202</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-25400</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774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available-for-sale marketable securities held as of December 31, 2021 had remaining maturities greater than twelve months.</w:t>
      </w:r>
    </w:p>
    <w:p>
      <w:pPr>
        <w:spacing w:after="0" w:line="100" w:lineRule="exact"/>
        <w:rPr>
          <w:sz w:val="20"/>
          <w:szCs w:val="20"/>
          <w:color w:val="auto"/>
        </w:rPr>
      </w:pPr>
    </w:p>
    <w:p>
      <w:pPr>
        <w:ind w:left="520" w:right="8800" w:hanging="512"/>
        <w:spacing w:after="0" w:line="391" w:lineRule="auto"/>
        <w:tabs>
          <w:tab w:leader="none" w:pos="191"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b w:val="1"/>
          <w:bCs w:val="1"/>
          <w:i w:val="1"/>
          <w:iCs w:val="1"/>
          <w:color w:val="auto"/>
        </w:rPr>
        <w:t>Fair Value Measurements</w:t>
      </w:r>
    </w:p>
    <w:p>
      <w:pPr>
        <w:spacing w:after="0" w:line="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0" w:lineRule="exact"/>
        <w:rPr>
          <w:sz w:val="20"/>
          <w:szCs w:val="20"/>
          <w:color w:val="auto"/>
        </w:rPr>
      </w:pPr>
    </w:p>
    <w:p>
      <w:pPr>
        <w:ind w:left="1040" w:hanging="560"/>
        <w:spacing w:after="0"/>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11" w:lineRule="exact"/>
        <w:rPr>
          <w:rFonts w:ascii="Times New Roman" w:cs="Times New Roman" w:eastAsia="Times New Roman" w:hAnsi="Times New Roman"/>
          <w:sz w:val="18"/>
          <w:szCs w:val="18"/>
          <w:color w:val="auto"/>
        </w:rPr>
      </w:pPr>
    </w:p>
    <w:p>
      <w:pPr>
        <w:jc w:val="both"/>
        <w:ind w:left="1040" w:right="20" w:hanging="560"/>
        <w:spacing w:after="0" w:line="236"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72" w:lineRule="exact"/>
        <w:rPr>
          <w:rFonts w:ascii="Times New Roman" w:cs="Times New Roman" w:eastAsia="Times New Roman" w:hAnsi="Times New Roman"/>
          <w:sz w:val="18"/>
          <w:szCs w:val="18"/>
          <w:color w:val="auto"/>
        </w:rPr>
      </w:pPr>
    </w:p>
    <w:p>
      <w:pPr>
        <w:ind w:left="1040" w:right="20" w:hanging="573"/>
        <w:spacing w:after="0" w:line="250" w:lineRule="auto"/>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0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cash equivalents are carried at fair value, determined according to the fair value hierarchy described above. The carrying values of the Company’s accounts payable and accrued expenses approximate their fair values due to the short-term nature of these liabilities.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13" w:name="page14"/>
    <w:bookmarkEnd w:id="13"/>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tbl>
      <w:tblPr>
        <w:tblLayout w:type="fixed"/>
        <w:tblInd w:w="0" w:type="dxa"/>
        <w:tblCellMar>
          <w:top w:w="0" w:type="dxa"/>
          <w:left w:w="0" w:type="dxa"/>
          <w:bottom w:w="0" w:type="dxa"/>
          <w:right w:w="0" w:type="dxa"/>
        </w:tblCellMar>
      </w:tblPr>
      <w:tr>
        <w:trPr>
          <w:trHeight w:val="155"/>
        </w:trPr>
        <w:tc>
          <w:tcPr>
            <w:tcW w:w="3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20" w:type="dxa"/>
            <w:vAlign w:val="bottom"/>
            <w:gridSpan w:val="5"/>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09"/>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473,995</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473,995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7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473,995</w:t>
            </w:r>
          </w:p>
        </w:tc>
        <w:tc>
          <w:tcPr>
            <w:tcW w:w="24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gridSpan w:val="2"/>
          </w:tcPr>
          <w:p>
            <w:pPr>
              <w:spacing w:after="0"/>
              <w:rPr>
                <w:sz w:val="18"/>
                <w:szCs w:val="18"/>
                <w:color w:val="auto"/>
              </w:rPr>
            </w:pPr>
          </w:p>
        </w:tc>
        <w:tc>
          <w:tcPr>
            <w:tcW w:w="126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473,995</w:t>
            </w:r>
          </w:p>
        </w:tc>
        <w:tc>
          <w:tcPr>
            <w:tcW w:w="10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4"/>
        </w:trPr>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541,220</w:t>
            </w:r>
          </w:p>
        </w:tc>
        <w:tc>
          <w:tcPr>
            <w:tcW w:w="6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541,220</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49,194</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7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590,414</w:t>
            </w:r>
          </w:p>
        </w:tc>
        <w:tc>
          <w:tcPr>
            <w:tcW w:w="6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590,414</w:t>
            </w:r>
          </w:p>
        </w:tc>
        <w:tc>
          <w:tcPr>
            <w:tcW w:w="10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-1499870</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-1499870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-1499870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-170815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money market funds were valued by the Company based on quoted market prices, which represent a Level 1 measurement within the fair value hierarchy.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hold any U.S. Treasury securities as of June 30, 2022.</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three and six months ended June 30, 2022 or 2021.</w:t>
      </w:r>
    </w:p>
    <w:p>
      <w:pPr>
        <w:spacing w:after="0" w:line="10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into or out of Level 1, Level 2 or Level 3 fair value measurements during the three and six months ended June 30, 2022 or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112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external research, development and manufacturing costs</w:t>
            </w:r>
          </w:p>
        </w:tc>
        <w:tc>
          <w:tcPr>
            <w:tcW w:w="112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compensation and other</w:t>
            </w:r>
          </w:p>
        </w:tc>
        <w:tc>
          <w:tcPr>
            <w:tcW w:w="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6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7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11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6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44,919</w:t>
            </w: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and consultant fees</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3,443</w:t>
            </w: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6"/>
              </w:rPr>
              <w:t>52,624</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56,277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-1610995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08"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with Adimab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and regulatory milestones for Products in certain major markets and to commercialize a product in any country in which the Company obtains marketing approval.</w:t>
      </w:r>
    </w:p>
    <w:p>
      <w:pPr>
        <w:spacing w:after="0" w:line="4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9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Amounts paid with respect to services performed by Adimab on the Company’s behalf under the Adimab Assignment Agreement are recognized as research and development expense as such amounts are incurred. For the three and six months ended June 30, 2022, the Company recognized $0.2 million and $0.5 million, respectively, of research and development expense in connection with services provided by Adimab. For the three and six months ended June 30, 2021, the Company recognized $0.2 million and $0.4 million, respectively, of expense in connection with services provided by Adimab. Please refer to Note 15 for additional information.</w:t>
      </w:r>
    </w:p>
    <w:p>
      <w:pPr>
        <w:spacing w:after="0" w:line="7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 xml:space="preserve">In July 2020, in consideration for the rights assigned and license conveyed under the Adimab Assignment Agreement, the Company issued 5,000,000 shares of its Series A convertible preferred stock (the “Series A Preferred Stock”), then having a fair value of $40.0 million, to Adimab. Concurrently, Adimab relinquished 21,250,000 shares of the Company’s common stock to the Company, then having a fair value of $85,000. Additionally, 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7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February 2021, the Company achieved the first specified milestone under the agreement upon dosing of the first patient in a Phase 1 global clinical trial evaluating adintrevimab, which obligated the Company to make a $1.0 million milestone payment to Adimab. In April 2021, the Company achieved the second specified milestone under the agreement upon dosing of the first patient in a Phase 2 global clinical trial evaluating adintrevimab for the prevention of COVID-19, which obligated the Company to make a $2.5 million milestone payment to Adimab. In August 2021, the Company achieved the third specified milestone under the agreement upon dosing of the first patient in a Phase 3 global clinical trial evaluating adintrevimab for the prevention of COVID-19, which obligated the Company to make a $4.0 million milestone payment to Adimab. The Company recognized each expense when achievement of each of the first, second and third milestones became probable of achievement in February, April and August 2021, respectively. The next potential milestone under the Adimab Assignment Agreement is a low-single-digit million dollar milestone related to the acceptance of the filing of the first New Drug Application for a Product, which was not considered probable as of June 30, 2022.</w:t>
      </w:r>
    </w:p>
    <w:p>
      <w:pPr>
        <w:spacing w:after="0" w:line="9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did not recognize any in-process research and development (“IPR&amp;D”) expense in connection with contingent consideration payable under the Adimab Assignment Agreement. During the three and six months ended June 30, 2021, the Company recognized $2.5 million and $3.5 million, respectively, as IPR&amp;D expense in connection with contingent consideration payable under the Adimab Assignment Agreement.</w:t>
      </w:r>
    </w:p>
    <w:p>
      <w:pPr>
        <w:spacing w:after="0" w:line="69"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Company is obligated to pay Adimab royalties of a mid-single-digit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 million, the second milestone payment of $2.5 million and the third milestone payment of $4.0 million, which were paid by the Company to Adimab in March, May and September 2021, respectively, no other milestone, royalty or other contingent payments had become due to Adimab through June 30, 2022.</w:t>
      </w:r>
    </w:p>
    <w:p>
      <w:pPr>
        <w:spacing w:after="0" w:line="7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 w:name="page16"/>
    <w:bookmarkEnd w:id="15"/>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 Therefore, the aggregate acquisition cost of $39.9 million was recognized as acquired IPR&amp;D expense in July 2020. The $39.9 million of costs to acquire the IPR&amp;D assets was determined as a result of the Company’s allocation of the $40.0 million aggregate fair value of the 5,000,000 shares of the Series A Preferred Stock that the Company issued to Adimab on the acquisition date in exchange for (i) the IPR&amp;D assets acquired from Adimab and (ii) 21,250,000 shares of the Company’s common stock that it repurchased from Adimab on that same date. The Company allocated the $40.0 million fair value of the 5,000,000 shares of Series A Preferred Stock to the IPR&amp;D assets and to the repurchased common stock based on their relative fair values on the acquisition date. As of that date and before allocation, the Company determined that the fair value of the repurchased common stock was $85,000, based on the results of a third-party valuation, and that the fair value of the IPR&amp;D assets was $40.0 million. The Company determined the fair value of the 5,000,000 shares of Series A Preferred Stock based on the $8.00 price per share paid for the stock by new investors in the Company’s Series A Preferred Stock financing, which closed on the same date as the date on which the Company acquired the CoV Antibodies and Adimab CoV Assets under the Adimab Assignment Agreement.</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May 2021, the Company entered into a Collaboration Agreement with Adimab (the “Adimab Collaboration Agreement”) for the discovery and optimization of proprietary antibodies as potential therapeutic product candidates. Under the Adimab Collaboration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8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is obligated to pay Adimab a quarterly fee of $1.3 million, which may be cancelled at the Company’s option at any time. For so long as the Company is paying such quarterly fee (or earlier if (i) the 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During the three and six months ended June 30, 2022, the Company recognized $1.3 million and $2.6 million, respectively, of research and development expense related to the quarterly fee. During the three and six months ended June 30, 2021, the Company did not recognize research and development expense related to the quarterly fee.</w:t>
      </w:r>
    </w:p>
    <w:p>
      <w:pPr>
        <w:spacing w:after="0" w:line="7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the three and six months ended June 30, 2022, the Company recognized $0.6 million and $1.0 million, respectively, of expense in connection with services provided by Adimab. Through June 30, 2022, the Company recognized $0.2 million of research and development expense related to a drug delivery fee. Additionally, through June 30, 2022, the Company has not paid an optimization completion fee to Adimab, and the Company has not exercised its option with respect to any program.</w:t>
      </w:r>
    </w:p>
    <w:p>
      <w:pPr>
        <w:spacing w:after="0" w:line="9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low-single-digit million milestone related to dosing of the first subject in a Phase 1 trial, which was not considered probable as of June 30, 2022.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 w:name="page17"/>
    <w:bookmarkEnd w:id="16"/>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June 30, 2022, the Company had not paid any royalties to Adimab under the Adimab Collaboration Agreement.</w:t>
      </w:r>
    </w:p>
    <w:p>
      <w:pPr>
        <w:spacing w:after="0" w:line="6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 The Company concluded that the Adimab Collaboration Agreement represented an asset acquisition of IPR&amp;D with no alternative future use. Therefore, payments made by the Company to Adimab for milestones achieved will be recognized as acquired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spacing w:after="0" w:line="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WuXi Cell Line License Agreement</w:t>
      </w:r>
    </w:p>
    <w:p>
      <w:pPr>
        <w:spacing w:after="0" w:line="10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In December 2020, the Company entered into a Cell Line License Agreement with WuXi Biologics (Hong Kong) Limited (“WuXi”) (the “Cell Line License Agreement”), under which WuXi granted to the Company a non-exclusive, non-transferable, worldwide, royalty-bearing, sublicensable license to certain of its intellectual property, including certain patent rights associated with a proprietary cell line developed by WuXi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(each of such transformed or transfected cell lines, a “Licensed Cell Line”).</w:t>
      </w:r>
    </w:p>
    <w:p>
      <w:pPr>
        <w:spacing w:after="0" w:line="7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Company paid an upfront fee of $0.2 million to WuXi upon completion of cell bank generation for the first Licensed Cell Line created under the Cell Line License Agreement. The Company is also obligated to pay royalties in the range of 0.3% to 0.5% to WuXi based on net sales of any Licensed Products manufactured by the Company or a third party on its behalf. However, if the Company uses WuXi to manufacture all of its commercial supplies for Licensed Products, no royalties would be owed by the Company to WuXi for net sales of Licensed Products. The Company has an option to buy out its royalty obligations on a Licensed Cell Line-by-Licensed Cell Line basis by making a one-time payment of $15.0 million to WuXi.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Through June 30, 2022, no royalties had become due to WuXi.</w:t>
      </w:r>
    </w:p>
    <w:p>
      <w:pPr>
        <w:spacing w:after="0" w:line="65"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8"/>
          <w:szCs w:val="18"/>
          <w:color w:val="auto"/>
        </w:rPr>
        <w:t>The Cell Line License Agreement remains in effect until it is terminated. The Company may terminate the Cell Line License Agreement at any time with notice to WuXi. WuXi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License Agreement, the license conveyed by WuXi to the Company will continue in full force and effect with respect to all Licensed Products manufactured using the Licensed Cell Line already generated under the Cell Line License Agreement, provided that the Company continues to pay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royalty obligations, if any.</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concluded that the Cell Line License Agreement represented an asset acquisition of IPR&amp;D with no alternative future use. The Cell</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Line License Agreement did not qualify as a business combination because substantially all of the fair value of the assets acquired was concentrated in a single asset. Therefore, the aggregate acquisition cost of $0.2 million, consisting solely of the upfront fee, was recognized as acquired IPR&amp;D expense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period from June 3, 2020 (inception) to December 31, 2020.</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and License Agreement with The Scripps Research Institute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August 2021, the Company entered into a Research Collaboration and License Agreement (the “Research Agreement”) with The Scripps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Research Institute (“TSRI”). Under the terms of the Research Agreement, TSRI performed research activities (the “Research Program”) to identify vaccine candidates for the prevention, diagnosis or treatment of influenza or beta coronaviruses. In August 2021, the Company paid TSRI $1.5 million in funding,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was credited against research funding payable by the Company under the Research Agreement.</w:t>
      </w:r>
    </w:p>
    <w:p>
      <w:pPr>
        <w:spacing w:after="0" w:line="70" w:lineRule="exact"/>
        <w:rPr>
          <w:sz w:val="20"/>
          <w:szCs w:val="20"/>
          <w:color w:val="auto"/>
        </w:rPr>
      </w:pPr>
    </w:p>
    <w:p>
      <w:pPr>
        <w:jc w:val="both"/>
        <w:ind w:firstLine="576"/>
        <w:spacing w:after="0" w:line="250" w:lineRule="auto"/>
        <w:rPr>
          <w:sz w:val="20"/>
          <w:szCs w:val="20"/>
          <w:color w:val="auto"/>
        </w:rPr>
      </w:pPr>
      <w:r>
        <w:rPr>
          <w:rFonts w:ascii="Times New Roman" w:cs="Times New Roman" w:eastAsia="Times New Roman" w:hAnsi="Times New Roman"/>
          <w:sz w:val="18"/>
          <w:szCs w:val="18"/>
          <w:color w:val="auto"/>
        </w:rPr>
        <w:t>In April 2022, the Company provided written notice to TSRI to terminate the Research Agreement. Following early termination in the second quarter of 2022, all licenses were terminated and reverted to TSRI.</w:t>
      </w:r>
    </w:p>
    <w:p>
      <w:pPr>
        <w:spacing w:after="0" w:line="5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Amounts incurred for services performed by TSRI under the Research Agreement were expensed to research and development expense as the services were rendered. During the three and six months ended June 30, 2022, the Company recognized $0.8 million and $1.7 million, respectively, of expense associated with services performed under the Research Agreement.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September 2021, the Company entered into a five year noncancelable facilities lease agreement for approximately 9,600 square feet of office space in Waltham, Massachusetts. The monthly rental payments under the lease, which include base rent charges of $0.4 million per year, are subject to periodic rent increases through September 2026. In addition to base rent, monthly rental payments include the Company’s proportionate share of operating expenses. The lease terms provide for one five-year extension term with base rent calculated on the then-market rate.</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2022, the Company entered into a two year noncancelable agreement for dedicated laboratory and office space in Newton, Massachusetts. The monthly rental payments under the agreement include base rent charges of $0.7 million per year. The agreement terms provide for a month-to-month extension with base rent calculated on the then-market rate with three months provided notice.</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90"/>
        </w:trPr>
        <w:tc>
          <w:tcPr>
            <w:tcW w:w="7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213"/>
        </w:trPr>
        <w:tc>
          <w:tcPr>
            <w:tcW w:w="7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8"/>
                <w:szCs w:val="18"/>
                <w:color w:val="auto"/>
              </w:rPr>
            </w:pPr>
          </w:p>
        </w:tc>
      </w:tr>
      <w:tr>
        <w:trPr>
          <w:trHeight w:val="22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r>
      <w:tr>
        <w:trPr>
          <w:trHeight w:val="216"/>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Variable lease cost</w:t>
            </w:r>
          </w:p>
        </w:tc>
        <w:tc>
          <w:tcPr>
            <w:tcW w:w="1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FF0FC"/>
          </w:tcPr>
          <w:p>
            <w:pPr>
              <w:spacing w:after="0"/>
              <w:rPr>
                <w:sz w:val="19"/>
                <w:szCs w:val="19"/>
                <w:color w:val="auto"/>
              </w:rPr>
            </w:pPr>
          </w:p>
        </w:tc>
      </w:tr>
      <w:tr>
        <w:trPr>
          <w:trHeight w:val="486"/>
        </w:trPr>
        <w:tc>
          <w:tcPr>
            <w:tcW w:w="93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June 30, 2022 was as follows (in thousands):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600" w:type="dxa"/>
            <w:vAlign w:val="bottom"/>
          </w:tcPr>
          <w:p>
            <w:pPr>
              <w:ind w:left="294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09"/>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(excluding the six months ended June 30, 2022)</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40" w:type="dxa"/>
            <w:vAlign w:val="bottom"/>
            <w:gridSpan w:val="2"/>
            <w:shd w:val="clear" w:color="auto" w:fill="CFF0FC"/>
          </w:tcPr>
          <w:p>
            <w:pPr>
              <w:spacing w:after="0"/>
              <w:rPr>
                <w:sz w:val="18"/>
                <w:szCs w:val="18"/>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FF0FC"/>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r>
      <w:tr>
        <w:trPr>
          <w:trHeight w:val="216"/>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100" w:type="dxa"/>
            <w:vAlign w:val="bottom"/>
          </w:tcPr>
          <w:p>
            <w:pPr>
              <w:spacing w:after="0"/>
              <w:rPr>
                <w:sz w:val="18"/>
                <w:szCs w:val="18"/>
                <w:color w:val="auto"/>
              </w:rPr>
            </w:pPr>
          </w:p>
        </w:tc>
      </w:tr>
      <w:tr>
        <w:trPr>
          <w:trHeight w:val="21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adjustment</w:t>
            </w:r>
          </w:p>
        </w:tc>
        <w:tc>
          <w:tcPr>
            <w:tcW w:w="1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(279 )</w:t>
            </w:r>
          </w:p>
        </w:tc>
      </w:tr>
      <w:tr>
        <w:trPr>
          <w:trHeight w:val="210"/>
        </w:trPr>
        <w:tc>
          <w:tcPr>
            <w:tcW w:w="7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140" w:type="dxa"/>
            <w:vAlign w:val="bottom"/>
            <w:tcBorders>
              <w:top w:val="single" w:sz="8" w:color="CFF0FC"/>
            </w:tcBorders>
          </w:tcPr>
          <w:p>
            <w:pPr>
              <w:spacing w:after="0"/>
              <w:rPr>
                <w:sz w:val="18"/>
                <w:szCs w:val="18"/>
                <w:color w:val="auto"/>
              </w:rPr>
            </w:pPr>
          </w:p>
        </w:tc>
        <w:tc>
          <w:tcPr>
            <w:tcW w:w="15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gridSpan w:val="2"/>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Borders>
              <w:top w:val="single" w:sz="8" w:color="CFF0FC"/>
            </w:tcBorders>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-2219325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-2219325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June 30, 2022, the Company’s operating lease was measured using a weighted-average incremental borrowing rate of 6.0% over a weighted-average remaining lease term of 3.2 years.</w:t>
      </w:r>
    </w:p>
    <w:p>
      <w:pPr>
        <w:spacing w:after="0" w:line="4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total operating liabilities are presented on the Company’s condensed consolidated balance sheet based on maturity dates. $1.0 million of the total operating liabilities is classified under "operating lease liabilities, current” for the portion due within twelve months, and $1.9 million is classified under "operating lease liabilities, non-current”.</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0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entered into license agreements with Adimab, WuXi and TSRI (see Note 7). In April 2022, the Company provided written notice to TSRI to terminate the Research Agreement, and the Research Agreement was subsequently terminated during the second quarter of 2022.</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94"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In December 2020, the Company entered into a Commercial Manufacturing Services Agreement with WuXi, which was amended and restated in August 2021 (as amended and restated, the “Commercial Manufacturing Agreement”). The Commercial Manufacturing Agreement outlines the terms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under which WuXi manufactures adintrevimab drug substance and drug product for commercial use.</w:t>
      </w:r>
    </w:p>
    <w:p>
      <w:pPr>
        <w:spacing w:after="0" w:line="70"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The Company committed to minimum noncancelable purchase obligations related to batches of adintrevimab drug substance and certain services with respect to the product requirements for 2022 and 2023 and batches of adintrevimab drug product and certain services with respect to the product requirements for 2022, the payments for which will extend into 2023.</w:t>
      </w:r>
    </w:p>
    <w:p>
      <w:pPr>
        <w:spacing w:after="0" w:line="51"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In April 2022, the total volume of contractually binding drug substance and drug product batches to be manufactured under the Commercial Manufacturing Agreement was reduced to $51.6 million, a decrease of $107.8 million from the previous commitment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8" w:name="page19"/>
    <w:bookmarkEnd w:id="18"/>
    <w:p>
      <w:pPr>
        <w:jc w:val="both"/>
        <w:spacing w:after="0" w:line="250" w:lineRule="auto"/>
        <w:rPr>
          <w:sz w:val="20"/>
          <w:szCs w:val="20"/>
          <w:color w:val="auto"/>
        </w:rPr>
      </w:pPr>
      <w:r>
        <w:rPr>
          <w:rFonts w:ascii="Times New Roman" w:cs="Times New Roman" w:eastAsia="Times New Roman" w:hAnsi="Times New Roman"/>
          <w:sz w:val="18"/>
          <w:szCs w:val="18"/>
          <w:color w:val="auto"/>
        </w:rPr>
        <w:t>minimum non-cancelable purchase obligations of $159.4 million. In addition, the Company received a credit in the low eight-figures to offset future services rendered by WuXi.</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2022, the Company had paid an aggregate of $19.6 million under the Commercial Manufacturing Agreement, which consisted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deposits paid related to the original minimum purchase obligations under the Commercial Manufacturing Agreement. In conjunction with the reduction described above, the Company received a $13.8 million credit related to the deposits previously paid for the cancelled batches.</w:t>
      </w:r>
    </w:p>
    <w:p>
      <w:pPr>
        <w:spacing w:after="0" w:line="63"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Of the $19.6 million paid, $5.8 million was related to deposits for batches that were not cancelled, of which $2.4 million remained in prepaid expenses and other current assets as of June 30, 2022. The remaining $13.8 million was related to deposits for cancelled batches, which was applied to accrued expenses to offset payment of other WuXi services.</w:t>
      </w:r>
    </w:p>
    <w:p>
      <w:pPr>
        <w:spacing w:after="0" w:line="64"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In August 2022, the low eight-figure credit was applied to WuXi-related services as a reduction of research and development expenses and a reduction of accrued expenses.</w:t>
      </w:r>
    </w:p>
    <w:p>
      <w:pPr>
        <w:spacing w:after="0" w:line="64"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8"/>
          <w:szCs w:val="18"/>
          <w:color w:val="auto"/>
        </w:rPr>
        <w:t>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Contracts</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Company enters into agreements with third parties during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June 30, 2022 and December 31, 2021.</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June 30, 2022 and December 31, 2021, the Company was not a party to any material legal proceedings.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Convertible Preferred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issued Series A convertible preferred stock (the “Series A Preferred Stock”), Series B convertible preferred stock (the “Series B Preferred Stock”), and Series C Preferred Stock (the “Series C Preferred Stock”), all of which are collectively referred to as the “Preferred Stock.”</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July 2020, the Company issued and sold 6,237,500 shares of Series A Preferred Stock, at a price of $8.00 per share, for gross proceeds of $49.9 million and incurred $0.2 million of issuance costs. Concurrently, the Company issued 5,000,000 shares of Series A Preferred Stock to Adimab as consideration payable pursuant to the Adimab Assignment Agreement (see Note 7).</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October and November 2020, the Company issued and sold 1,410,434 shares of Series B Preferred Stock, at a price of $56.72 per share, for gross proceeds of $80.0 million and incurred $0.2 million of issuance costs. Adimab, a related party, participated in the Series B Preferred Stock financing by purchasing 44,076 shares of Series B Preferred Stock for an aggregate purchase price of $2.5 million. The issuance of the Series B Preferred Stock resulted in changes to certain terms of the Series A Preferred Stock. The Company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9" w:name="page20"/>
    <w:bookmarkEnd w:id="19"/>
    <w:p>
      <w:pPr>
        <w:jc w:val="both"/>
        <w:spacing w:after="0" w:line="258" w:lineRule="auto"/>
        <w:rPr>
          <w:sz w:val="20"/>
          <w:szCs w:val="20"/>
          <w:color w:val="auto"/>
        </w:rPr>
      </w:pPr>
      <w:r>
        <w:rPr>
          <w:rFonts w:ascii="Times New Roman" w:cs="Times New Roman" w:eastAsia="Times New Roman" w:hAnsi="Times New Roman"/>
          <w:sz w:val="18"/>
          <w:szCs w:val="18"/>
          <w:color w:val="auto"/>
        </w:rPr>
        <w:t>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p>
    <w:p>
      <w:pPr>
        <w:spacing w:after="0" w:line="6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2021, the Company issued and sold 4,296,550 shares of its Series C Preferred Stock, at a price of $78.08578 per share, for aggregate gross proceeds of $335.5 million and incurred $0.3 million of issuance costs. Adimab, a related party, participated in the Series C Preferred Stock financing by purchasing 128,064 shares of Series C Preferred Stock for an aggregate purchase price of $10.0 million.</w:t>
      </w:r>
    </w:p>
    <w:p>
      <w:pPr>
        <w:spacing w:after="0" w:line="6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terms of the Series C Preferred Stock were substantially the same as the terms of the Series A Preferred Stock and Series B Preferred Stock, except that the original issue price per share and the conversion price per share of the Series C Preferred Stock is $78.08578.</w:t>
      </w:r>
    </w:p>
    <w:p>
      <w:pPr>
        <w:spacing w:after="0" w:line="40"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 July 2021, the Company filed an amended and restated certificate of incorporation, which increased the Company’s authority to issue (i) 150,000,000 shares of common stock and (ii) 16,944,484 shares of Preferred Stock. In August 2021, in connection with the closing of the IPO, the Company filed an amended and restated certificate of incorporation to, among other things: (i) increase the number of authorized shares of common stock from 150,000,000 shares to 1,000,000,000 shares, (ii) eliminate all references to the previously existing series of convertible preferred stock and (iii) authorize 10,000,000 shares of undesignated preferred stock that may be issued from time to time by the Company’s board of directors in one or more series.</w:t>
      </w:r>
    </w:p>
    <w:p>
      <w:pPr>
        <w:spacing w:after="0" w:line="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Upon issuance of each series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series of Preferred Stock.</w:t>
      </w:r>
    </w:p>
    <w:p>
      <w:pPr>
        <w:spacing w:after="0" w:line="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the closing of the Company’s IPO in August 2021, all shares of the Company’s convertible preferred stock then outstanding converted into 84,722,420 shares of common stock (see Note 10).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shares of the Company’s common stock were subject to and qualified by the rights, powers and preferences of the holders of the Preferred Stock set forth above and described in the Company’s final prospectus related to the IPO filed with the SEC pursuant to Rule 424(b)(4) under the Securities Act of 1933, as amended (the “Securities Act”) on August 6, 2021.</w:t>
      </w:r>
    </w:p>
    <w:p>
      <w:pPr>
        <w:spacing w:after="0" w:line="8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 June 2020, the Company issued and sold 21,250,000 shares of its common stock to Adimab upon formation of the Company for $0.00002 per share. In July 2020, such shares of common stock were repurchased by the Company from Adimab contemporaneous with the execution of the Adimab Assignment Agreement, pursuant to which the Company acquired certain intellectual property rights in exchange for the issuance of 5,000,000 shares of its Series A Preferred Stock. As of June 30, 2022 and December 31, 2021 the 21,250,000 shares of common stock repurchased from Adimab were retired and redesignated as authorized but unissued shares of the Company’s common stock. The fair value of the repurchased common stock was $0.004 per share, or $85,000 in the aggregate, as determined based on a third-party valuation (see Note 7).</w:t>
      </w:r>
    </w:p>
    <w:p>
      <w:pPr>
        <w:spacing w:after="0" w:line="7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2021, the Company increased the number of shares of common stock authorized for issuance from 19,000,000 to 23,251,555 shares and increased the number of shares of preferred stock authorized for issuance from 12,647,934 to 16,944,484 shares, of which 4,296,550 shares were designated as Series C Preferred Stock.</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described in Note 9 above, in July 2021, the Company filed an amended and restated certificate of incorporation, which increased the Company’s authority to issue 150,000,000 shares of common stock. In August 2021, in connection with the closing of the IPO, the Company filed an amended and restated certificate of incorporation to, among other things, increase the number of authorized shares of common stock from 150,000,000 shares to 1,000,000,000 shares.</w:t>
      </w:r>
    </w:p>
    <w:p>
      <w:pPr>
        <w:spacing w:after="0" w:line="8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the Company had reserved 44,428,175 shares of common stock for the exercise of outstanding stock options and the issuance of awards available for grant under the Company’s 2020 Equity Incentive Plan, 2021 Equity Incentive Plan and 2021 Employee Stock Purchase Plan (see Note 11).</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April and May 2021, the Company retired an aggregate of 22,600,000 shares of common stock held in treasury. Upon retirement, the shares were redesignated as authorized but unissued shares of the Company’s common stock.</w:t>
      </w:r>
    </w:p>
    <w:p>
      <w:pPr>
        <w:spacing w:after="0" w:line="5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November 2021, the Company repurchased 468,751 shares of unvested restricted common stock at the original purchase price upon a termination of service during the vesting period. As of December 31, 2021, the shares of common stock repurchased were recorded as treasury stock in the accompanying consolidated balance sheets and consolidated statements of convertible preferred stock and stockholders’ equity (deficit) as such shares were not retired. The fair value of the repurchased common stock was insignificant.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February and June 2022, the Company repurchased 1,158,089 and 992,648 shares of unvested restricted common stock, respectively, at the original purchase price upon a termination of service during the vesting period. The shares of common stock repurchased were recorded as treasury stock in the accompanying condensed consolidated balance sheets and consolidated statements of convertible preferred stock and stockholders’ equity (deficit) as such shares were not retired. The fair value of the repurchased common stock was insignificant.</w:t>
      </w:r>
    </w:p>
    <w:p>
      <w:pPr>
        <w:spacing w:after="0" w:line="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2022, the Company retired an aggregate of 1,626,840 shares of common stock held in treasury. Upon retirement, the shares were redesignated as authorized but unissued shares of the Company’s common stock.</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Split</w:t>
      </w:r>
    </w:p>
    <w:p>
      <w:pPr>
        <w:spacing w:after="0" w:line="12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July 2021, the Company effected a five-for-one stock split of its issued and outstanding shares of common stock and a proportional adjustment to the existing conversion ratios of each series of the Company’s preferred stock (see Note 9). Accordingly, all share and per share amounts for all periods presented in the accompanying condensed consolidated financial statements and notes thereto have been adjusted retroactively, where applicable, to reflect this stock split and adjustment of the Preferred Stock conversion ratios.</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0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In August 2021, the Company completed its IPO, pursuant to which it issued and sold 20,930,000 shares of its common stock at an initial public offering price of $17.00 per share, including 2,730,000 shares of its common stock pursuant to the full exercise of the underwriters’ option to purchase additional shares. The aggregate net proceeds received by the Company from the IPO were approximately $327.5 million, after deducting underwriting discounts and commissions and offering expenses payable by the Company. Upon the closing of the IPO, all of the shares of the Company’s convertible preferred stock then outstanding converted into 84,722,420 shares of common stock. Upon the conversion of the convertible preferred stock, the Company reclassified the carrying value of the convertible preferred stock to common stock (at par value) and additional paid-in capital.</w:t>
      </w:r>
    </w:p>
    <w:p>
      <w:pPr>
        <w:spacing w:after="0" w:line="68" w:lineRule="exact"/>
        <w:rPr>
          <w:sz w:val="20"/>
          <w:szCs w:val="20"/>
          <w:color w:val="auto"/>
        </w:rPr>
      </w:pPr>
    </w:p>
    <w:p>
      <w:pPr>
        <w:ind w:left="520" w:right="8700" w:hanging="512"/>
        <w:spacing w:after="0" w:line="391" w:lineRule="auto"/>
        <w:tabs>
          <w:tab w:leader="none" w:pos="271"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2020 Equity Incentive Plan</w:t>
      </w:r>
    </w:p>
    <w:p>
      <w:pPr>
        <w:spacing w:after="0" w:line="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73"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June 30, 2022, there were 11,600,938 shares authorized to be issued upon the exercise of outstanding stock option grants and no shares reserved for future issuance under the 2020 Plan.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jc w:val="both"/>
        <w:ind w:right="60" w:firstLine="509"/>
        <w:spacing w:after="0" w:line="242"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addition, the number of shares of the Company’s common stock reserved for issuance under the 2021 Plan will automatically increase on the first day of each calendar year,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pursuant to the terms of the 2021 Plan.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75"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2022, there were 43,085,402 shares authorized to be issued, which includes 23,149,318 shares reserved for future issuance under the 2021 Plan.</w:t>
      </w:r>
    </w:p>
    <w:p>
      <w:pPr>
        <w:spacing w:after="0" w:line="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08" w:lineRule="exact"/>
        <w:rPr>
          <w:sz w:val="20"/>
          <w:szCs w:val="20"/>
          <w:color w:val="auto"/>
        </w:rPr>
      </w:pPr>
    </w:p>
    <w:p>
      <w:pPr>
        <w:jc w:val="both"/>
        <w:ind w:right="60" w:firstLine="509"/>
        <w:spacing w:after="0" w:line="246"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7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grant date fair value of stock options granted: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672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89"/>
        </w:trPr>
        <w:tc>
          <w:tcPr>
            <w:tcW w:w="672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672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6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74.6 %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73.3 %</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72.7 %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73.4 %</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34"/>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December 31,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80" w:type="dxa"/>
            <w:vAlign w:val="bottom"/>
            <w:gridSpan w:val="2"/>
          </w:tcPr>
          <w:p>
            <w:pPr>
              <w:jc w:val="right"/>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1020" w:type="dxa"/>
            <w:vAlign w:val="bottom"/>
          </w:tcPr>
          <w:p>
            <w:pPr>
              <w:jc w:val="center"/>
              <w:ind w:right="117"/>
              <w:spacing w:after="0" w:line="160"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3"/>
                <w:szCs w:val="13"/>
                <w:color w:val="auto"/>
              </w:rPr>
            </w:pPr>
          </w:p>
        </w:tc>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59"/>
              <w:spacing w:after="0" w:line="160"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02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18,871,592</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6,574,509</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26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(148,353 )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2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26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(5,361,664 )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19,936,084</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at June 30, 2022</w:t>
            </w:r>
          </w:p>
        </w:tc>
        <w:tc>
          <w:tcPr>
            <w:tcW w:w="2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19,936,084</w:t>
            </w:r>
          </w:p>
        </w:tc>
        <w:tc>
          <w:tcPr>
            <w:tcW w:w="2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8.73</w:t>
            </w:r>
          </w:p>
        </w:tc>
        <w:tc>
          <w:tcPr>
            <w:tcW w:w="1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 at June 30, 2022</w:t>
            </w:r>
          </w:p>
        </w:tc>
        <w:tc>
          <w:tcPr>
            <w:tcW w:w="2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4,272,473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34"/>
        </w:trPr>
        <w:tc>
          <w:tcPr>
            <w:tcW w:w="4380" w:type="dxa"/>
            <w:vAlign w:val="bottom"/>
          </w:tcPr>
          <w:p>
            <w:pPr>
              <w:spacing w:after="0"/>
              <w:rPr>
                <w:sz w:val="24"/>
                <w:szCs w:val="24"/>
                <w:color w:val="auto"/>
              </w:rPr>
            </w:pPr>
          </w:p>
        </w:tc>
        <w:tc>
          <w:tcPr>
            <w:tcW w:w="2360" w:type="dxa"/>
            <w:vAlign w:val="bottom"/>
            <w:gridSpan w:val="2"/>
          </w:tcPr>
          <w:p>
            <w:pPr>
              <w:jc w:val="right"/>
              <w:ind w:right="942"/>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-770890</wp:posOffset>
            </wp:positionV>
            <wp:extent cx="768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-753745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28" w:right="279" w:bottom="1440" w:gutter="0" w:footer="0" w:header="0"/>
        </w:sectPr>
      </w:pPr>
    </w:p>
    <w:bookmarkStart w:id="22" w:name="page23"/>
    <w:bookmarkEnd w:id="22"/>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and six months ended June 30, 2022 was $2.07 and $3.88, respectively, per share. The weighted-average grant date fair value of stock options granted during the three and six months ended June 30, 2021 was $6.75 and $5.96, respectively, per share.</w:t>
      </w:r>
    </w:p>
    <w:p>
      <w:pPr>
        <w:spacing w:after="0" w:line="8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market value of the common stock for the options that were in the money at June 30, 2022 and December 31, 2021.</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total intrinsic value of stock options exercised was $0.3 million and $0.6 million for the three and six months ended June 30, 2022, respectively.</w:t>
      </w:r>
    </w:p>
    <w:p>
      <w:pPr>
        <w:spacing w:after="0" w:line="11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In July 2022, David Hering, M.B.A. was appointed as the Company's Chief Executive Officer and as a Class III director on the Board of Directors. In conjunction with Mr. Hering's appointment, he was granted a stock option to purchase 2,000,000 shares of common stock, which will vest monthly in equal installments over 48 months. Mr. Hering is also eligible to receive an additional stock option to purchase up to 1,000,000 shares of common stock (the "Additional Option Grant") if certain goals approved by the Board of Directors, on the recommendation of the Compensation Committee, are achieved on or prior to December 31, 2022, with such achievement to be determined by the Board of Directors, upon the recommendation of the Compensation Committee. If such performance goals are partially achieved on or prior to December 31, 2022, then Mr. Hering may receive a partial amount of the Additional Option Grant, with such partial amount to be determined by the Board of Directors, in its sole and absolute discretion. The Additional Option Grant would vest monthly in equal installments over a 48-month period commencing on the applicable grant date.</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Stock Options into Restricted Stock</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Company’s restricted stock activity during the six months ended June 30, 2022 is solely due to shares of restricted common stock issued pursuant to the permitted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summary of the Company’s unvested common stock from option early exercises that is subject to repurchase by the Company is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3"/>
                <w:szCs w:val="13"/>
                <w:color w:val="auto"/>
              </w:rPr>
            </w:pPr>
          </w:p>
        </w:tc>
        <w:tc>
          <w:tcPr>
            <w:tcW w:w="20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7"/>
        </w:trPr>
        <w:tc>
          <w:tcPr>
            <w:tcW w:w="9220" w:type="dxa"/>
            <w:vAlign w:val="bottom"/>
          </w:tcPr>
          <w:p>
            <w:pPr>
              <w:spacing w:after="0"/>
              <w:rPr>
                <w:sz w:val="16"/>
                <w:szCs w:val="16"/>
                <w:color w:val="auto"/>
              </w:rPr>
            </w:pPr>
          </w:p>
        </w:tc>
        <w:tc>
          <w:tcPr>
            <w:tcW w:w="20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of Shares</w:t>
            </w: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at December 31, 2021</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3,082,175</w:t>
            </w:r>
          </w:p>
        </w:tc>
        <w:tc>
          <w:tcPr>
            <w:tcW w:w="10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2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(450,995 )</w:t>
            </w: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Repurchased</w:t>
            </w: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(2,150,737 )</w:t>
            </w: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at June 30, 2022</w:t>
            </w:r>
          </w:p>
        </w:tc>
        <w:tc>
          <w:tcPr>
            <w:tcW w:w="1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480,443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Proceeds from the early exercise of stock options are recorded as an early-exercise liability on the condensed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June 30, 2022 and December 31, 2021 the liability related to the payments for unvested shares from early-exercised options was less than $0.1 million.</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(service-based stock options and employee stock purchase plan) in the following expense categories of its condensed consolidated statements of operations and comprehensive loss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r>
      <w:tr>
        <w:trPr>
          <w:trHeight w:val="175"/>
        </w:trPr>
        <w:tc>
          <w:tcPr>
            <w:tcW w:w="4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r>
      <w:tr>
        <w:trPr>
          <w:trHeight w:val="187"/>
        </w:trPr>
        <w:tc>
          <w:tcPr>
            <w:tcW w:w="4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10"/>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18"/>
                <w:szCs w:val="18"/>
                <w:color w:val="auto"/>
              </w:rPr>
            </w:pPr>
          </w:p>
        </w:tc>
      </w:tr>
      <w:tr>
        <w:trPr>
          <w:trHeight w:val="250"/>
        </w:trPr>
        <w:tc>
          <w:tcPr>
            <w:tcW w:w="46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8,344</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-24765</wp:posOffset>
            </wp:positionV>
            <wp:extent cx="77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2022, Tillman U. Gerngross, Ph.D., resigned as Chief Executive Officer and President and as a member of the Company's board of directors. In accordance with his resignation, Dr. Gerngross's outstanding stock options were forfeited, resulting in a reversal of selling, general and administrative related stock-based compensation expense of approximately $4.6 million.</w:t>
      </w:r>
    </w:p>
    <w:p>
      <w:pPr>
        <w:spacing w:after="0" w:line="6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June 30, 2022, total unrecognized stock-based compensation expense related to unvested stock-based awards was $86.4 million, which is expected to be recognized over a weighted-average period of 3.0 years.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no shares issued under the 2021 ESPP as of June 30, 2022. The number of shares of common stock that may be issued under the 2021 ESPP will automatically increase on the first day of each calendar year,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on January 1, 2022 as determined by the Company's board of directors. During the three and six months ended June 30, 2022, the Company recognized less than $0.1 million in related stock-based compensation expense.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For the three and six months ended June 30, 2022 and 2021, the Company recorded no income tax benefits for the net operating losses incurred or for the research and development tax credits generated in each period, due to its uncertainty of realizing a benefit from those items. All of the Company’s operating losses since inception have been generated in the United States.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10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Company maintains a 401(k) Plan (the “401(k) Plan”) for the benefit of eligible employees. The 401(k) Plan is a defined contribution plan under Section 401(k) of the Internal Revenue Code of 1986 that covers all 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three and six months ended June 30, 2022, the Company contributed $0.2 million and $0.4 million, respectively, to the 401(k) Plan. For the three and six months ended June 30, 2021, the Company contributed $0.1 million and $0.2 million, respectively, to the 401(k)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0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tbl>
      <w:tblPr>
        <w:tblLayout w:type="fixed"/>
        <w:tblInd w:w="80" w:type="dxa"/>
        <w:tblCellMar>
          <w:top w:w="0" w:type="dxa"/>
          <w:left w:w="0" w:type="dxa"/>
          <w:bottom w:w="0" w:type="dxa"/>
          <w:right w:w="0" w:type="dxa"/>
        </w:tblCellMar>
      </w:tblPr>
      <w:tr>
        <w:trPr>
          <w:trHeight w:val="155"/>
        </w:trPr>
        <w:tc>
          <w:tcPr>
            <w:tcW w:w="5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3"/>
          </w:tcPr>
          <w:p>
            <w:pPr>
              <w:jc w:val="center"/>
              <w:ind w:right="170"/>
              <w:spacing w:after="0" w:line="155" w:lineRule="exact"/>
              <w:rPr>
                <w:sz w:val="20"/>
                <w:szCs w:val="20"/>
                <w:color w:val="auto"/>
              </w:rPr>
            </w:pPr>
            <w:r>
              <w:rPr>
                <w:rFonts w:ascii="Times New Roman" w:cs="Times New Roman" w:eastAsia="Times New Roman" w:hAnsi="Times New Roman"/>
                <w:sz w:val="14"/>
                <w:szCs w:val="14"/>
                <w:b w:val="1"/>
                <w:bCs w:val="1"/>
                <w:color w:val="auto"/>
              </w:rPr>
              <w:t>Three Months</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7"/>
                <w:szCs w:val="7"/>
                <w:color w:val="auto"/>
              </w:rPr>
            </w:pPr>
          </w:p>
        </w:tc>
        <w:tc>
          <w:tcPr>
            <w:tcW w:w="112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580" w:type="dxa"/>
            <w:vAlign w:val="bottom"/>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160" w:type="dxa"/>
            <w:vAlign w:val="bottom"/>
            <w:gridSpan w:val="3"/>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09"/>
        </w:trPr>
        <w:tc>
          <w:tcPr>
            <w:tcW w:w="5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40" w:type="dxa"/>
            <w:vAlign w:val="bottom"/>
            <w:gridSpan w:val="2"/>
            <w:vMerge w:val="restart"/>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9"/>
                <w:szCs w:val="9"/>
                <w:color w:val="auto"/>
              </w:rPr>
            </w:pPr>
          </w:p>
        </w:tc>
        <w:tc>
          <w:tcPr>
            <w:tcW w:w="1120" w:type="dxa"/>
            <w:vAlign w:val="bottom"/>
            <w:gridSpan w:val="2"/>
            <w:vMerge w:val="restart"/>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9"/>
                <w:szCs w:val="9"/>
                <w:color w:val="auto"/>
              </w:rPr>
            </w:pPr>
          </w:p>
        </w:tc>
        <w:tc>
          <w:tcPr>
            <w:tcW w:w="1240" w:type="dxa"/>
            <w:vAlign w:val="bottom"/>
            <w:gridSpan w:val="2"/>
            <w:vMerge w:val="restart"/>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5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(50,990 )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(44,673 )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(151,656 )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(83,373 )</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108,166,890</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249,769</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108,019,051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5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60" w:type="dxa"/>
            <w:vAlign w:val="bottom"/>
            <w:tcBorders>
              <w:bottom w:val="single" w:sz="8" w:color="auto"/>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240" w:type="dxa"/>
            <w:vAlign w:val="bottom"/>
            <w:tcBorders>
              <w:bottom w:val="single" w:sz="8" w:color="CFF0FC"/>
            </w:tcBorders>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shd w:val="clear" w:color="auto" w:fill="CFF0FC"/>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(178.86</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(663.94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-25400</wp:posOffset>
            </wp:positionV>
            <wp:extent cx="768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-8255</wp:posOffset>
            </wp:positionV>
            <wp:extent cx="768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Shares of unvested restricted common stock are not considered outstanding for accounting purposes until vested and were excluded from the calculations of basic net loss per share attributable to common stockholders for all periods presented.</w:t>
      </w:r>
    </w:p>
    <w:p>
      <w:pPr>
        <w:spacing w:after="0" w:line="4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and Six Months Ended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860" w:type="dxa"/>
            <w:vAlign w:val="bottom"/>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940" w:type="dxa"/>
            <w:vAlign w:val="bottom"/>
          </w:tcPr>
          <w:p>
            <w:pPr>
              <w:spacing w:after="0"/>
              <w:rPr>
                <w:sz w:val="17"/>
                <w:szCs w:val="17"/>
                <w:color w:val="auto"/>
              </w:rPr>
            </w:pPr>
          </w:p>
        </w:tc>
        <w:tc>
          <w:tcPr>
            <w:tcW w:w="452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328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84,722,420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19,936,084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14,931,630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32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480,443</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4,194,930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20,416,527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103,848,980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280" w:type="dxa"/>
            <w:vAlign w:val="bottom"/>
            <w:vMerge w:val="restart"/>
          </w:tcPr>
          <w:p>
            <w:pPr>
              <w:jc w:val="right"/>
              <w:ind w:right="2415"/>
              <w:spacing w:after="0"/>
              <w:rPr>
                <w:sz w:val="20"/>
                <w:szCs w:val="20"/>
                <w:color w:val="auto"/>
              </w:rPr>
            </w:pPr>
            <w:r>
              <w:rPr>
                <w:rFonts w:ascii="Times New Roman" w:cs="Times New Roman" w:eastAsia="Times New Roman" w:hAnsi="Times New Roman"/>
                <w:sz w:val="18"/>
                <w:szCs w:val="18"/>
                <w:color w:val="auto"/>
              </w:rPr>
              <w:t>20</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9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-659130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Adimab participated in the Series B Preferred Stock financing and the Series C Preferred Stock financing by purchasing 44,076 and 128,064 shares of Series B Preferred Stock and Series C Preferred Stock, respectively, for an aggregate purchase price of $2.5 million and $10.0 million, respectively (see Note 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7).</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did not recognize any IPR&amp;D expense pursuant to the Adimab Assignment Agreement. During the three and six months ended June 30, 2021, the Company recognized $2.5 million and $3.5 million, respectively, as IPR&amp;D expense in connection with milestones payable under the Adimab Assignment Agreement.</w:t>
      </w:r>
    </w:p>
    <w:p>
      <w:pPr>
        <w:spacing w:after="0" w:line="8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recognized $0.2 million and $0.5 million, respectively, of research and development expense with respect to services performed by Adimab on the Company’s behalf under the Adimab Assignment Agreement. During the three and six months ended June 30, 2021, the Company recognized $0.2 million and $0.4 million, respectively, of research and development expense with respect to services performed by Adimab on the Company’s behalf under the Adimab Assignment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Adimab Collaboration Agreement, the Company is obligated to pay Adimab for certain fees, milestone and royalty payments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recognized $1.3 million and $2.6 million, respectively, of research and development expense related to the quarterly fee. During the three and six months ended June 30, 2021, the Company did not recognize research and development expense related to the quarterly fee.</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recognized $0.6 million and $1.0 million, respectively, of research and development expense with respect to services performed by Adimab on the Company’s behalf under the Adimab Collaboration Agreement. During the three and six months ended June 30, 2021, the Company did not incur significant costs with respect to services performed by Adimab on the Company’s behalf under the Adimab Collaboration Agreement.</w:t>
      </w:r>
    </w:p>
    <w:p>
      <w:pPr>
        <w:spacing w:after="0" w:line="6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2022, the Company recognized $0.2 million of research and development expense related to a drug delivery fee.</w:t>
      </w:r>
    </w:p>
    <w:p>
      <w:pPr>
        <w:spacing w:after="0" w:line="6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As of June 30, 2022 and December 31, 2021, $1.0 million and $0.6 million, respectively, was due to Adimab under both the Adimab Assignment Agreement and the Adimab Collaboration Agreement by the Company. As of June 30, 2022 and December 31, 2021, no amounts were due from Adimab under the Adimab Assignment Agreement or the Adimab Collaboration Agreement to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Quarterly Report on Form 10-Q and our Annual Report on Form 10-K for the year ended December 31, 2021, filed with the Securities and Exchange Commission (“SEC”) on March 31, 2022 (as subsequently amended by Amendment No. 1 to the Company’s Annual Report on Form 10-K, filed with the SEC on April 29, 2022, the “2021 Form 10-K”). Unless the context requires otherwise, references in this Quarterly Report on Form 10-Q to “we,” “us,” and “our” refer to Adagio Therapeutics, Inc. together with its consolidated subsidiaries.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12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and Section 21E of the Securities Exchange Act of 1934, as amended.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Quarterly Report on Form 10-Q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80" w:lineRule="exact"/>
        <w:rPr>
          <w:sz w:val="20"/>
          <w:szCs w:val="20"/>
          <w:color w:val="auto"/>
        </w:rPr>
      </w:pPr>
    </w:p>
    <w:p>
      <w:pPr>
        <w:jc w:val="both"/>
        <w:ind w:left="102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preclinical studies and clinical trials of our current and future product candidates, including statements regarding the timing of our planned regulatory submissions, initiation and completion of studies or trials and related preparatory work and the period during which the results of the trials will become available, and our research and development programs;</w:t>
      </w:r>
    </w:p>
    <w:p>
      <w:pPr>
        <w:spacing w:after="0" w:line="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submission of filings for regulatory approval of, and our ability to obtain and maintain regulatory approvals for, our current and future product candidates;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and strategy, including the scalability and commercial viability of our manufacturing methods and processes;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patients with the diseases treated by our product candidates and to enroll these patients in our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approved for commercial use;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scope of any approved indication for adintrevimab or any other product candidate;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technology to identify and develop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revenue, capital requirements and our need for or ability to obtain additional funding before we can expect to generate any revenue from product sales;</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have sufficient cash resources to fund our operating expenses and capital expenditure requirements into the second quarter of 2024;</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 and</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affecting our preclinical studies or the initiation, patient enrollment, development and operation of our clinical trials, including a public health crisis, such as the outbreak of COVID-19.</w:t>
      </w:r>
    </w:p>
    <w:p>
      <w:pPr>
        <w:spacing w:after="0" w:line="4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foregoing list of forward-looking statements is not exhaustive. You should refer to the “Risk Factors” section of this Quarterly Report on Form 10-Q for a discussion of important factors that may cause our actual results to differ materially from those expressed or implied by our forward-looking statements. Other sections of this Quarterly Report on Form 10-Q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Quarterly Report on Form 10-Q will prove to be accurate. Except as required by applicable law, we do not plan to publicly update or revise any forward-looking statements contained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26" w:name="page27"/>
    <w:bookmarkEnd w:id="2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herein, whether as a result of any new information, future events, changed circumstances or otherwise. You should, however, review the factors and risks and other information we describe in the reports we file from time to time with the SEC.</w:t>
      </w:r>
    </w:p>
    <w:p>
      <w:pPr>
        <w:spacing w:after="0" w:line="4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Quarterly Report on Form 10-Q and the documents that we reference in this Quarterly Report on Form 10-Q and have filed as exhibits to this Quarterly Report on Form 10-Q completely and with the understanding that our actual future results may be materially different from what we expect. We qualify all of our forward-looking statements by these cautionary statements.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Adagio Therapeutics, Inc. is a clinical-stage biopharmaceutical company focused on the discovery, development and commercialization of differentiated products for the prevention and treatment of infectious disease. We are developing our lead product candidate, adintrevimab, for the prevention and treatment of coronavirus disease 2019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prevention and treatment options for years to come. We are leveraging our team’s collective expertise and capabilities to deliver adintrevimab to patients and to discover novel solutions to infectious diseases through internal research and collaborations.</w:t>
      </w:r>
    </w:p>
    <w:p>
      <w:pPr>
        <w:spacing w:after="0" w:line="7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Adintrevimab is designed to be a potent, long-acting and broadly neutralizing antibody for both the prevention and treatment of COVID-19. We believe several key attributes combine to potentially differentiate adintrevimab, including breadth, potency, durability of protection, convenient intramuscular administration, and potential for broad application across multiple indications, depending on the SARS-CoV-2 variant.</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Data from our Phase 1 healthy volunteer study ADG20-1-001 confirmed the extended half-life of adintrevimab, which we believe may allow for durable protection against COVID-19, depending on the variant. In February 2022, we expanded the Phase 1 study to evaluate safety and pharmacokinetics at higher doses. As of August 8, 2022, there were no study drug related adverse events, serious adverse events, injection-site reactions or hypersensitivity reactions reported across all dose levels evaluated.</w:t>
      </w:r>
    </w:p>
    <w:p>
      <w:pPr>
        <w:spacing w:after="0" w:line="6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 xml:space="preserve">We are assessing adintrevimab in two separate Phase 2/3 clinical trials: our EVADE trial to evaluate adintrevimab for the prevention of COVID-19 and our STAMP trial to evaluate adintrevimab for the treatment of COVID-19. Our EVADE clinical trial is a global Phase 2/3 clinical trial evaluating adintrevimab as a prevention for COVID-19 in both the post-exposure and pre-exposure settings. Our STAMP trial is our global Phase 2/3 clinical trial evaluating adintrevimab as a treatment for COVID-19. Due to the emergence and global spread of the Omicron variant, against which adintrevimab has reduced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potency compared to prior variants, enrollment in both EVADE and STAMP was paused on January 11, 2022, and preliminary safety and efficacy data were evaluated.</w:t>
      </w:r>
    </w:p>
    <w:p>
      <w:pPr>
        <w:spacing w:after="0" w:line="7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In the primary analysis population, patients infected with or exposed to a non-Omicron variant (the “pre-Omicron group”), adintrevimab met the primary objectives across all three indications, demonstrating statistically significant and clinically meaningful efficacy. In pre-exposure and post-exposure prophylaxis, adintrevimab was associated with 71% and 75% relative risk reductions compared to placebo, respectively, in the prevention of reverse transcription-polymerase chain reaction (“RT-PCR”) confirmed symptomatic COVID-19. In an exploratory analysis of patients exposed to the Omicron variant (the “post-Omicron group”) in pre-exposure prophylaxis, adintrevimab was associated with a clinically meaningful reduction in the risk of developing RT-PCR confirmed symptomatic COVID-19 compared with placebo. In treatment, adintrevimab was associated with a 66% relative risk reduction compared to placebo in the incidence COVID-19 related hospitalization or all cause death through Day 29 in the pre-Omicron group. In patients treated within three days of symptom onset, adintrevimab was associated with a reduced risk of COVID-19 hospitalization or death from any cause through Day 29 by 74% compared to placebo. A preliminary analysis of available safety data in each trial revealed a safety profile similar to that of placebo for adintrevimab.</w:t>
      </w:r>
    </w:p>
    <w:p>
      <w:pPr>
        <w:spacing w:after="0" w:line="76"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 xml:space="preserve">The Omicron BA.4 and BA.5 sublineages, which have shown reduced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susceptibility to monoclonal antibodies, have recently emerged as the current predominant variants of SARS-CoV-2 in the United States. Adintrevimab, which has demonstrated broadly neutralizing activity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against SARS-CoV-2 variants of concern including Alpha, Beta, Delta, Delta Plus, Gamma and Omicron BA.1, has markedly reduced neutralization activity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against the Omicron BA.2, BA.4, and BA.5 sublineages. Based on feedback from the FDA regarding adintrevimab’s lack of neutralizing activity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against the BA.2 variant, we paused the submission of an Emergency Use Authorization (“EUA”) request. We intend to continue engaging with the FDA and monitor the evolution of SARS-CoV-2 and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of adintrevimab against predominant variants in the United States to determine the optimal timing for the planned EUA request. In addition, we continue engaging with other health authorities outside of the United States on potential authorization pathways for adintrevimab.</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7" w:name="page28"/>
    <w:bookmarkEnd w:id="27"/>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committed to advancing adintrevimab as a potential future therapeutic option in anticipation of the emergence of new variants. We are on-track to have more than 700,000 doses of adintrevimab secured in 2022, in preparation of its potential utility as a prophylaxis and treatment option for COVID-19 in the future.</w:t>
      </w:r>
    </w:p>
    <w:p>
      <w:pPr>
        <w:spacing w:after="0" w:line="6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are also evaluating additional broadly neutralizing antibodies targeting the receptor binding domain, as well as other subdomains within the spike protein for COVID-19. We are advancing proprietary antibodies targeting distinct sites with activity against all SARS-CoV-2 variants of concern (“VOCs”) to date, including the Omicron variant and its sublineages, and plan to take a combination of these antibodies into clinical trials in the first quarter of 2023 for the prevention and treatment of COVID-19. In addition, we plan to leverage our robust antibody discovery and development capabilities and our partnerships that together have enabled our expedited advancement of adintrevimab into clinical trials to develop therapeutic or preventative options for other infectious diseases, such as additional coronaviruses and influenza. We continue to evaluate product candidates for infectious diseases with high unmet medical need through in-licensing opportunities that may leverage our team’s expertise and capabilities.</w:t>
      </w:r>
    </w:p>
    <w:p>
      <w:pPr>
        <w:spacing w:after="0" w:line="7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SARS-CoV-2 has given rise to a global pandemic that swept rapidly throughout the world in 2020. Of significant current concern is the continued emergence of a number of SARS-CoV-2 variants with increased transmissibility, pathogenicity, and/or the ability to evade neutralizing antibodies. In addition to the emergence of these variants, there are multiple factors that we believe contribute to the likelihood of COVID-19 becoming an endemic threat, including: (1) viral transmission before symptom onset; (2) uneven global rollout of vaccinations; (3) ongoing vaccine hesitancy; (4) limited duration of immunity conferred by both natural infection and vaccination; (5) limited vaccine efficacy against certain SARS-CoV-2 variants; (6) uncertain impact of vaccines on transmission; and (7) variable implementation of virus mitigation behaviors, such as wearing masks and social distancing. We also believe that future pandemics similar to the COVID-19 pandemic are likely because, in many parts of the world, humans live in close proximity to animal species harboring coronaviruses that are capable of infecting humans.</w:t>
      </w:r>
    </w:p>
    <w:p>
      <w:pPr>
        <w:spacing w:after="0" w:line="58"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Our vision is to discover, develop and commercialize differentiated products for the prevention and treatment of infectious diseases. To enable this vision, our current discovery efforts are focused on unique antibody-based product candidates that we optimize to improve breadth, potency, half-life,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where applicable, and developability. Key elements that we believe differentiate our approach include: (1) recognition of the importance of and identification of broadly neutralizing antibodies; (2) industry-leading B cell mining, protein engineering and developability screening capabilities through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internal expertise and collaborations; and (3) reducing risk of clinical resistance.</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were formed in June 2020. In July 2020, we entered into an assignment and license agreement (the “Adimab Assignment Agreement”), with</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Adimab, pursuant to which we acquired certain rights to Adimab’s antibodies relating to COVID-19 and severe acute respiratory syndrome (“SARS”), as well as related provisional patent applications, know-how and data generated with respect to the associated antibodies. In addition, Adimab granted to us a</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non-exclusive, worldwide license to certain of Adimab’s platform patents and technology for use in research and development. In connection with the rights and license acquired, we issued 5,000,000 shares of our Series A Preferred Stock to Adimab. In May 2021, we entered into a funded discovery agreement with Adimab focused on discovery efforts for new antibodies that may be effective against other coronaviruses and influenza, both of which</w:t>
      </w:r>
    </w:p>
    <w:p>
      <w:pPr>
        <w:jc w:val="both"/>
        <w:spacing w:after="0" w:line="211" w:lineRule="auto"/>
        <w:rPr>
          <w:sz w:val="20"/>
          <w:szCs w:val="20"/>
          <w:color w:val="auto"/>
        </w:rPr>
      </w:pPr>
      <w:r>
        <w:rPr>
          <w:rFonts w:ascii="Times New Roman" w:cs="Times New Roman" w:eastAsia="Times New Roman" w:hAnsi="Times New Roman"/>
          <w:sz w:val="18"/>
          <w:szCs w:val="18"/>
          <w:color w:val="auto"/>
        </w:rPr>
        <w:t>have the potential to cause pandemics. In the event that Adimab discovers an antibody that is expected to meet certain product profiles developed by us, we will have the exclusive option to require Adimab to assign us its rights in any such antibody and to grant us certain licenses. In addition, we engage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parties to perform ongoing research and development and other services on our behalf.</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building an intellectual property portfolio,</w:t>
      </w:r>
    </w:p>
    <w:p>
      <w:pPr>
        <w:spacing w:after="0" w:line="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business planning, conducting research and development, establishing and executing arrangements with third parties for the manufacture of our product candidates and raising capital. We rely heavily on partnerships, external consultants and contract research organizations (“CROs”) to conduct our discovery,</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non-clinical, preclinical and clinical activities. Additionally, we are currently dependent on WuXi Biologics (Hong Kong) Limited (“WuXi”), a contract development and manufacturing organization (“CDMO”), for the manufacture of our product candidates for clinical and commercial use. We expect to continue to rely on third parties for clinical trials and the manufacture and testing of our product candidates.</w:t>
      </w:r>
    </w:p>
    <w:p>
      <w:pPr>
        <w:spacing w:after="0" w:line="65"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Since our inception, we have financed our operations with net proceeds of $464.7 million from sales of our preferred stock, and most recently, with net proceeds from our initial public offering (“IPO”). In August 2021, we completed our IPO, pursuant to which we issued and sold 20,930,000 shares of</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our common stock, including 2,730,000 shares of common stock pursuant to the full exercise of the underwriters’ option to purchase additional shares. We received aggregate net proceeds from our IPO of $327.5 million, after deducting underwriting discounts and commissions and offering expenses payable by</w:t>
      </w:r>
    </w:p>
    <w:p>
      <w:pPr>
        <w:jc w:val="both"/>
        <w:spacing w:after="0" w:line="211" w:lineRule="auto"/>
        <w:rPr>
          <w:sz w:val="20"/>
          <w:szCs w:val="20"/>
          <w:color w:val="auto"/>
        </w:rPr>
      </w:pPr>
      <w:r>
        <w:rPr>
          <w:rFonts w:ascii="Times New Roman" w:cs="Times New Roman" w:eastAsia="Times New Roman" w:hAnsi="Times New Roman"/>
          <w:sz w:val="18"/>
          <w:szCs w:val="18"/>
          <w:color w:val="auto"/>
        </w:rPr>
        <w:t>us. To date, we have not generated any revenue from any sources, including product sales or government supply contracts. We have not yet commenced significant development activities with respect to other product candidates. Our ability to generate product revenue sufficient to achieve profitability 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 heavily on the successful development and eventual commercialization of one or more of our product candidates, if approved.</w:t>
      </w:r>
    </w:p>
    <w:p>
      <w:pPr>
        <w:spacing w:after="0" w:line="84"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Since our inception, we have incurred significant losses, including a net loss of $151.7 million for the six months ended June 30, 2022. As of June 30, 2022, we had an accumulated deficit of $443.8 million. We expect to continue to incur significant expenses and recognize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Our expenses could increase substantially in connection with our ongoing activities, as we: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our ongoing clinical trials of adintrevimab, as well as initiate and complete additional clinical trials of future product candidates or current product candidates in new indications or patient populations;</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development of our other product candidates and our preclinical and discovery programs, including any modification of adintrevimab and development and screening of additional antibodies;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or EUA and reimbursement for our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discovery technologies;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our commercial-scale current good manufacturing practices (“cGMP”) manufacturing process;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material under cGMP at our contracted manufacturing facilities for clinical trials and potential EUA, regulatory approval and commercial sales;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regulatory approval or EUA;</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including research, clinical, development, manufacturing, quality control, quality assurance, regulatory and scientific personnel;</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04"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We do not anticipate generating revenue from product sales, including government supply contracts, unless and until we successfully complete clinical development and obtain marketing approvals or EUA for one or more of our product candidates. We are currently establishing our commercial infrastructure to support the anticipated marketing and distribution of our product candidates. Subject to receiving marketing approval or EUA for any of our product candidates for the prevention and/or treatment of COVID-19, we expect to enter into arrangements with third parties for the sale, marketing and distribution of our product candidates. Accordingly, if we obtain marketing approval or EUA for any of our product candidates, we will incur significant additional commercialization expenses related to product manufacturing, marketing, sales and distribution.</w:t>
      </w:r>
    </w:p>
    <w:p>
      <w:pPr>
        <w:spacing w:after="0" w:line="72"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government or private-party grants, debt financings, collaborations with other companies and strategic alliances.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72"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and emergence of adintrevimab susceptible SARS-CoV-2 VOCs, we are unable to accurately predict the timing or amount of increased expenses or when, or if, we will be able to achieve or maintain profitability. We may never obtain regulatory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Based on our current operating plan, we believe that our existing cash and cash equivalents of $474.9 million as of June 30, 2022, will be sufficient to fund our operating expenses and capital expenditure requirements into the second quarter of 2024. We have based this estimate on assumptions that may prove to be wrong, and we could exhaust our available capital resources sooner than we expect. See “Liquidity and Capital Resources.”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Operations</w:t>
      </w:r>
    </w:p>
    <w:p>
      <w:pPr>
        <w:spacing w:after="0" w:line="10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COVID-19 a global pandemic. The evolving and constantly changing impact of the pandemic will directly affect the potential commercial prospects of adintrevimab and other product candidates for the prevention and treatment of COVID-19. The severity of the COVID-19 pandemic and the continued emergence of VOCs (such as the widespread Omicron variant and its sublineages and the Delta variant), the availability, administration and acceptance of vaccines, monoclonal antibodies, antiviral agents and other therapeutic modalities, vaccine mandates by employers and/or local 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national governments,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4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our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has fallen. The global COVID-19 pandemic continues to evolve rapidly, and we will continue to monitor it closely. The ultimate extent of the impact of the COVID-19 pandemic on our business, financial condition, operations and product development timelines and plans remains highly uncertain and will depend on future developments, including the duration and spread of outbreaks and the continued emergence of variants, its impact on our clinical trial design and enrollment, trial sites, CROs, CDMOs, and other third parties with which we do business, as well as its impact on regulatory authorities and our key scientific and management personnel. To date, we have experienced some delays and disruptions in our development activities as a result of the COVID-19 pandemic. Some of our CROs, CDMOs and other service providers also continue to be impacted. We will continue to monitor developments as we address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nature of our business and primary focus of our activities generates a significant amount of research and development costs. Research and development expenses represent costs incurred by us for:</w:t>
      </w:r>
    </w:p>
    <w:p>
      <w:pPr>
        <w:spacing w:after="0" w:line="40" w:lineRule="exact"/>
        <w:rPr>
          <w:sz w:val="20"/>
          <w:szCs w:val="20"/>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and preclinical development of our product candidates, including our discovery efforts;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our product candidates from third-party manufacturers;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costs consist of:</w:t>
      </w:r>
    </w:p>
    <w:p>
      <w:pPr>
        <w:spacing w:after="0" w:line="104" w:lineRule="exact"/>
        <w:rPr>
          <w:sz w:val="20"/>
          <w:szCs w:val="20"/>
          <w:color w:val="auto"/>
        </w:rPr>
      </w:pPr>
    </w:p>
    <w:p>
      <w:pPr>
        <w:ind w:left="1140" w:hanging="504"/>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other compensation-related costs, including stock-based compensation expense,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manufactured product candidates for use in non-clinical studies, preclinical studies and clinical trials from third-party CDMOs;</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and advisors, including their fees and stock-based compensation;</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laboratory-related expenses, which include laboratory supplies, rent expense and other operating costs;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10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primary focus since inception has been the development of adintrevimab.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6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could increase substantially in the near term as we advance adintrevimab through clinical development on a global basis, if required, pursue regulatory approval of adintrevimab, advance additional antibody candidates into clinical trials, continue to discover and develop additional product candidates and incur expenses associated with hiring additional personnel to support our research and development efforts, including the associated manufacturing activities.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61" w:lineRule="exact"/>
        <w:rPr>
          <w:sz w:val="20"/>
          <w:szCs w:val="20"/>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investigational new drug applications with the FDA or comparable foreign applications that allow commencement of our planned clinical trials or future clinical trials for our product candidates;</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successfully develop, obtain regulatory approval or EUA for our product candidates;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acquire through collaborations;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nature and severity of adverse events experienced with adintrevimab or any other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from applicable regulatory authorities;</w:t>
      </w:r>
    </w:p>
    <w:p>
      <w:pPr>
        <w:spacing w:after="0" w:line="103"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good clinical practices, current good laboratory practices and cGMPs, and to comply effectively with other rules, regulations and procedures applicable to the development and sale of pharmaceutical products;</w:t>
      </w:r>
    </w:p>
    <w:p>
      <w:pPr>
        <w:spacing w:after="0" w:line="61"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 and</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particularly in light of the current COVID-19 pandemic.</w:t>
      </w:r>
    </w:p>
    <w:p>
      <w:pPr>
        <w:spacing w:after="0" w:line="54"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We may never succeed in obtaining regulatory approval or EUA for any of our product candidates. In addition, in the absence of a declaration by the U.S. Department of Health and Human Services of a federal public health emergency (a “Public Health Emergency”), we will not be able to receive an EUA. The declaration of a Public Health Emergency has recently been extended to mid-October 2022 and may or may not be renewed again.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0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consist primarily of the upfront costs we incurred in July 2020, as well as any costs of contingent milestone payments we incurred in subsequent periods, to acquire rights to Adimab’s antibodies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1" w:name="page32"/>
    <w:bookmarkEnd w:id="31"/>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relating to COVID-19 and SARS and related intellectual property and a license to certain of Adimab’s platform patents and technology, or the IPR&amp;D assets, for use in the research and development of our product candidates. We expensed the cost of the IPR&amp;D assets because they had no alternative future use as of the acquisition date. We will recognize additional acquired IPR&amp;D expenses in the future if and when it is deemed probable that we will make contingent milestone payments to Adimab under the terms of the agreement by which we acquired the IPR&amp;D assets.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8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selling, general and administrative expenses could increase in the future as our business expands and we increase our headcount to support the expected growth in our research and development activities and the potential commercialization of our product candidates. In particular, we could incur additional commercialization expenses prior to any regulatory approval or EUA of our product candidates as we continue to expand our commercial function to support potential future product launches. We also anticipate that we will continue to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June 2022, we entered into a two year noncancelable agreement for laboratory and office space in Newton, MA for research and development purposes. Through June 30, 2022, we have operated as a virtual company and maintained a corporate headquarters for general and administrative purposes only. Therefore, we did not incur material operating expenses for the rent, maintenance and insurance of facilities, or for depreciation of fixed assets.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of interest income earned from our cash, cash equivalents and marketable securities and the net amortization or accretion of premiums and discounts related to our marketable securities. We expect our interest income to vary each reporting period depending on our average bank deposits, money market funds and investment balances during the period and market interest rates.</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(“NOL”) carryforwards and tax credit carryforwards will not be realized.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2022 and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5"/>
                <w:szCs w:val="15"/>
                <w:color w:val="auto"/>
              </w:rPr>
            </w:pPr>
          </w:p>
        </w:tc>
        <w:tc>
          <w:tcPr>
            <w:tcW w:w="13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26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2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(2,500 )</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51,749</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44,691</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(51,749 )</w:t>
            </w:r>
          </w:p>
        </w:tc>
        <w:tc>
          <w:tcPr>
            <w:tcW w:w="2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(44,691 )</w:t>
            </w: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(7,058 )</w:t>
            </w: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32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(50,990 )</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(44,673 )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(6,317 )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4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5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5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-1224915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-1224915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-650875</wp:posOffset>
            </wp:positionV>
            <wp:extent cx="774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-650875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2" w:name="page33"/>
    <w:bookmarkEnd w:id="32"/>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2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Adintrevimab</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23,213</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28,031</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(4,818 )</w:t>
            </w: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Personnel-related costs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18"/>
                <w:szCs w:val="18"/>
                <w:color w:val="auto"/>
              </w:rPr>
            </w:pPr>
          </w:p>
        </w:tc>
      </w:tr>
      <w:tr>
        <w:trPr>
          <w:trHeight w:val="216"/>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26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$37.1 million for the three months ended June 30, 2022, compared to $35.1 million for the three months ended June 30, 2021. The $2.0 million increase in research and development expenses was primarily due to the following:</w:t>
      </w:r>
    </w:p>
    <w:p>
      <w:pPr>
        <w:spacing w:after="0" w:line="54" w:lineRule="exact"/>
        <w:rPr>
          <w:sz w:val="20"/>
          <w:szCs w:val="20"/>
          <w:color w:val="auto"/>
        </w:rPr>
      </w:pPr>
    </w:p>
    <w:p>
      <w:pPr>
        <w:jc w:val="both"/>
        <w:ind w:left="1020" w:hanging="503"/>
        <w:spacing w:after="0" w:line="24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direct costs related to our adintrevimab program of $4.8 million was primarily due to a decrease in our contract manufacturing and contract research expenses of $5.1 million related to the production of materials for use in our clinical trials and nonclinical studies for the adintrevimab program, as well as supply for use under a potential EUA for adintrevimab, procured from WuXi, our sole-source supplier of drug substance and drug product, and a decrease in other external research and development costs of $0.3 million. This was offset by an increase in our clinical trial expenses of $0.6 million related to ongoing monitoring activities for our clinical trials for the adintrevimab program, partially offset by lower costs due to a continued pause in trial enrollment during the three months ended June 30, 2022.</w:t>
      </w:r>
    </w:p>
    <w:p>
      <w:pPr>
        <w:spacing w:after="0" w:line="73"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bonuses, benefits and other compensation-related costs were $5.8 million and stock-based compensation expense was $3.4 million for the three months ended June 30, 2022, compared to personnel-related costs of $4.1 million and stock-based compensation expense of $1.2 million for the three months ended June 30, 2021. The increase in personnel-related costs of $3.9 million was primarily due to the hiring of additional individuals to support the development of our product candidates, including an increase in stock-based compensation expense of $2.2 million.</w:t>
      </w:r>
    </w:p>
    <w:p>
      <w:pPr>
        <w:spacing w:after="0" w:line="69"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external discovery-related and other costs of $3.0 million was primarily due to the $1.3 million quarterly fee under the Adimab Collaboration Agreement, $0.8 million with respect to services performed and other fees under the Adimab Assignment Agreement and the Adimab Collaboration Agreement, and $0.9 million in other external costs, including consulting services, insurance costs and software expenditures. We did not pay a quarterly fee to Adimab under the Adimab Collaboration Agreement during the three months ended June 30, 2021.</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IPR&amp;D expense recognized during the three months ended June 30, 2022.</w:t>
      </w:r>
    </w:p>
    <w:p>
      <w:pPr>
        <w:spacing w:after="0" w:line="10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Acquired IPR&amp;D expenses of $2.5 million for the three months ended June 30, 2021 consisted of the cost we incurred in the period under the Adimab Assignment Agreement for a milestone payment that became due to Adimab in April 2021 upon the dosing of the first patient in a Phase 2 clinical trial evaluating adintrevimab for the prevention of COVID-19. The amount of this contingent payment was recognized as an IPR&amp;D expense based on the nature of the associated assets acquired from Adimab on the date the milestone achievement became probable.</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6660" w:type="dxa"/>
            <w:vAlign w:val="bottom"/>
          </w:tcPr>
          <w:p>
            <w:pPr>
              <w:spacing w:after="0"/>
              <w:rPr>
                <w:sz w:val="13"/>
                <w:szCs w:val="13"/>
                <w:color w:val="auto"/>
              </w:rPr>
            </w:pPr>
          </w:p>
        </w:tc>
        <w:tc>
          <w:tcPr>
            <w:tcW w:w="13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79"/>
              <w:spacing w:after="0" w:line="160" w:lineRule="exact"/>
              <w:rPr>
                <w:sz w:val="20"/>
                <w:szCs w:val="20"/>
                <w:color w:val="auto"/>
              </w:rPr>
            </w:pPr>
            <w:r>
              <w:rPr>
                <w:rFonts w:ascii="Times New Roman" w:cs="Times New Roman" w:eastAsia="Times New Roman" w:hAnsi="Times New Roman"/>
                <w:sz w:val="14"/>
                <w:szCs w:val="14"/>
                <w:b w:val="1"/>
                <w:bCs w:val="1"/>
                <w:color w:val="auto"/>
              </w:rPr>
              <w:t>Ended</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8"/>
        </w:trPr>
        <w:tc>
          <w:tcPr>
            <w:tcW w:w="6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10"/>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costs</w:t>
            </w:r>
          </w:p>
        </w:tc>
        <w:tc>
          <w:tcPr>
            <w:tcW w:w="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00" w:type="dxa"/>
            <w:vAlign w:val="bottom"/>
          </w:tcPr>
          <w:p>
            <w:pPr>
              <w:spacing w:after="0"/>
              <w:rPr>
                <w:sz w:val="18"/>
                <w:szCs w:val="18"/>
                <w:color w:val="auto"/>
              </w:rPr>
            </w:pPr>
          </w:p>
        </w:tc>
      </w:tr>
      <w:tr>
        <w:trPr>
          <w:trHeight w:val="216"/>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10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$14.6 million for the three months ended June 30, 2022, compared to $7.1 million for the three months ended June 30, 2021. The $7.5 million increase in selling, general and administrative expenses was primarily due to the following:</w:t>
      </w:r>
    </w:p>
    <w:p>
      <w:pPr>
        <w:spacing w:after="0" w:line="68" w:lineRule="exact"/>
        <w:rPr>
          <w:sz w:val="20"/>
          <w:szCs w:val="20"/>
          <w:color w:val="auto"/>
        </w:rPr>
      </w:pPr>
    </w:p>
    <w:p>
      <w:pPr>
        <w:ind w:left="1020" w:hanging="503"/>
        <w:spacing w:after="0" w:line="266"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bonuses, benefits and other compensation-related costs were $2.8 million and stock-based compensation expense was $3.0 million for the three months ended June 30, 2022, compared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3" w:name="page34"/>
    <w:bookmarkEnd w:id="33"/>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personnel-related costs of $1.9 million and stock-based compensation expense of $2.2 million for the three months ended June 30, 2021. The increase in personnel-related costs of $1.7 million was primarily due to the hiring of additional individuals to support our operations as we began operating as a public company, including an increase in stock-based compensation expense of $0.8 million.</w:t>
      </w:r>
    </w:p>
    <w:p>
      <w:pPr>
        <w:spacing w:after="0" w:line="61" w:lineRule="exact"/>
        <w:rPr>
          <w:sz w:val="20"/>
          <w:szCs w:val="20"/>
          <w:color w:val="auto"/>
        </w:rPr>
      </w:pPr>
    </w:p>
    <w:p>
      <w:pPr>
        <w:ind w:left="10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professional services and consultant fees of $5.3 million was primarily due to costs incurred as we began operating as a public company, including expenses related to corporate governance matters, director and officer insurance premiums, audit and other fees.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remained relatively consistent between periods.</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was $0.8 million and less than $0.1 million for the three months ended June 30, 2022 and 2021, respectively, consisting primarily of interest earned on invested cash balances.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2022 and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18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60" w:type="dxa"/>
            <w:vAlign w:val="bottom"/>
          </w:tcPr>
          <w:p>
            <w:pPr>
              <w:spacing w:after="0"/>
              <w:rPr>
                <w:sz w:val="12"/>
                <w:szCs w:val="12"/>
                <w:color w:val="auto"/>
              </w:rPr>
            </w:pPr>
          </w:p>
        </w:tc>
        <w:tc>
          <w:tcPr>
            <w:tcW w:w="118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2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30,</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69,204</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shd w:val="clear" w:color="auto" w:fill="CFF0FC"/>
          </w:tcPr>
          <w:p>
            <w:pPr>
              <w:spacing w:after="0"/>
              <w:rPr>
                <w:sz w:val="18"/>
                <w:szCs w:val="18"/>
                <w:color w:val="auto"/>
              </w:rPr>
            </w:pPr>
          </w:p>
        </w:tc>
        <w:tc>
          <w:tcPr>
            <w:tcW w:w="10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(3,500 )</w:t>
            </w: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152,488</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83,399</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(152,488 )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(83,399 )</w:t>
            </w: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(69,089 )</w:t>
            </w: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8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(151,656 )</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(83,373 )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(68,283 )</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3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73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360" w:type="dxa"/>
            <w:vAlign w:val="bottom"/>
          </w:tcPr>
          <w:p>
            <w:pPr>
              <w:spacing w:after="0"/>
              <w:rPr>
                <w:sz w:val="20"/>
                <w:szCs w:val="20"/>
                <w:color w:val="auto"/>
              </w:rPr>
            </w:pP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0" w:type="dxa"/>
            <w:vAlign w:val="bottom"/>
          </w:tcPr>
          <w:p>
            <w:pPr>
              <w:spacing w:after="0"/>
              <w:rPr>
                <w:sz w:val="20"/>
                <w:szCs w:val="20"/>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7360" w:type="dxa"/>
            <w:vAlign w:val="bottom"/>
          </w:tcPr>
          <w:p>
            <w:pPr>
              <w:spacing w:after="0"/>
              <w:rPr>
                <w:sz w:val="12"/>
                <w:szCs w:val="12"/>
                <w:color w:val="auto"/>
              </w:rPr>
            </w:pPr>
          </w:p>
        </w:tc>
        <w:tc>
          <w:tcPr>
            <w:tcW w:w="118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20" w:type="dxa"/>
            <w:vAlign w:val="bottom"/>
          </w:tcPr>
          <w:p>
            <w:pPr>
              <w:spacing w:after="0"/>
              <w:rPr>
                <w:sz w:val="12"/>
                <w:szCs w:val="12"/>
                <w:color w:val="auto"/>
              </w:rPr>
            </w:pPr>
          </w:p>
        </w:tc>
        <w:tc>
          <w:tcPr>
            <w:tcW w:w="11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30,</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72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8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Adintrevimab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100,796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58,683</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Personnel-related costs</w:t>
            </w: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External discovery-related and other costs</w:t>
            </w: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9,659</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129,164</w:t>
            </w:r>
          </w:p>
        </w:tc>
        <w:tc>
          <w:tcPr>
            <w:tcW w:w="240" w:type="dxa"/>
            <w:vAlign w:val="bottom"/>
          </w:tcPr>
          <w:p>
            <w:pPr>
              <w:spacing w:after="0"/>
              <w:rPr>
                <w:sz w:val="18"/>
                <w:szCs w:val="18"/>
                <w:color w:val="auto"/>
              </w:rPr>
            </w:pPr>
          </w:p>
        </w:tc>
        <w:tc>
          <w:tcPr>
            <w:tcW w:w="2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69,204</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-2476500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-2476500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-1902460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-1902460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$129.2 million for the six months ended June 30, 2022, compared to $69.2 million for the six months ended June 30, 2021. The $60.0 million increase in research and development expenses was primarily due to the following:</w:t>
      </w:r>
    </w:p>
    <w:p>
      <w:pPr>
        <w:spacing w:after="0" w:line="40" w:lineRule="exact"/>
        <w:rPr>
          <w:sz w:val="20"/>
          <w:szCs w:val="20"/>
          <w:color w:val="auto"/>
        </w:rPr>
      </w:pPr>
    </w:p>
    <w:p>
      <w:pPr>
        <w:jc w:val="both"/>
        <w:ind w:left="1020" w:hanging="503"/>
        <w:spacing w:after="0" w:line="247"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direct costs related to our adintrevimab program of $42.1 million was primarily due to overall increases in our contract manufacturing and contract research expenses of $28.5 million related to the production of materials for use in our clinical trials and nonclinical studies for the adintrevimab program, as well as supply for use under a potential EUA for adintrevimab, procured from WuXi, our sole-source supplier of drug substance and drug product, and clinical trial expenses of $14.4 million related to ongoing activities for our clinical trials for the adintrevimab program, partially offset by lower costs due to a pause in trial enrollment during the six months ended June 30, 2022. These overall increases were offset by a decrease in other external research and development costs of $0.8 million.</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bonuses, benefits and other compensation-related costs were $12.2 million and stock-based compensation expense was $6.5 million for the six months ended June 30, 2022, compared to personnel-related costs of $6.2 million and stock-based compensation expense of $1.4 million for the six months ended June 30, 2021.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4" w:name="page35"/>
    <w:bookmarkEnd w:id="34"/>
    <w:p>
      <w:pPr>
        <w:ind w:left="1020"/>
        <w:spacing w:after="0" w:line="282" w:lineRule="auto"/>
        <w:rPr>
          <w:sz w:val="20"/>
          <w:szCs w:val="20"/>
          <w:color w:val="auto"/>
        </w:rPr>
      </w:pPr>
      <w:r>
        <w:rPr>
          <w:rFonts w:ascii="Times New Roman" w:cs="Times New Roman" w:eastAsia="Times New Roman" w:hAnsi="Times New Roman"/>
          <w:sz w:val="18"/>
          <w:szCs w:val="18"/>
          <w:color w:val="auto"/>
        </w:rPr>
        <w:t>increase in personnel-related costs of $11.1 million was primarily due to the hiring of additional individuals to support the development of our product candidates, including an increase in stock-based compensation expense of $5.1 million.</w:t>
      </w:r>
    </w:p>
    <w:p>
      <w:pPr>
        <w:spacing w:after="0" w:line="40" w:lineRule="exact"/>
        <w:rPr>
          <w:sz w:val="20"/>
          <w:szCs w:val="20"/>
          <w:color w:val="auto"/>
        </w:rPr>
      </w:pPr>
    </w:p>
    <w:p>
      <w:pPr>
        <w:jc w:val="both"/>
        <w:ind w:left="1020" w:hanging="503"/>
        <w:spacing w:after="0" w:line="247"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external discovery-related and other costs of $6.7 million was primarily due to the $2.6 million quarterly fee under the Adimab Collaboration Agreement, $1.4 million with respect to services performed and other fees under the Adimab Assignment Agreement and the Adimab Collaboration Agreement, $0.6 million related to services performed under the Research Collaboration and License Agreement with TSRI, and $2.1 million in other external costs, including professional and consulting services, insurance costs and software expenditures. We did not pay a quarterly fee to Adimab under the Adimab Collaboration Agreement during the six months ended June 30, 2021.</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IPR&amp;D expense recognized during the six months ended June 30, 2022.</w:t>
      </w:r>
    </w:p>
    <w:p>
      <w:pPr>
        <w:spacing w:after="0" w:line="104"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Acquired IPR&amp;D expenses of $3.5 million for the six months ended June 30, 2021 consisted of the costs we incurred in the period under the Adimab Assignment Agreement for a $1.0 million milestone payment that became due to Adimab in February 2021 upon the dosing of the first patient in a Phase 1 clinical trial evaluating adintrevimab for the prevention of COVID-19 and a $2.5 million milestone payment that became due to Adimab in April 2021 upon the dosing of the first patient in the first Phase 2 clinical trial evaluating adintrevimab for the prevention of COVID-19. The amounts of these contingent payments were recognized as an IPR&amp;D expense based on the nature of the associated assets acquired from Adimab on the date the milestone achievement became probable.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8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80" w:type="dxa"/>
            <w:vAlign w:val="bottom"/>
          </w:tcPr>
          <w:p>
            <w:pPr>
              <w:spacing w:after="0"/>
              <w:rPr>
                <w:sz w:val="13"/>
                <w:szCs w:val="13"/>
                <w:color w:val="auto"/>
              </w:rPr>
            </w:pPr>
          </w:p>
        </w:tc>
        <w:tc>
          <w:tcPr>
            <w:tcW w:w="92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73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280" w:type="dxa"/>
            <w:vAlign w:val="bottom"/>
          </w:tcPr>
          <w:p>
            <w:pPr>
              <w:spacing w:after="0"/>
              <w:rPr>
                <w:sz w:val="12"/>
                <w:szCs w:val="12"/>
                <w:color w:val="auto"/>
              </w:rPr>
            </w:pPr>
          </w:p>
        </w:tc>
        <w:tc>
          <w:tcPr>
            <w:tcW w:w="920" w:type="dxa"/>
            <w:vAlign w:val="bottom"/>
            <w:gridSpan w:val="2"/>
          </w:tcPr>
          <w:p>
            <w:pPr>
              <w:jc w:val="right"/>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Ended June</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7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30,</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30,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r>
      <w:tr>
        <w:trPr>
          <w:trHeight w:val="209"/>
        </w:trPr>
        <w:tc>
          <w:tcPr>
            <w:tcW w:w="7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Personnel-related costs</w:t>
            </w: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23,324</w:t>
            </w: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100" w:type="dxa"/>
            <w:vAlign w:val="bottom"/>
          </w:tcPr>
          <w:p>
            <w:pPr>
              <w:spacing w:after="0"/>
              <w:rPr>
                <w:sz w:val="18"/>
                <w:szCs w:val="18"/>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-170815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$23.3 million for the six months ended June 30, 2022, compared to $10.7 million for the six months ended June 30, 2021. The $12.6 million increase in selling, general and administrative expenses was primarily due to the following:</w:t>
      </w:r>
    </w:p>
    <w:p>
      <w:pPr>
        <w:spacing w:after="0" w:line="68" w:lineRule="exact"/>
        <w:rPr>
          <w:sz w:val="20"/>
          <w:szCs w:val="20"/>
          <w:color w:val="auto"/>
        </w:rPr>
      </w:pPr>
    </w:p>
    <w:p>
      <w:pPr>
        <w:jc w:val="both"/>
        <w:ind w:left="1020" w:hanging="503"/>
        <w:spacing w:after="0" w:line="244"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bonuses, benefits and other compensation-related costs were $5.6 million and stock-based compensation expense was $1.8 million for the six months ended June 30, 2022, compared to personnel-related costs of $3.0 million and stock-based compensation expense of $2.5 million for the six months ended June 30, 2021. The increase in personnel-related costs of $1.9 million was primarily due to the hiring of additional individuals to support our operations as we began operating as a public company, partially offset by the reversal of stock-based compensation expense related to the forfeiture of stock options in conjunction with the resignation of our former Chief Executive Officer and President.</w:t>
      </w:r>
    </w:p>
    <w:p>
      <w:pPr>
        <w:spacing w:after="0" w:line="7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professional services and consultant fees of $10.0 million was primarily due to costs incurred as we began operating as a public company, including expenses related to corporate governance matters, director and officer insurance premiums, audit and other fees.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remained relatively consistent between periods.</w:t>
      </w:r>
    </w:p>
    <w:p>
      <w:pPr>
        <w:spacing w:after="0" w:line="1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Other income (expense), net was $0.8 million and less than $0.1 million for the six months ended June 30, 2022 and 2021, respectively, consisting primarily of interest earned on invested cash balances.</w:t>
      </w:r>
    </w:p>
    <w:p>
      <w:pPr>
        <w:spacing w:after="0" w:line="50"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0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Since our inception in June 2020, we have not generated any revenue from any sources, including from product sales or government supply contracts, and have incurred significant operating losses and negative cash flows from operations. We expect to incur substantial expenses and operating losses for the foreseeable future as we advance the clinical development of our product candidates. To date, we have financed our operations with net proceeds of $464.7 million from sales of our preferred stock, and most recently, with net proceeds from our IPO in August 2021, in which we issued and sold 20,930,000 shares of our common stock, including 2,730,000 shares of common stock pursuant to the full exercise of the underwriters’ option to purchase additional shares. We received aggregate net proceeds from our IPO of $327.5 million, after deducting underwriting discounts and commissions and offering expenses payable by us.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color w:val="auto"/>
        </w:rPr>
        <w:t>As of June 30, 2022, we had cash and cash equivalents of $474.9 million.</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75"/>
        </w:trPr>
        <w:tc>
          <w:tcPr>
            <w:tcW w:w="7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tcPr>
          <w:p>
            <w:pPr>
              <w:spacing w:after="0"/>
              <w:rPr>
                <w:sz w:val="15"/>
                <w:szCs w:val="15"/>
                <w:color w:val="auto"/>
              </w:rPr>
            </w:pPr>
          </w:p>
        </w:tc>
      </w:tr>
      <w:tr>
        <w:trPr>
          <w:trHeight w:val="187"/>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(116,441</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48,983</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(67,339 )</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277,521</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06"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During the six months ended June 30, 2022, operating activities used $116.4 million of cash, primarily due to our net loss of $151.7 million, partially offset by non-cash charges of $8.8 million. Net cash provided by changes in our operating assets and liabilities consisted of a $8.4 million increase in accounts payable, partially offset by a $18.8 million decrease in prepaid expenses and other current assets, a $3.7 million decrease in accrued expenses, and a $3.0 million decrease in other non-current assets. The increase in accounts payable and decrease in accrued expenses was primarily due to the timing of vendor invoicing and payments. The decrease in prepaids expenses and other current assets and in other non-current assets was primarily due to our utilization of WuXi manufacturing deposits.</w:t>
      </w:r>
    </w:p>
    <w:p>
      <w:pPr>
        <w:spacing w:after="0" w:line="8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During the six months ended June 30, 2021, operating activities used $57.3 million of cash, primarily resulting from our net loss of $83.4 million, partially offset by non-cash charges of $4.0 million. Net cash provided by changes in our operating assets and liabilities for the six months ended June 30, 2021 consisted primarily of a $21.1 million increase in accrued expenses and a $2.2 million increase in accounts payable, both partially offset by a $1.1 million increase in prepaid expenses and other current assets. The increases in accounts payable and accrued expenses were primarily due to amounts owed to vendors in connection with our research and development activities, including increased external costs associated with clinical trials and manufacturing, as well as increases in accrued employee bonuses. The increase in prepaid expenses and other current assets was primarily due to prepayments for external research and development activities.</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0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six months ended June 30, 2022 primarily consisted of $49.0 million in maturities of marketable securities.</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no cash used in or provided by investing activities for the six months ended June 30, 2021.</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2022 primarily consisted of $0.1 million from exercises of stock options.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six months ended June 30, 2021 primarily consisted of $335.3 million in net proceeds from the issuance of our Series C preferred stock in April 2021.</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expenses could increase in connection with our ongoing activities, particularly as we advance the non-clinical and preclinical studies and the current and future clinical trials of our product candidates, including any associated manufacturing activities, and potential commercialization efforts. Our funding requirements and timing and amount of our operating expenditures will depend on many factors, including:</w:t>
      </w:r>
    </w:p>
    <w:p>
      <w:pPr>
        <w:spacing w:after="0" w:line="61" w:lineRule="exact"/>
        <w:rPr>
          <w:sz w:val="20"/>
          <w:szCs w:val="20"/>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adintrevimab and our other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adintrevimab and future product candidates and associated development programs;</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pipeline;</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adintrevimab and with the development and manufacturing of our future product candidates and other programs as we advance them through preclinical and clinical development;</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capacity for clinical and commercial supply of our potential future product candidates, or the raw material components thereof;</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40"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4"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 ability to hire additional research, clinical, development, scientific and manufacturing personnel;</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90" w:lineRule="exact"/>
        <w:rPr>
          <w:rFonts w:ascii="Times New Roman" w:cs="Times New Roman" w:eastAsia="Times New Roman" w:hAnsi="Times New Roman"/>
          <w:sz w:val="18"/>
          <w:szCs w:val="18"/>
          <w:color w:val="auto"/>
        </w:rPr>
      </w:pPr>
    </w:p>
    <w:p>
      <w:pPr>
        <w:jc w:val="both"/>
        <w:ind w:left="1140" w:right="20" w:hanging="504"/>
        <w:spacing w:after="0" w:line="231"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64" w:lineRule="exact"/>
        <w:rPr>
          <w:sz w:val="20"/>
          <w:szCs w:val="20"/>
          <w:color w:val="auto"/>
        </w:rPr>
      </w:pPr>
    </w:p>
    <w:p>
      <w:pPr>
        <w:jc w:val="both"/>
        <w:ind w:right="20" w:firstLine="509"/>
        <w:spacing w:after="0" w:line="236" w:lineRule="auto"/>
        <w:rPr>
          <w:sz w:val="20"/>
          <w:szCs w:val="20"/>
          <w:color w:val="auto"/>
        </w:rPr>
      </w:pPr>
      <w:r>
        <w:rPr>
          <w:rFonts w:ascii="Times New Roman" w:cs="Times New Roman" w:eastAsia="Times New Roman" w:hAnsi="Times New Roman"/>
          <w:sz w:val="18"/>
          <w:szCs w:val="18"/>
          <w:color w:val="auto"/>
        </w:rPr>
        <w:t>As of August 15, 2022, we believe that our existing cash and cash equivalents will enable us to fund our operating expenses and capital expenditure requirements into the second quarter of 2024. We have based this estimate on assumptions that may prove to be wrong, and we could exhaust our available capital resources sooner than we expect.</w:t>
      </w:r>
    </w:p>
    <w:p>
      <w:pPr>
        <w:spacing w:after="0" w:line="64"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government or private-party grants, debt financings, collaborations, strategic alliances and licensing arrangements. To the extent that we raise</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w:t>
      </w:r>
    </w:p>
    <w:p>
      <w:pPr>
        <w:jc w:val="both"/>
        <w:spacing w:after="0" w:line="211" w:lineRule="auto"/>
        <w:rPr>
          <w:sz w:val="20"/>
          <w:szCs w:val="20"/>
          <w:color w:val="auto"/>
        </w:rPr>
      </w:pPr>
      <w:r>
        <w:rPr>
          <w:rFonts w:ascii="Times New Roman" w:cs="Times New Roman" w:eastAsia="Times New Roman" w:hAnsi="Times New Roman"/>
          <w:sz w:val="18"/>
          <w:szCs w:val="18"/>
          <w:color w:val="auto"/>
        </w:rPr>
        <w:t>and preferred equity financing, if available, may involve agreements that include covenants limiting or restricting our ability to take specific actions, such as incurring debt, making acquisitions or capital expenditures or declaring dividends, which could adversely constrain our ability to conduct our business,</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w:t>
      </w:r>
    </w:p>
    <w:p>
      <w:pPr>
        <w:jc w:val="both"/>
        <w:spacing w:after="0" w:line="211" w:lineRule="auto"/>
        <w:rPr>
          <w:sz w:val="20"/>
          <w:szCs w:val="20"/>
          <w:color w:val="auto"/>
        </w:rPr>
      </w:pPr>
      <w:r>
        <w:rPr>
          <w:rFonts w:ascii="Times New Roman" w:cs="Times New Roman" w:eastAsia="Times New Roman" w:hAnsi="Times New Roman"/>
          <w:sz w:val="18"/>
          <w:szCs w:val="18"/>
          <w:color w:val="auto"/>
        </w:rPr>
        <w:t>equity or debt financings or through other sources, when needed, we may be required to delay, limit, reduce or terminate our product development programs or any future commercialization efforts or grant rights to develop and market product candidates to third parties that we would otherwise prefer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 and market ourselves.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June 30, 2022, there were material changes to our contractual obligations from those described in the 2021 Form 10-</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K. In April 2022, the total volume of contractually binding drug substance and drug product batches to be manufactured under the Commercial Manufacturing Agreement was reduced to $51.6 million, a decrease of $107.8 million from the previous commitment of minimum non-cancelable purchase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obligations of $159.4 million. In addition, the Company received a credit in the low eight-figures to offset future services rendered by WuXi. In June 2022, we entered into a two year noncancelable agreement for dedicated laboratory and office space in Newton, Massachusetts. The monthly rental payments</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under the agreement include base rent charges of $0.7 million per year. For additional information, see Note 8 to our condensed consolidated financial statements appearing in this Quarterly Report on Form 10-Q.</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94" w:lineRule="exact"/>
        <w:rPr>
          <w:sz w:val="20"/>
          <w:szCs w:val="20"/>
          <w:color w:val="auto"/>
        </w:rPr>
      </w:pPr>
    </w:p>
    <w:p>
      <w:pPr>
        <w:jc w:val="both"/>
        <w:ind w:right="20" w:firstLine="509"/>
        <w:spacing w:after="0" w:line="230"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revenue, costs and expenses, and related disclosures. Our critical accounting policies and estimates are described under the heading “Management’s Discussion and Analysis of Financial Condition and Results of Operations—Critical Accounting Policies and Significant Judgments and Estimates” in our</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2021 Form 10-K. If actual results or events differ materially from the estimates, judgments and assumptions used by us in applying these policies, our reported financial condition and results of operations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7" w:name="page38"/>
    <w:bookmarkEnd w:id="37"/>
    <w:p>
      <w:pPr>
        <w:jc w:val="both"/>
        <w:spacing w:after="0" w:line="250" w:lineRule="auto"/>
        <w:rPr>
          <w:sz w:val="20"/>
          <w:szCs w:val="20"/>
          <w:color w:val="auto"/>
        </w:rPr>
      </w:pPr>
      <w:r>
        <w:rPr>
          <w:rFonts w:ascii="Times New Roman" w:cs="Times New Roman" w:eastAsia="Times New Roman" w:hAnsi="Times New Roman"/>
          <w:sz w:val="18"/>
          <w:szCs w:val="18"/>
          <w:color w:val="auto"/>
        </w:rPr>
        <w:t>could be materially affected. There have been no significant changes to our critical accounting policies and estimates from those described in the 2021 Form 10-K, except as disclosed in Note 2 to our condensed consolidated financial statements appearing elsewhere in this Quarterly Report on Form 10-Q.</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jc w:val="both"/>
        <w:ind w:firstLine="509"/>
        <w:spacing w:after="0" w:line="237"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and cash flows is disclosed in Note 2 to our condensed consolidated financial statements appearing elsewhere in this Quarterly Report on Form 10-Q.</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94"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financial officer, respectively), evaluated the effectiveness of our disclosure controls and procedures as of June 30, 2022.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2022, our Chief Executive Officer and Chief Financial Officer concluded that, as of such date, the Company's disclosure controls and procedures were effective at the reasonable assurance level.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period covered by this Quarterly Report on Form 10-Q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not currently party to any material legal proceedings. From time to time, we may become involved in litigation or legal proceedings relating to claims arising from the ordinary course of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6"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i w:val="1"/>
          <w:iCs w:val="1"/>
          <w:color w:val="auto"/>
        </w:rPr>
        <w:t>The following information sets forth risk factors that could cause our actual results to differ materially from those contained in forward-looking statements we have made in this Quarterly Report on Form 10-Q and those we may make from time to time. You should carefully consider the risks described below, in addition to the other information contained in this Quarterly Report on Form 10-Q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0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Since our inception, we have incurred significant losses, and we expect to continue to incur significant expenses and operating losses for the foreseeable future. Our net losses were $51.0 million and $151.7 million, respectively, for the three and six months ended June 30, 2022 and $226.8 million for the year ended December 31, 2021. As of June 30, 2022, we had an accumulated deficit of $443.8 million. Since our inception, we have financed our operations with net proceeds of $464.7 million raised in our private placements of preferred stock, including the sale of our Series C preferred stock in April 2021, and approximately $327.5 million of net proceeds (after deducting underwriting discounts and offering expenses) from our IPO in August 2021. We have no products approved for commercialization and have never generated any revenue from product sales.</w:t>
      </w:r>
    </w:p>
    <w:p>
      <w:pPr>
        <w:spacing w:after="0" w:line="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All of our product candidates are still in clinical and preclinical testing. We expect to continue to incur significant expenses and operating losses over the next several years. Our net losses may fluctuate significantly from quarter to quarter and year to year. Our expenses could increase substantially as we:</w:t>
      </w:r>
    </w:p>
    <w:p>
      <w:pPr>
        <w:spacing w:after="0" w:line="82" w:lineRule="exact"/>
        <w:rPr>
          <w:sz w:val="20"/>
          <w:szCs w:val="20"/>
          <w:color w:val="auto"/>
        </w:rPr>
      </w:pPr>
    </w:p>
    <w:p>
      <w:pPr>
        <w:ind w:left="1140" w:hanging="504"/>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our ongoing clinical trials of adintrevimab, as well as initiate and complete additional clinical trials of future product candidates or current product candidates in new indications or patient populations;</w:t>
      </w:r>
    </w:p>
    <w:p>
      <w:pPr>
        <w:spacing w:after="0" w:line="54"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development of our other product candidates and our preclinical and discovery programs, including any modification of adintrevimab and development and screening of additional antibodies;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marketing approvals or Emergency Use Authorization (“EUA”) and reimbursement for our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our commercial-scale current good manufacturing practices (“cGMP”) manufacturing process;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material under cGMP at our contracted manufacturing facilities for clinical trials and potential EUA, regulatory approval and commercial sales;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 candidates for which we may obtain regulatory approval or EUA;</w:t>
      </w:r>
    </w:p>
    <w:p>
      <w:pPr>
        <w:spacing w:after="0" w:line="40"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additional personnel, including research, clinical, development, manufacturing quality control, quality assurance, regulatory and scientific personnel;</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0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validating manufacturing processes, obtaining regulatory approval or EUA, and manufacturing, distributing, marketing, and selling any product candidates for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which we may obtain regulatory approval or EUA, as well as discovering and developing additional product candidates. All of our product candidates are in clinical or preclinical development. We may never succeed in these activities and, even if we do, may never generate any revenue or revenue that is significant enough to achieve profitability.</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8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82"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50"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commenced operations in June 2020, and our operations to date have been largely focused on organizing and staffing our company, business planning, raising capital, acquiring our technology and product candidates, and developing and manufacturing our clinical and preclinical product candidates, including undertaking preclinical studies, developing and validating our manufacturing process, and conducting clinical trials. To date, we have not yet demonstrated our ability to successfully complete pivotal clinical trials, obtain regulatory approvals or an EUA, or conduct sales and marketing activities necessary for successful commercialization, and we may not be successful in doing so. Additionally, if we submit a request for an EUA or submit an application for regulatory approval, for adintrevimab or any product candidate, we may not be successful in receiving such EUA or regulatory approval. Consequently, any predictions you make about our future success or viability may not be as accurate as they could be if we had a longer operating history or a history of successfully developing and commercializing products.</w:t>
      </w:r>
    </w:p>
    <w:p>
      <w:pPr>
        <w:spacing w:after="0" w:line="7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57"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6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we expect to continue to incur significant expenses and operating losses over the next several years as we continue to develop our product candidate pipeline and build out our manufacturing capabilities for our product candidates, which, if approved, may not achieve commercial success. Our revenue, if any, will be derived from sales of products that may not be commercially available for a number of years, if at all. If we obtain marketing approval or an EUA for any product candidate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 Accordingly, we will need to obtain substantial additional funding in order to continue our operations.</w:t>
      </w:r>
    </w:p>
    <w:p>
      <w:pPr>
        <w:spacing w:after="0" w:line="7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As of June 30, 2022, we had cash and cash equivalents of $474.9 million. As of August 15, 2022, we believe that our existing cash and cash equivalents, will be sufficient to fund our operating expenses and capital expenditure requirements into the second quarter of 2024. This estimate is based on assumptions that may prove to be wrong, and we could exhaust our available capital resources sooner than we expect. We plan to use our cash and cash equivalents to fund clinical development, manufacturing supply and initial commercialization costs for adintrevimab, to fund clinical development and manufacturing supply costs of our next generation of antibody candidates to treat and prevent COVID-19, and for working capital and other general corporate purposes, including development of additional programs in our pipeline. Our existing cash and cash equivalents may not be sufficient to fund any of our product candidates through regulatory approval or EUA. Changes may occur beyond our control that would cause us to consume our available capital before that time, including changes in and progress of our development activities, acquisitions of additional product candidates and changes in regulation. The timing and amount of our funding requirements will depend on many factors, including:</w:t>
      </w:r>
    </w:p>
    <w:p>
      <w:pPr>
        <w:spacing w:after="0" w:line="93" w:lineRule="exact"/>
        <w:rPr>
          <w:sz w:val="20"/>
          <w:szCs w:val="20"/>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adintrevimab and our other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adintrevimab and future product candidates and associated development programs;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pipeline;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1" w:name="page42"/>
    <w:bookmarkEnd w:id="41"/>
    <w:p>
      <w:pPr>
        <w:ind w:left="1140" w:hanging="504"/>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adintrevimab and with the development and manufacturing of our future product candidates and other programs as we advance them through preclinical and clinical development;</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capacity for clinical and commercial supply of our potential future product candidates, or the raw material components thereof;</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40"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67"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and ability to hire additional research, clinical, development, scientific and manufacturing personnel;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 or EUA;</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03" w:lineRule="exact"/>
        <w:rPr>
          <w:rFonts w:ascii="Times New Roman" w:cs="Times New Roman" w:eastAsia="Times New Roman" w:hAnsi="Times New Roman"/>
          <w:sz w:val="18"/>
          <w:szCs w:val="18"/>
          <w:color w:val="auto"/>
        </w:rPr>
      </w:pPr>
    </w:p>
    <w:p>
      <w:pPr>
        <w:jc w:val="both"/>
        <w:ind w:left="1140" w:right="20" w:hanging="504"/>
        <w:spacing w:after="0" w:line="258"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61"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including higher inflation rates, changes in interest rates and the recent disruptions to and volatility in the credit and financial markets in the United States and worldwide resulting, in part, from the ongoing COVID-19 pandemic. If we are unable to raise sufficient additional capital, we could be forced to curtail our planned operations and the pursuit of our growth strategy.</w:t>
      </w:r>
    </w:p>
    <w:p>
      <w:pPr>
        <w:spacing w:after="0" w:line="69"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37"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may finance our cash needs through a combination of equity offerings, government or private-party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7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2" w:name="page43"/>
    <w:bookmarkEnd w:id="42"/>
    <w:p>
      <w:pPr>
        <w:ind w:right="560"/>
        <w:spacing w:after="0" w:line="365" w:lineRule="auto"/>
        <w:rPr>
          <w:sz w:val="20"/>
          <w:szCs w:val="20"/>
          <w:color w:val="auto"/>
        </w:rPr>
      </w:pPr>
      <w:r>
        <w:rPr>
          <w:rFonts w:ascii="Times New Roman" w:cs="Times New Roman" w:eastAsia="Times New Roman" w:hAnsi="Times New Roman"/>
          <w:sz w:val="18"/>
          <w:szCs w:val="18"/>
          <w:color w:val="auto"/>
        </w:rPr>
        <w:t xml:space="preserve">commercialization efforts or grant rights to develop and market product candidates that we would otherwise prefer to develop and market ourselves. </w:t>
      </w:r>
      <w:r>
        <w:rPr>
          <w:rFonts w:ascii="Times New Roman" w:cs="Times New Roman" w:eastAsia="Times New Roman" w:hAnsi="Times New Roman"/>
          <w:sz w:val="18"/>
          <w:szCs w:val="18"/>
          <w:b w:val="1"/>
          <w:bCs w:val="1"/>
          <w:color w:val="auto"/>
        </w:rPr>
        <w:t>Risks Related to the Development of our Product Candidates</w:t>
      </w:r>
    </w:p>
    <w:p>
      <w:pPr>
        <w:spacing w:after="0" w:line="1"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an EUA from the FDA or comparable foreign regulators due to the emergence of variants, such as the Omicron BA.2 variant, which has shown reduced in vitro susceptibility to adintrevimab.</w:t>
      </w:r>
    </w:p>
    <w:p>
      <w:pPr>
        <w:spacing w:after="0" w:line="6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 xml:space="preserve">Based on feedback received from the FDA in the second quarter of 2022, we decided to pause our planned submission of an EUA request for adintrevimab as a result of the Omicron BA.2 sublineage becoming the predominant variant in the United States. Published data has shown that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adintrevimab has markedly reduced neutralization activity against the Omicron BA.2, BA.4, and BA.5 sublineages. While we intend to continue to engage with the FDA and to monitor the evolution of SARS-CoV-2 and the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activity of adintrevimab against predominant variants in the United States to determine the optimal timing for an EUA request, we cannot be certain that adintrevimab will neutralize future variants and that we will submit an EUA for adintrevimab or whether an EUA will be granted if we do submit such request.</w:t>
      </w:r>
    </w:p>
    <w:p>
      <w:pPr>
        <w:spacing w:after="0" w:line="70"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6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currently have no products approved for commercial sale, and all of our product candidates are currently in clinical and preclinical development. In February 2021, we initiated a Phase 1 clinical trial evaluating adintrevimab. We have also advanced adintrevimab into global Phase 2/3 trials for the prevention and treatment of COVID-19 and reported preliminary safety and efficacy data (pre-Omicron) for both trials in March 2022. We have not previously conducted any later stage or pivotal clinical trials, have limited experience in preparing, submitting and prosecuting regulatory filings and have not previously submitted a biologics license application (“BLA”) for any product candidate.</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ability to generate revenue from our product candidates, which may not occur for several years, if ever, will depend heavily on the successful development, regulatory approval or granting of EUA for the prevention and/or treatment of COVID-19, obtaining of manufacturing supply, capacity and expertise and eventual commercialization of our product candidates. In the absence of a Public Health Emergency, we will not be able to receive an EUA. The success of adintrevimab or any other product candidates that we develop or otherwise may acquire will depend on several factors, including:</w:t>
      </w:r>
    </w:p>
    <w:p>
      <w:pPr>
        <w:spacing w:after="0" w:line="69" w:lineRule="exact"/>
        <w:rPr>
          <w:sz w:val="20"/>
          <w:szCs w:val="20"/>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emerging variants where adintrevimab has limited to no activity against the virus, such as the Omicron BA.4 and BA.5 sublineages which are currently the predominant variants of SARS-CoV-2 in the United States;</w:t>
      </w:r>
    </w:p>
    <w:p>
      <w:pPr>
        <w:spacing w:after="0" w:line="40" w:lineRule="exact"/>
        <w:rPr>
          <w:rFonts w:ascii="Times New Roman" w:cs="Times New Roman" w:eastAsia="Times New Roman" w:hAnsi="Times New Roman"/>
          <w:sz w:val="18"/>
          <w:szCs w:val="18"/>
          <w:color w:val="auto"/>
        </w:rPr>
      </w:pPr>
    </w:p>
    <w:p>
      <w:pPr>
        <w:jc w:val="both"/>
        <w:ind w:left="1140" w:hanging="504"/>
        <w:spacing w:after="0" w:line="24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SARS-CoV-2 VOCs could reduce the activity and effectiveness of adintrevimab as a potential prevention of or treatment for symptomatic COVID-19 and we may not be able to modify adintrevimab to improve binding on such variants and obtain sufficient data on the activity and effectiveness of re-engineered adintrevimab in order to support an EUA or regulatory approval and we may not be successful in identifying new antibodies that are suitable either as monotherapy or as combination therapy with adintrevimab to mitigate the risk of reduced activity against future SARS-CoV-2 variants;</w:t>
      </w:r>
    </w:p>
    <w:p>
      <w:pPr>
        <w:spacing w:after="0" w:line="7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need for therapies for the prevention and treatment of COVID-19, including due to the continuation and severity of the pandemic, the development of SARS-CoV-2 into an endemic disease or the inability of other available therapies to address COVID-19;</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discovery, preclinical and clinical development activities;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investigational new drug applications with the FDA, or comparable foreign applications that allow commencement of our planned clinical trials or future clinical trials for our product candidates;</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financial and other resources to complete the necessary preclinical studies and clinical trials, manufacture the product candidates and complete associated regulatory activities;</w:t>
      </w:r>
    </w:p>
    <w:p>
      <w:pPr>
        <w:spacing w:after="0" w:line="40"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commercial manufacturing and successfully develop, obtain regulatory approval or EUA for, and then successfully commercialize our product candidates;</w:t>
      </w:r>
    </w:p>
    <w:p>
      <w:pPr>
        <w:spacing w:after="0" w:line="61"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discovery and development of any additional development programs and product candidates we identify in-house or acquire through collaborations;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timely marketing approvals or EUAs from applicable regulatory authorities;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3" w:name="page44"/>
    <w:bookmarkEnd w:id="43"/>
    <w:p>
      <w:pPr>
        <w:ind w:left="1140" w:hanging="504"/>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expanding sales, marketing and distribution capabilities and launching commercial sales of products, if approved or an EUA is obtained, whether alone or in collaboration with others;</w:t>
      </w:r>
    </w:p>
    <w:p>
      <w:pPr>
        <w:spacing w:after="0" w:line="40"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required state licenses for distribution of our products, if authorized or approved or an EUA is obtained, or other distribution disruptions;</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approved, by patients, the medical community and third-party payors, for their approved indications;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adintrevimab or any other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that we develop;</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availability and sufficiency of government funding for the purchase and/or reimbursement of products for the diagnosis, prevention and treatment of COVID-19;</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or an EUA is obtained, and otherwise protecting our rights in our intellectual property portfolio;</w:t>
      </w:r>
    </w:p>
    <w:p>
      <w:pPr>
        <w:spacing w:after="0" w:line="67"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Good Clinical Practices (“GCPs”), current Good Laboratory Practices, and cGMPs, and to comply effectively with other rules, regulations and procedures applicable to the development and sale of pharmaceutical products;</w:t>
      </w:r>
    </w:p>
    <w:p>
      <w:pPr>
        <w:spacing w:after="0" w:line="82"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 patients’ willingness to pay out-of-pocket in the absence of such coverage and adequate reimbursement;</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tolerability and efficacy profile of the products following approval or EUA; and</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particularly in light of the current COVID-19 pandemic.</w:t>
      </w:r>
    </w:p>
    <w:p>
      <w:pPr>
        <w:spacing w:after="0" w:line="6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 or EUA for any product candidate we develop, we may not be able to continue our operations.</w:t>
      </w:r>
    </w:p>
    <w:p>
      <w:pPr>
        <w:spacing w:after="0" w:line="6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adintrevimab and any future product candidates represent novel approaches to the prevention and treatment of disease, there are many uncertainties regarding the development, market acceptance, third-party reimbursement coverage and commercial potential of our product candidates.</w:t>
      </w:r>
    </w:p>
    <w:p>
      <w:pPr>
        <w:spacing w:after="0" w:line="3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COVID-19 is a relatively new disease and the prevention and treatment of this disease is evolving. Another party may be successful in producing a more efficacious prophylaxis or treatment for COVID-19, which may make it more difficult for us to obtain funding or lead to decreased demand for our potential products. Many small and large companies are developing therapies for the prevention and/or treatment of COVID-19, including antibodies, vaccines, antivirals, and other products. Some of these are being marketed and others are further along in the development and commercialization process than we are and several of these companies have access to larger pools of capital, including government funding, and broader infrastructure that may make them more successful at developing, manufacturing or commercializing their products globally for the prevention and/or treatment of COVID-19. The success or failure of other companies, or perceived success or failure, may impact our ability to obtain future funding or to successfully commercialize our products for COVID-19 prevention and/or treatment.</w:t>
      </w:r>
    </w:p>
    <w:p>
      <w:pPr>
        <w:spacing w:after="0" w:line="78"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To date no monoclonal antibody has been approved for prevention (pre- or post-exposure) or treatment of COVID-19. The FDA has issued an EUA for tixagevimab co-packaged with cilgavimab for pre-exposure prophylaxis of COVID-19 in adults and pediatric individuals (12 years of age and older</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weighing at least 40 kg) and recently recommended a doubling of the dose due to the Omicron BA.1 and BA.1.1 variants. In addition, the FDA has issued EUAs for casirivimab/imdevimab and bamlanivimab/etesevimab for post-exposure prophylaxis of COVID-19 in individuals who are at high risk for</w:t>
      </w:r>
    </w:p>
    <w:p>
      <w:pPr>
        <w:jc w:val="both"/>
        <w:spacing w:after="0" w:line="211" w:lineRule="auto"/>
        <w:rPr>
          <w:sz w:val="20"/>
          <w:szCs w:val="20"/>
          <w:color w:val="auto"/>
        </w:rPr>
      </w:pPr>
      <w:r>
        <w:rPr>
          <w:rFonts w:ascii="Times New Roman" w:cs="Times New Roman" w:eastAsia="Times New Roman" w:hAnsi="Times New Roman"/>
          <w:sz w:val="18"/>
          <w:szCs w:val="18"/>
          <w:color w:val="auto"/>
        </w:rPr>
        <w:t>disease progression and who are not fully vaccinated or not expected to mount an immune response to vaccine and who have been exposed to an individual with SARS-CoV-2; however, due to lack of activity against the currently circulating Omicron variant, these antibodies are no longer authorized for use</w:t>
      </w:r>
    </w:p>
    <w:p>
      <w:pPr>
        <w:spacing w:after="0" w:line="1"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8"/>
          <w:szCs w:val="18"/>
          <w:color w:val="auto"/>
        </w:rPr>
        <w:t>under an EUA. In addition, four monoclonal antibody products, casirivimab/imdevimab, bamlanivimab/etesevimab, sotrovimab, and bebtelovimab have received an EUA from the FDA for the treatment of COVID-19 in patients at high risk of disease progression and at this time only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bebtelovimab is authorized for use considering limited to no activity of other antibodies against the predominant variant (BA.5) in the U.S.</w:t>
      </w:r>
    </w:p>
    <w:p>
      <w:pPr>
        <w:spacing w:after="0" w:line="90"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Because the use of engineered monoclonal antibodies is a relatively new and expanding area of novel therapeutic interventions, there are many uncertainties related to development, marketing, reimbursement and the commercial potential for our product candidates. There can be no assurance as to</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the length of the clinical trials, the number of patients the FDA or other comparable foreign regulatory authorities will require to be enrolled in the trials in order to establish the safety, efficacy, purity and potency of antibody products or that the design of or data generated in these trials will be acceptable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FDA or other comparable foreign regulatory authorities to support EUA, or similar authorization outside of the U.S., or marketing approval.</w:t>
      </w:r>
    </w:p>
    <w:p>
      <w:pPr>
        <w:spacing w:after="0" w:line="70"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In addition, the FDA or other comparable foreign regulatory authorities may take longer than usual to come to a decision on any EUA, BLA or marketing authorization that we submit and may ultimately determine that there is insufficient data, information or experience with our product candidates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to support an authorization or approval decision. The FDA or other comparable foreign regulatory authorities may also require that we conduct additional post-marketing studies or implement risk management programs, such as Risk Evaluation and Mitigation Strategies (“REMS”), until more experience with</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product candidates is obtained. Finally, after increased usage, we may find that our product candidates do not have the intended effect or have unanticipated side effects, potentially jeopardizing initial or continuing regulatory authorization or approval and commercial prospects.</w:t>
      </w:r>
    </w:p>
    <w:p>
      <w:pPr>
        <w:spacing w:after="0" w:line="64"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The success of our business depends in part upon our ability to develop engineered monoclonal antibodies that can broadly neutralize SARS-CoV-2, SARS-CoV and additional pre-emergent coronaviruses. We may fail to deliver monoclonal antibodies that are effective in the prevention or treatment of</w:t>
      </w:r>
    </w:p>
    <w:p>
      <w:pPr>
        <w:spacing w:after="0" w:line="2"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8"/>
          <w:szCs w:val="18"/>
          <w:color w:val="auto"/>
        </w:rPr>
        <w:t>symptomatic COVID-19. Even if we are able to identify and develop such antibodies, we cannot ensure that such product candidates will achieve authorization or marketing approval or EUA to safely and effectively prevent or treat symptomatic COVID-19 or other future coronavirus diseases.</w:t>
      </w:r>
    </w:p>
    <w:p>
      <w:pPr>
        <w:spacing w:after="0" w:line="7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If we uncover any previously unknown risks related to our antibodies, or if we experience unanticipated expenses, problems or delays in developing our product candidates, we may be unable to achieve our strategy of building a pipeline of monoclonal antibodies. Further, competitors who are developing products with similar technology may experience problems with their products that could identify problems that would potentially harm our business.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is no assurance that the approaches offered by our product candidates will gain broad acceptance among doctors or patients or that</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governmental agencies or third-party medical insurers will be willing to provide reimbursement coverage for our proposed product candidates. Since our current product candidates and any future product candidates will represent novel approaches to treating various conditions, it may be difficult, in any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w:t>
      </w:r>
    </w:p>
    <w:p>
      <w:pPr>
        <w:jc w:val="both"/>
        <w:spacing w:after="0" w:line="226" w:lineRule="auto"/>
        <w:rPr>
          <w:sz w:val="20"/>
          <w:szCs w:val="20"/>
          <w:color w:val="auto"/>
        </w:rPr>
      </w:pPr>
      <w:r>
        <w:rPr>
          <w:rFonts w:ascii="Times New Roman" w:cs="Times New Roman" w:eastAsia="Times New Roman" w:hAnsi="Times New Roman"/>
          <w:sz w:val="18"/>
          <w:szCs w:val="18"/>
          <w:color w:val="auto"/>
        </w:rPr>
        <w:t>the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63"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In addition, our monoclonal antibodies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p>
    <w:p>
      <w:pPr>
        <w:spacing w:after="0" w:line="7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Newly emerging and future SARS-CoV-2 variants could reduce the activity and effectiveness of adintrevimab as a potential prevention of or treatment for symptomatic COVID-19.</w:t>
      </w:r>
    </w:p>
    <w:p>
      <w:pPr>
        <w:spacing w:after="0" w:line="36"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 xml:space="preserve">Multiple variants of the virus that causes COVID-19 have been documented in the United States and globally during this pandemic. Although we have shown in pre-clinical studies that adintrevimab has the potential to broadly neutralize SARS-CoV-2 and the previously predominantly circulating variants, including Alpha, Beta, Delta, Delta Plus and Gamma,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to evaluate neutralizing activity of adintrevimab against the Omicron</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variant and its sublineages generated data showing reduced neutralizing activity of adintrevimab against the Omicron BA.1 and BA.1.1 sublineages compared to a reference strain and a lack of neutralizing activity against the Omicron BA.2, BA.4 and BA.5 sublineages. We have ongoing efforts to</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modify adintrevimab to improve binding to the Omicron variant and its sublineages, which are currently the predominant variants in the United States, in order to enhance neutralization potency against current and future novel variants, but such efforts may not be successful. Similarly, we may not be able to</w:t>
      </w:r>
    </w:p>
    <w:p>
      <w:pPr>
        <w:jc w:val="both"/>
        <w:spacing w:after="0" w:line="211" w:lineRule="auto"/>
        <w:rPr>
          <w:sz w:val="20"/>
          <w:szCs w:val="20"/>
          <w:color w:val="auto"/>
        </w:rPr>
      </w:pPr>
      <w:r>
        <w:rPr>
          <w:rFonts w:ascii="Times New Roman" w:cs="Times New Roman" w:eastAsia="Times New Roman" w:hAnsi="Times New Roman"/>
          <w:sz w:val="18"/>
          <w:szCs w:val="18"/>
          <w:color w:val="auto"/>
        </w:rPr>
        <w:t>successfully modify adintrevimab, whether on a timely basis or at all, against newly emerging or future variants, in order to support an EUA or regulatory approval. Additionally, we may not be successful in identifying new antibodies that are suitable either as monotherapy or as combination therapy with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adintrevimab to mitigate the risk of reduced activity against future SARS-CoV-2 variants.</w:t>
      </w:r>
    </w:p>
    <w:p>
      <w:pPr>
        <w:spacing w:after="0" w:line="70"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New SARS-CoV-2 variants could be less susceptible to adintrevimab and its mechanism of action, or the results shown in pre-clinical studies may not be replicated in clinical studies. Further, we may not be able to address reductions in neutralization potency with adjustments to the adintrevimab dose</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or dosing frequency. This would significantly and adversely affect our ability to complete enrollment in our clinical trials, obtain authorization or approval of and to commercialize adintrevimab. In addition, if our planned dosing of 300 mg of adintrevimab were to be increased in response to reduction in</w:t>
      </w:r>
    </w:p>
    <w:p>
      <w:pPr>
        <w:spacing w:after="0" w:line="1"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8"/>
          <w:szCs w:val="18"/>
          <w:color w:val="auto"/>
        </w:rPr>
        <w:t>neutralizing activity against dominant circulating SARS-CoV-2 variants or for other reasons, it could impact drug supply and pricing, which could adversely affect our commercial prospects.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5" w:name="page46"/>
    <w:bookmarkEnd w:id="45"/>
    <w:p>
      <w:pPr>
        <w:jc w:val="both"/>
        <w:ind w:firstLine="50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required regulatory approvals or EUAs, we will not be able to commercialize our product candidates, and our ability to generate product revenue will be adversely affected.</w:t>
      </w:r>
    </w:p>
    <w:p>
      <w:pPr>
        <w:spacing w:after="0" w:line="63"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All of our product candidates are in clinical and preclinical development and their risk of failure is high. The clinical trials and manufacturing of our product candidates are, and the manufacturing and marketing of our products, if approved, will be, subject to extensive and rigorous review and regulation</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w:t>
      </w:r>
    </w:p>
    <w:p>
      <w:pPr>
        <w:jc w:val="both"/>
        <w:spacing w:after="0" w:line="226" w:lineRule="auto"/>
        <w:rPr>
          <w:sz w:val="20"/>
          <w:szCs w:val="20"/>
          <w:color w:val="auto"/>
        </w:rPr>
      </w:pPr>
      <w:r>
        <w:rPr>
          <w:rFonts w:ascii="Times New Roman" w:cs="Times New Roman" w:eastAsia="Times New Roman" w:hAnsi="Times New Roman"/>
          <w:sz w:val="18"/>
          <w:szCs w:val="18"/>
          <w:color w:val="auto"/>
        </w:rPr>
        <w:t>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63"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and depends upon numerous factors, including the substantial discretion of the regulatory authorities. In addition, approval policies, regulations or the type and amount of clinical data necessary</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to gain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Even if our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future clinical trials are completed as planned, we cannot be certain that their results will support the safety and effectiveness of our product candidates for their targeted indications or support continued clinical development of such product candidates. Our current or future clinical trial results may not be successful.</w:t>
      </w:r>
    </w:p>
    <w:p>
      <w:pPr>
        <w:spacing w:after="0" w:line="79"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the European Medicines Agency (“EMA”), or other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EMA or other foreign regulatory authorities for support of a marketing application, we may be required to expend significant resources, which may not be available to us, to conduct additional preclinical studies or trials for our product candidates either prior to or post-approval, or they may object to elements of our clinical development program, requiring their alteration.</w:t>
      </w:r>
    </w:p>
    <w:p>
      <w:pPr>
        <w:spacing w:after="0" w:line="9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FDA’s or comparable foreign regulatory authorities’ approval processes and are commercialized. Even if we eventually complete clinical testing and receive approval of a new drug application,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7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Furthermore, even if we obtain regulatory approval for our product candidates, we may still need to develop a commercial organization, establish a commercially viable pricing structure and obtain approval for coverage and adequate reimbursement from commercial and government payors, including government health administration authorities. If we are unable to successfully commercialize our product candidates, we may not be able to generate sufficient revenue to continue our business.</w:t>
      </w:r>
    </w:p>
    <w:p>
      <w:pPr>
        <w:spacing w:after="0" w:line="7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in beginning or conducting clinical trials or numerous unforeseen events before, during or as a result of clinical trials that could delay or prevent our ability to complete clinical trials, receive marketing approval or commercialize our product candidates.</w:t>
      </w:r>
    </w:p>
    <w:p>
      <w:pPr>
        <w:spacing w:after="0" w:line="5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 xml:space="preserve">We may experience delays in conducting any clinical trials, and we do not know whether our clinical trials will begin on time, need to be redesigned, recruit and enroll patients on time or be completed on schedule, or at all. For example, following our review of data generated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demonstrating reduced neutralizing activity of adintrevimab against the Omicron SARS-CoV-2 BA.1 variant in both authentic and pseudovirus assays, in January 2022 we paused enrollment of new patients in both our EVADE and STAMP clinical trials to assess our dosing strategy in light of the spread of the Omicron BA.1 variant globally. Enrollment in EVADE and STAMP will not be resumed until the emergence of a variant susceptible to adintrevimab in regions where the trials are being conducted. We may experience numerous unforeseen events before, during or after the conduct of our clinical trials that could delay or prevent our ability to complete such trials or receive marketing approval for or commercialize our product candidates, or that could significantly increase the cost of such trials, including:</w:t>
      </w:r>
    </w:p>
    <w:p>
      <w:pPr>
        <w:spacing w:after="0" w:line="90" w:lineRule="exact"/>
        <w:rPr>
          <w:sz w:val="20"/>
          <w:szCs w:val="20"/>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05"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6" w:name="page47"/>
    <w:bookmarkEnd w:id="46"/>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17"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EMA or other regulatory authorities as to the design or implementation of our clinical trials;</w:t>
      </w:r>
    </w:p>
    <w:p>
      <w:pPr>
        <w:spacing w:after="0" w:line="103"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clinical trial;</w:t>
      </w:r>
    </w:p>
    <w:p>
      <w:pPr>
        <w:spacing w:after="0" w:line="103" w:lineRule="exact"/>
        <w:rPr>
          <w:rFonts w:ascii="Times New Roman" w:cs="Times New Roman" w:eastAsia="Times New Roman" w:hAnsi="Times New Roman"/>
          <w:sz w:val="18"/>
          <w:szCs w:val="18"/>
          <w:color w:val="auto"/>
        </w:rPr>
      </w:pPr>
    </w:p>
    <w:p>
      <w:pPr>
        <w:ind w:left="504" w:hanging="504"/>
        <w:spacing w:after="0" w:line="282"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reaching an agreement on acceptable terms with clinical trial sites or prospective contract research organizations (“CROs”), the terms of which can be subject to extensive negotiation and may vary significantly among different clinical trial sites;</w:t>
      </w:r>
    </w:p>
    <w:p>
      <w:pPr>
        <w:spacing w:after="0" w:line="40"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institutional review board (“IRB”) approval at each trial site;</w:t>
      </w:r>
    </w:p>
    <w:p>
      <w:pPr>
        <w:spacing w:after="0" w:line="103"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having patients complete a clinical trial or return for post-treatment follow-up;</w:t>
      </w:r>
    </w:p>
    <w:p>
      <w:pPr>
        <w:spacing w:after="0" w:line="103"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findings from inspections of clinical trial sites or operations by applicable regulatory authorities, or the imposition of a clinical hold;</w:t>
      </w:r>
    </w:p>
    <w:p>
      <w:pPr>
        <w:spacing w:after="0" w:line="103"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w:t>
      </w:r>
    </w:p>
    <w:p>
      <w:pPr>
        <w:spacing w:after="0" w:line="103" w:lineRule="exact"/>
        <w:rPr>
          <w:rFonts w:ascii="Times New Roman" w:cs="Times New Roman" w:eastAsia="Times New Roman" w:hAnsi="Times New Roman"/>
          <w:sz w:val="18"/>
          <w:szCs w:val="18"/>
          <w:color w:val="auto"/>
        </w:rPr>
      </w:pPr>
    </w:p>
    <w:p>
      <w:pPr>
        <w:ind w:left="504" w:hanging="504"/>
        <w:spacing w:after="0" w:line="282"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applicable regulatory requirements, including the FDA’s regulations and GCP requirements, or applicable regulatory requirements in other countries;</w:t>
      </w:r>
    </w:p>
    <w:p>
      <w:pPr>
        <w:spacing w:after="0" w:line="40" w:lineRule="exact"/>
        <w:rPr>
          <w:rFonts w:ascii="Times New Roman" w:cs="Times New Roman" w:eastAsia="Times New Roman" w:hAnsi="Times New Roman"/>
          <w:sz w:val="18"/>
          <w:szCs w:val="18"/>
          <w:color w:val="auto"/>
        </w:rPr>
      </w:pPr>
    </w:p>
    <w:p>
      <w:pPr>
        <w:ind w:left="504" w:hanging="504"/>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the occurrence of adverse events associated with the product candidate that are viewed to outweigh its potential benefits;</w:t>
      </w:r>
    </w:p>
    <w:p>
      <w:pPr>
        <w:spacing w:after="0" w:line="67"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and/or successfully contract with a sufficient number of clinical trial sites;</w:t>
      </w:r>
    </w:p>
    <w:p>
      <w:pPr>
        <w:spacing w:after="0" w:line="103"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sufficient quantities of product candidate for use in clinical trials;</w:t>
      </w:r>
    </w:p>
    <w:p>
      <w:pPr>
        <w:spacing w:after="0" w:line="103" w:lineRule="exact"/>
        <w:rPr>
          <w:rFonts w:ascii="Times New Roman" w:cs="Times New Roman" w:eastAsia="Times New Roman" w:hAnsi="Times New Roman"/>
          <w:sz w:val="18"/>
          <w:szCs w:val="18"/>
          <w:color w:val="auto"/>
        </w:rPr>
      </w:pPr>
    </w:p>
    <w:p>
      <w:pPr>
        <w:ind w:left="504" w:hanging="504"/>
        <w:spacing w:after="0" w:line="282"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suspensions or terminations by IRBs at the institutions where such trials are being conducted, by the independent Data Monitoring Committee for such trial or by the FDA or other regulatory authorities due to a number of factors, including those described above;</w:t>
      </w:r>
    </w:p>
    <w:p>
      <w:pPr>
        <w:spacing w:after="0" w:line="40" w:lineRule="exact"/>
        <w:rPr>
          <w:rFonts w:ascii="Times New Roman" w:cs="Times New Roman" w:eastAsia="Times New Roman" w:hAnsi="Times New Roman"/>
          <w:sz w:val="18"/>
          <w:szCs w:val="18"/>
          <w:color w:val="auto"/>
        </w:rPr>
      </w:pPr>
    </w:p>
    <w:p>
      <w:pPr>
        <w:ind w:left="504" w:hanging="504"/>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or feedback from regulatory authorities that requires us to modify the design or conduct of our clinical trials;</w:t>
      </w:r>
    </w:p>
    <w:p>
      <w:pPr>
        <w:spacing w:after="0" w:line="67" w:lineRule="exact"/>
        <w:rPr>
          <w:rFonts w:ascii="Times New Roman" w:cs="Times New Roman" w:eastAsia="Times New Roman" w:hAnsi="Times New Roman"/>
          <w:sz w:val="18"/>
          <w:szCs w:val="18"/>
          <w:color w:val="auto"/>
        </w:rPr>
      </w:pPr>
    </w:p>
    <w:p>
      <w:pPr>
        <w:ind w:left="504" w:right="20" w:hanging="504"/>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54" w:lineRule="exact"/>
        <w:rPr>
          <w:rFonts w:ascii="Times New Roman" w:cs="Times New Roman" w:eastAsia="Times New Roman" w:hAnsi="Times New Roman"/>
          <w:sz w:val="18"/>
          <w:szCs w:val="18"/>
          <w:color w:val="auto"/>
        </w:rPr>
      </w:pPr>
    </w:p>
    <w:p>
      <w:pPr>
        <w:jc w:val="both"/>
        <w:ind w:left="504" w:hanging="504"/>
        <w:spacing w:after="0" w:line="250"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especially if regulatory bodies require the completion of non-inferiority or superiority trials or the sample size needs to be increased based on the outcome rates observed during early trial conduct, enrollment in these clinical trials may be slower than we anticipate, or participants may drop out of these clinical trials at a higher rate than we anticipate;</w:t>
      </w:r>
    </w:p>
    <w:p>
      <w:pPr>
        <w:spacing w:after="0" w:line="69" w:lineRule="exact"/>
        <w:rPr>
          <w:rFonts w:ascii="Times New Roman" w:cs="Times New Roman" w:eastAsia="Times New Roman" w:hAnsi="Times New Roman"/>
          <w:sz w:val="18"/>
          <w:szCs w:val="18"/>
          <w:color w:val="auto"/>
        </w:rPr>
      </w:pPr>
    </w:p>
    <w:p>
      <w:pPr>
        <w:ind w:left="504" w:hanging="504"/>
        <w:spacing w:after="0" w:line="282"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clinical trials may be impacted by the rate of infection prevalence in the relevant communities, which can change once a trial is initiated;</w:t>
      </w:r>
    </w:p>
    <w:p>
      <w:pPr>
        <w:spacing w:after="0" w:line="40" w:lineRule="exact"/>
        <w:rPr>
          <w:rFonts w:ascii="Times New Roman" w:cs="Times New Roman" w:eastAsia="Times New Roman" w:hAnsi="Times New Roman"/>
          <w:sz w:val="18"/>
          <w:szCs w:val="18"/>
          <w:color w:val="auto"/>
        </w:rPr>
      </w:pPr>
    </w:p>
    <w:p>
      <w:pPr>
        <w:ind w:left="504" w:hanging="504"/>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screen failure rate for clinical trials of our product candidates may be higher than we anticipate, requiring us to screen larger numbers of patients than originally planned;</w:t>
      </w:r>
    </w:p>
    <w:p>
      <w:pPr>
        <w:spacing w:after="0" w:line="67" w:lineRule="exact"/>
        <w:rPr>
          <w:rFonts w:ascii="Times New Roman" w:cs="Times New Roman" w:eastAsia="Times New Roman" w:hAnsi="Times New Roman"/>
          <w:sz w:val="18"/>
          <w:szCs w:val="18"/>
          <w:color w:val="auto"/>
        </w:rPr>
      </w:pPr>
    </w:p>
    <w:p>
      <w:pPr>
        <w:ind w:left="504" w:right="20" w:hanging="504"/>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4" w:lineRule="exact"/>
        <w:rPr>
          <w:rFonts w:ascii="Times New Roman" w:cs="Times New Roman" w:eastAsia="Times New Roman" w:hAnsi="Times New Roman"/>
          <w:sz w:val="18"/>
          <w:szCs w:val="18"/>
          <w:color w:val="auto"/>
        </w:rPr>
      </w:pPr>
    </w:p>
    <w:p>
      <w:pPr>
        <w:jc w:val="both"/>
        <w:ind w:left="504" w:hanging="504"/>
        <w:spacing w:after="0" w:line="247"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 for example, we conducted our STAMP treatment trial at sites outside of the United States; in the future, the applicable foreign regulatory authorities may determine that a placebo-controlled trial would expose patients to unacceptable health risks (because alternative effective therapies are or may become available in these regions during the conduct of the trial), which could delay enrollment of our trial and the authorization or approval of adintrevimab;</w:t>
      </w:r>
    </w:p>
    <w:p>
      <w:pPr>
        <w:spacing w:after="0" w:line="71"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225"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4"/>
          </w:cols>
          <w:pgMar w:left="956" w:top="432" w:right="339" w:bottom="1440" w:gutter="0" w:footer="0" w:header="0"/>
        </w:sectPr>
      </w:pPr>
    </w:p>
    <w:bookmarkStart w:id="47" w:name="page48"/>
    <w:bookmarkEnd w:id="47"/>
    <w:p>
      <w:pPr>
        <w:ind w:left="1140" w:hanging="504"/>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 and</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4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61" w:lineRule="exact"/>
        <w:rPr>
          <w:sz w:val="20"/>
          <w:szCs w:val="20"/>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or not obtain marketing approval at all;</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for indications or patient populations that are not as broad as intended or desired;</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with labeling that includes significant use or distribution restrictions or safety warnings, including boxed warnings or REMS;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 or</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to impose restrictions on its distribution after obtaining marketing approval.</w:t>
      </w:r>
    </w:p>
    <w:p>
      <w:pPr>
        <w:spacing w:after="0" w:line="4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All of our product candidates will require extensive clinical testing before we are prepared to submit a BLA or marketing authorization application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87"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ongoing war between Russia and Ukraine may impact our ability to complete patient follow-up visits in our clinical trials.</w:t>
      </w:r>
    </w:p>
    <w:p>
      <w:pPr>
        <w:spacing w:after="0" w:line="12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ongoing war between Russia and Ukraine may disrupt our ability to complete clinical trials in Ukraine. Certain data generated at these trial sites might not be able to be validated or study assessments may be missed, and our clinical trial sites in Ukraine may suspend or terminate trials and those patients could be forced to evacuate or choose to relocate, making them unavailable for further participation in clinical trials, adversely impacting the analysis of the patients enrolled in these trials and the overall safety and efficacy analysis of the trials. Furthermore, the ongoing war may prevent the FDA from auditing clinical trial sites in Ukraine. Interruptions of clinical trials may delay our clinical development and the potential authorization or approval of our product candidates, which could increase our costs and jeopardize our ability to commence product sales and generate revenues.</w:t>
      </w:r>
    </w:p>
    <w:p>
      <w:pPr>
        <w:spacing w:after="0" w:line="8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Health Emergency will continue to be in place for an extended period of time and that the product we are developing for COVID-19 could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7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seek an EUA for the prevention and/or treatment of COVID-19 from the FDA or similar authorization from regulatory authorities outside of the United States, such as conditional marketing authorization from the EMA. If we apply for an EUA and it is granted, an EUA will authorize us to market and sell our COVID-19 monoclonal antibody under certain conditions of authorization as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18"/>
          <w:szCs w:val="18"/>
          <w:color w:val="auto"/>
        </w:rPr>
        <w:t>long as the Public Health Emergency exists. The FDA expects that companies that receive an EUA for COVID-19 antibodies will proceed to licensure of their products under a full BLA. The FDA may issue an EUA during a public health emergency if the agency determines that the potential benefits of a product outweigh the potential risks and if other regulatory criteria are met.</w:t>
      </w:r>
    </w:p>
    <w:p>
      <w:pPr>
        <w:spacing w:after="0" w:line="6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There is no guarantee that we will apply for an EUA for adintrevimab or any of our product candidates, or other similar authorization or, if we do apply, that we will be able to obtain an EUA or such.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An EUA authorizing the marketing and sale of our product will terminate upon expiration of the public health emergency, which is a determination made by the Secretary of the Department of Health and Human Services (“HHS”). The FDA may also terminate an EUA if safety issues or other concerns about our product, such as loss of neutralizing activity against dominant circulating SARS-CoV-2 variants, arise or if we fail to comply with the conditions of authorization. We cannot predict how long the Public Health Emergency will remain in effect, the future dominant circulating SARS-CoV-2 variant(s), or the length of time a variant will circulate.</w:t>
      </w:r>
    </w:p>
    <w:p>
      <w:pPr>
        <w:spacing w:after="0" w:line="7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If we apply for an EUA or similar authorization from regulatory authorities outside of the United States,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authorization or approval for any product candidate, and it is possible that we may never obtain regulatory authorization or approval for any product candidates we may seek to develop in the future. Neither we nor any current or future collaborator is permitted to market any drug product candidates in the United States until we receive regulatory authorization with an EUA or approval of a BLA from the FDA, and we cannot market it in the European Union until we receive marketing authorization from the EMA, or other required regulatory approval in other countries. To date, we have had discussions with the FDA and Health Canada and have received scientific advice from the Medicines and Healthcare products Regulatory Agency, the Swedish Medical Products Agency, the Paul Ehrlich Institute, and the EMA regarding clinical development programs or regulatory approval for any product candidate within the United States, Canada, United Kingdom, Sweden, Germany and European Union, respectively. We have had no discussions with other comparable foreign authorities regarding clinical development programs or regulatory approval for any product candidate outside of these jurisdictions.</w:t>
      </w:r>
    </w:p>
    <w:p>
      <w:pPr>
        <w:spacing w:after="0" w:line="95"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Prior to obtaining approval to commercialize any drug product candidate in the United States or abroad, we must demonstrate with substantial evidence from well-controlled clinical trials, and to the satisfaction of the FDA, EMA or other foreign regulatory agencies, that such product candidate is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04" w:lineRule="exact"/>
        <w:rPr>
          <w:sz w:val="20"/>
          <w:szCs w:val="20"/>
          <w:color w:val="auto"/>
        </w:rPr>
      </w:pPr>
    </w:p>
    <w:p>
      <w:pPr>
        <w:ind w:left="1140" w:hanging="504"/>
        <w:spacing w:after="0" w:line="26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or with our interpretation of data from preclinical studies or clinical trials;</w:t>
      </w:r>
    </w:p>
    <w:p>
      <w:pPr>
        <w:spacing w:after="0" w:line="6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4"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collect sufficient data from clinical trials of our product candidates to support the submission and filing of a BLA with the FDA, MAA with the EMA or other submission;</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bioresearch monitoring, FDA inspection or comparable foreign regulatory authorities inspection;</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an FDA or comparable foreign regulatory authorities' inspection of our third-party contract manufacturing or testing facilities for which we contract and test clinical and commercial supplies;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9" w:name="page50"/>
    <w:bookmarkEnd w:id="49"/>
    <w:p>
      <w:pPr>
        <w:ind w:left="1140" w:right="20" w:hanging="504"/>
        <w:spacing w:after="0" w:line="282"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our contract manufacturing related activities (e.g., process validation, product characterization, product stability and expiry, and comparability establishment) insufficient for approval; and</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authorities may significantly change in a manner rendering our clinical data insufficient for approval.</w:t>
      </w:r>
    </w:p>
    <w:p>
      <w:pPr>
        <w:spacing w:after="0" w:line="6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6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5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having progressed through preclinical studies and initial clinical trials.</w:t>
      </w:r>
    </w:p>
    <w:p>
      <w:pPr>
        <w:spacing w:after="0" w:line="8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69"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3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9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approval of our product candidates, limit their commercialization, increase our costs or necessitate the abandonment or limitation of the development of some of our product candidates.</w:t>
      </w:r>
    </w:p>
    <w:p>
      <w:pPr>
        <w:spacing w:after="0" w:line="8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To obtain the requisite regulatory approvals for the commercial sale of our product candidates, we must demonstrate through lengthy, complex and expensive preclinical testing and clinical trials that our product candidates are safe, pure and potent for use in each target indication. These trials are expensive and time consuming, and their outcomes are inherently uncertain. Failures can occur at 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4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We may fail to demonstrate with substantial evidence from adequate and well-controlled trials, and to the satisfaction of the FDA or comparable foreign regulatory authorities, that our product candidates are safe and effective for their intended uses. In addition, the FDA or comparable foreign regulatory authorities may determine that antibody monotherapy products are not sufficient and that combination antibody therapies should become the standard of care. The current clinical data available from the STAMP and EVADE trials may be insufficient to support a BLA or marketing authorization and we may not be able to generate additional data if the FDA or comparable foreign regulatory authorities require additional trials in support of a BLA or marketing authorization.</w:t>
      </w:r>
    </w:p>
    <w:p>
      <w:pPr>
        <w:spacing w:after="0" w:line="7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use for the product candidate, if approved. Some side effects may not be appropriately recognized or managed by the treating medical staff, as toxicities resulting from monoclonal antibody therapy targeting an exogenous target, as with our adintrevimab product candidate, can be nonspecific.</w:t>
      </w:r>
    </w:p>
    <w:p>
      <w:pPr>
        <w:spacing w:after="0" w:line="8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If we cannot demonstrate that any adverse events were not caused by the drug, the FDA, EMA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68" w:lineRule="exact"/>
        <w:rPr>
          <w:sz w:val="20"/>
          <w:szCs w:val="20"/>
          <w:color w:val="auto"/>
        </w:rPr>
      </w:pPr>
    </w:p>
    <w:p>
      <w:pPr>
        <w:ind w:left="1140" w:hanging="504"/>
        <w:spacing w:after="0" w:line="266"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approvals of such product, or seek an injunction against its manufacture or distribution;</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or conduct additional trials;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10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57"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Lack of awareness or negative public opinion of monoclonal antibody therapies and increased regulatory scrutiny of monoclonal antibody therapies to prevent or treat COVID-19 may adversely impact the development or commercial success of our current and future product candidates.</w:t>
      </w:r>
    </w:p>
    <w:p>
      <w:pPr>
        <w:spacing w:after="0" w:line="6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clinical and commercial success of our monoclonal antibody therapies will depend in part on public acceptance of the use of monoclonal antibody therapies to prevent of treat COVID-19. Any adverse public attitudes about the use of monoclonal antibody therapies may adversely impact our ability to enroll clinical trials. Moreover, our success will depend upon physicians prescribing, and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their patients’ willingness to receive, treatments that involve the use of product candidates we may develop in lieu of, or in addition to, existing treatments with which they are already familiar and for which greater clinical data may be available.</w:t>
      </w:r>
    </w:p>
    <w:p>
      <w:pPr>
        <w:spacing w:after="0" w:line="4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all of which would have a negative impact on our business and operations.</w:t>
      </w:r>
    </w:p>
    <w:p>
      <w:pPr>
        <w:spacing w:after="0" w:line="6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or difficulties in the enrollment and/or retention of patients in clinical trials, or we may pause, delay or terminate enrollment of our clinical trials, which could in turn delay or prevent our receipt of necessary regulatory approvals.</w:t>
      </w:r>
    </w:p>
    <w:p>
      <w:pPr>
        <w:spacing w:after="0" w:line="5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69"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 xml:space="preserve">Further, we may determine that enrollment in a clinical trial should be paused, delayed or terminated in order to revise trial protocols in light of preliminary data generated by the trial or new data generated in other studies. For example, following our review of data generated in external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examining the neutralizing activity of adintrevimab against the Omicron SARS-CoV-2 BA.1 variant in both authentic and pseudovirus assays, in January 2022 we paused enrollment of new patients in both our EVADE and STAMP clinical trials to assess dosing strategy and revise our trial protocols in light of the global spread of the Omicron variant and its sublineages. 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92" w:lineRule="exact"/>
        <w:rPr>
          <w:sz w:val="20"/>
          <w:szCs w:val="20"/>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difficulty of diagnosing the disease under investigation;</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contraction of the public health crisis caused by COVID-19;</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 in question;</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infection prevalence may have on enrollment;</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protocol, including but not limited to the use of a placebo control or active comparator;</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 including relating to monoclonal antibody and/or vaccine approaches;</w:t>
      </w:r>
    </w:p>
    <w:p>
      <w:pPr>
        <w:spacing w:after="0" w:line="103"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therapeutic candidates’ clinical trials for the disease or condition under investigation;</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be enrolled in our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national and/or employer COVID-19 vaccine mandates;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caused by the COVID-19 pandemic, including difficulties in initiating clinical sites, enrolling and retaining participants, diversion of healthcare resources away from clinical trials, vaccine mandate policies, travel or quarantine policies that may be implemented, our ability to import and export clinical trial supplies, raw materials and commercial supply and other factors;</w:t>
      </w:r>
    </w:p>
    <w:p>
      <w:pPr>
        <w:spacing w:after="0" w:line="82"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0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inability to enroll, or maintain the enrollment of, a sufficient number of patients for clinical trials would result in significant delays and could require us to abandon one or more clinical trials altogether. Enrollment pauses or delays in these clinical trials may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5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Breakthrough therapy designation by the FDA for any product candidate may not lead to a faster development or regulatory review or approval process, and it does not increase the likelihood that the product candidate will receive marketing approval.</w:t>
      </w:r>
    </w:p>
    <w:p>
      <w:pPr>
        <w:spacing w:after="0" w:line="3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may, in the future, apply for breakthrough therapy designation,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7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3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we are currently focused on the development of adintrevimab for the prevention and treatment of symptomatic COVID-19, as well as advancing additional antibodies into clinical trials for the prevention and treatment of COVID-19 and other infectious diseases.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7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 conducted in locations outside of their jurisdiction.</w:t>
      </w:r>
    </w:p>
    <w:p>
      <w:pPr>
        <w:spacing w:after="0" w:line="3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are currently conducting, and intend to conduct in the future, clinical trials outside the United States. The acceptance of trial data from clinical trials conducted outside the United States by the FDA may be subject to certain conditions or may not be accepted at all.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in accordance with GCP standards,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77"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additional product candidates through internal efforts or through partnerships for discovery of novel antibody product candidates.</w:t>
      </w:r>
    </w:p>
    <w:p>
      <w:pPr>
        <w:spacing w:after="0" w:line="6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18"/>
          <w:szCs w:val="18"/>
          <w:color w:val="auto"/>
        </w:rPr>
        <w:t>are unlikely to be successfully developed, much less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adversely affected by the evolving and ongoing COVID-19 global pandemic.</w:t>
      </w:r>
    </w:p>
    <w:p>
      <w:pPr>
        <w:spacing w:after="0" w:line="12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evolving and constantly changing impact of COVID-19, which was declared a global pandemic by the World Health Organization (“WHO”), will directly affect the potential commercial prospects of our lead product candidate for the prevention and treatment of COVID-19. The severity of the global pandemic, the availability, administration and acceptance of vaccines, monoclonal antibodies, antiviral agents and other therapies, potential vaccine mandate policies,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7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 addition, our business and operations may be more broadly adversely affected by the COVID-19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as well as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 Additionally, on September 9, 2021, President Biden issued an executive order obligating parties that contract with the federal government to require their employees to be fully vaccinated against COVID-19, with limited exceptions for certain accommodations, and on November 5, 2021 the Department of Labor’s Occupational Safety and Health Administration (“OSHA”) issued an emergency temporary standard (the “ETS”) requiring all private employers with 100 or more workers to mandate COVID-19 vaccination or produce a weekly test for all employees. Although the executive order has been the subject of legal challenges and is currently enjoined nationwide, there can be no assurance that the executive order will not be upheld and enforced or that President Biden will not issue another executive order. Further, while the ETS was withdrawn effective January 26, 2022, OSHA has not withdrawn the ETS as a proposed rule. As a company that is likely to have 100 employees at the time such rule may become a final standard, we would be required to mandate COVID-19 vaccination of our workforce or require our unvaccinated employees to be tested weekly if the proposed rule becomes a final standard or if the executive order is upheld in the courts and we were to contract with the federal government. We or our suppliers may incur increased costs, labor disruptions or employee attrition as a result of these mandates. If we or other companies in our supply chain lose employees, it may be difficult in the current competitive labor market to find replacement employees, and this could have a material adverse effect on our business and results of operations.</w:t>
      </w:r>
    </w:p>
    <w:p>
      <w:pPr>
        <w:spacing w:after="0" w:line="8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To date, we have experienced some delays in our development activities as a result of the COVID-19 pandemic. In the future, we anticipate there could be additional or even significant disruptions, delays or uncertainties in our development activities as a result of the COVID-19 pandemic, including the ongoing shutdowns in China, as outbreaks occur and progress and some of our CROs, CDMOs and other service providers continue to be impacted. In December 2020, shipment of adintrevimab clinical supply by WuXi Biologics (Hong Kong) Limited (“WuXi”) was delayed due to the introduction by the Chinese government of a new procedure for the approval of the export of products for the treatment of COVID-19. However, this type of delay is not anticipated to occur in the future, now that this export procedure has been implemented. In addition, we may experience related disruptions in the future that could severely impact our clinical trials, including:</w:t>
      </w:r>
    </w:p>
    <w:p>
      <w:pPr>
        <w:spacing w:after="0" w:line="87" w:lineRule="exact"/>
        <w:rPr>
          <w:sz w:val="20"/>
          <w:szCs w:val="20"/>
          <w:color w:val="auto"/>
        </w:rPr>
      </w:pPr>
    </w:p>
    <w:p>
      <w:pPr>
        <w:ind w:left="1140" w:right="20" w:hanging="504"/>
        <w:spacing w:after="0" w:line="266"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difficulties or a suspension in clinical site initiation, including difficulties in recruiting clinical site investigators and clinical site staff;</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clinical trial enrollment due to emergence of variant(s) against which adintrevimab is not anticipated to have activity;</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our ability to manufacture and deliver drug supply for trials due to capacity constraints or lack of raw materials;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to our ability to supply clinical trial material to clinical trial sites due to supply chain challenges;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(including potential vaccine mandates) as part of a response to the COVID-19 outbreak that may require us to change the ways in which our clinical trials are conducted, which may result in unexpected costs, or to discontinue the clinical trials altogether;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4" w:name="page55"/>
    <w:bookmarkEnd w:id="54"/>
    <w:p>
      <w:pPr>
        <w:ind w:left="1140" w:right="20" w:hanging="504"/>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around patient enrollment rates due to unpredictable and variable regional rates of infection;</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40"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and other regulatory authorities to accept data from clinical trials in these affected geographies.</w:t>
      </w:r>
    </w:p>
    <w:p>
      <w:pPr>
        <w:spacing w:after="0" w:line="10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may materially affect us economically. While the potential economic impact brought by, and the duration of, the COVID-19 pandemic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6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global COVID-19 pandemic continues to rapidly evolve, particularly with regard to the rapid global spread of the Omicron variant and its sublineages. The extent to which the COVID-19 pandemic impacts our business and operations, including our clinical development and regulatory efforts, will depend on future developments that are highly uncertain and cannot be predicted with confidence as of the date of this Quarterly Report, such as the ultimate geographic spread of the disease and the neutralizing activity of adintrevimab and any of our other potential COVID-19 product candidates against the dominant circulating variant(s) at any given time,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7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extent the ongoing COVID-19 pandemic adversely affects our business, financial condition and results of operations, it may also have the effect of heightening many of the other risks and uncertainties described in this “Risk Factors” section.</w:t>
      </w:r>
    </w:p>
    <w:p>
      <w:pPr>
        <w:spacing w:after="0" w:line="6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5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w:t>
      </w:r>
    </w:p>
    <w:p>
      <w:pPr>
        <w:spacing w:after="0" w:line="61"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The potentially addressable patient population for our current or future product candidates may be limited, if and when approved. Further, even if any of our product candidates are approved by the FDA or comparable foreign regulators, their approved indications may be limited to a subset of the indications that we targeted.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8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develop adintrevimab and future product candidates for use in combination with other therapies or third-party product candidates, which exposes us to additional regulatory risks.</w:t>
      </w:r>
    </w:p>
    <w:p>
      <w:pPr>
        <w:spacing w:after="0" w:line="5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may develop adintrevimab and future product candidates for use in combination with one or more currently authorized or approved therapies to prevent or treat COVID-19, or with therapies that may be authorized or approved in the future.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antibody therapies appear to be favored by the FDA over monotherapy, and in the future the FDA, EMA and comparable foreign regulatory authorities may determine that monotherapy products should not be approved, eliminating our ability to commercialize adintrevimab as a monotherapy treatment.</w:t>
      </w:r>
    </w:p>
    <w:p>
      <w:pPr>
        <w:spacing w:after="0" w:line="9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may also evaluate adintrevimab or any future product candidate in combination with one or more other third-party product candidates that have not yet been approved for marketing by the FDA, EMA or comparable foreign regulatory authorities. If so, we will not be able to market and sell adintrevimab or any product candidate we develop in combination with any such unapproved therapies that do not ultimately obtain marketing approval. If the FDA or comparable foreign regulatory authorities do not approve these other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5" w:name="page56"/>
    <w:bookmarkEnd w:id="55"/>
    <w:p>
      <w:pPr>
        <w:jc w:val="both"/>
        <w:spacing w:after="0" w:line="258" w:lineRule="auto"/>
        <w:rPr>
          <w:sz w:val="20"/>
          <w:szCs w:val="20"/>
          <w:color w:val="auto"/>
        </w:rPr>
      </w:pPr>
      <w:r>
        <w:rPr>
          <w:rFonts w:ascii="Times New Roman" w:cs="Times New Roman" w:eastAsia="Times New Roman" w:hAnsi="Times New Roman"/>
          <w:sz w:val="18"/>
          <w:szCs w:val="18"/>
          <w:color w:val="auto"/>
        </w:rPr>
        <w:t>product candidates, or revoke their approval of, or if safety, efficacy, manufacturing or supply issues arise with, the biologics or antivirals we choose to evaluate in combination with adintrevimab or any product candidate we develop, we may be unable to obtain approval of or market any such product candidate.</w:t>
      </w:r>
    </w:p>
    <w:p>
      <w:pPr>
        <w:spacing w:after="0" w:line="5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European Union may adversely impact our ability to obtain regulatory approvals of our product candidates in the European Union, result in restrictions or imposition of taxes and duties for importing our product candidates into the European Union and require us to incur additional expenses in order to develop, manufacture and commercialize our product candidates in the European Union.</w:t>
      </w:r>
    </w:p>
    <w:p>
      <w:pPr>
        <w:spacing w:after="0" w:line="60"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(the “Transition Period”) during which European Union rules continued to apply. A trade and cooperation agreement (the “Trade Cooperation Agreement”) that outlines the post-Transition Period trading relationship between the United Kingdom and the European Union was agreed to in December 2020 and was formally entered into on May 1, 2021.</w:t>
      </w:r>
    </w:p>
    <w:p>
      <w:pPr>
        <w:spacing w:after="0" w:line="8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United Kingdom applicable to our business and our product candidates is derived from European Union directives and regulations, Brexit has had, and will continue to have, a material impact on the regulatory regime with respect to the development, manufacture, importation, approval and commercialization of our product candidates in the United Kingdom. For example, Great Britain is no longer covered by the centralized procedures for obtaining European Union-wide marketing authorizations from the EMA, and a separate marketing authorization will be required to market our product candidates in the United Kingdom. Any delay in obtaining, or an inability to obtain, any marketing approvals, as a result of Brexit or otherwise, would delay or prevent us from commercializing our product candidates in the United Kingdom or the European Union and limit our ability to generate revenue and achieve and sustain profitability. While the Trade and Cooperation Agreement provides for the tariff-free trade of medicinal products between the United Kingdom and the European Union, there are additional non-tariff costs to such trade that did not exist prior to the end of the Transition Period and frequent delays in the transit of goods between the United Kingdom and the European Union. Further, should the United Kingdom diverge from the European Union from a regulatory perspective in relation to medicinal products, tariffs could be put into place in the future. We could therefore, both now and in the future, face significant additional expenses (when compared to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04"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manufacture of monoclonal antibody and other protein-based therapies are technically complex and necessitates substantial expertise and capital investment. Production difficulties caused by unforeseen events may delay the availability of material for our clinical studies or commercialization efforts.</w:t>
      </w:r>
    </w:p>
    <w:p>
      <w:pPr>
        <w:spacing w:after="0" w:line="6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product for clinical trials or commercial use, or enforcement action from the FDA, EMA or other foreign or state regulatory authorities. If we or our manufacturers were to fail to comply with the FDA, EMA or other foreign or state regulatory authorities,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if any, and our ability to commercialize any product candidates that receive regulatory approval on a timely and competitive basis.</w:t>
      </w:r>
    </w:p>
    <w:p>
      <w:pPr>
        <w:spacing w:after="0" w:line="9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Biological products are inherently difficult and time-consuming to manufacture. Our program materials are manufactured and tested using technically complex processes and/or methods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development, manufacturing or testing, may lead to an inability to manufacture our product candidate, resulting in delays in clinical development or commercialization plans. Any changes in the manufacturing of components of the raw materials we use for manufacturing or testing of</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our product candidates could result in unanticipated or unfavorable effects in our manufacturing processes or product quality or timelines, resulting in delays.</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delay, failure or inability to manufacture or test on a timely basis can impact the timelines for our clinical trials or our commercialization plans.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delay, failure or inability to manufacture or test can result from:</w:t>
      </w:r>
    </w:p>
    <w:p>
      <w:pPr>
        <w:spacing w:after="0" w:line="97" w:lineRule="exact"/>
        <w:rPr>
          <w:sz w:val="20"/>
          <w:szCs w:val="20"/>
          <w:color w:val="auto"/>
        </w:rPr>
      </w:pPr>
    </w:p>
    <w:p>
      <w:pPr>
        <w:jc w:val="both"/>
        <w:ind w:left="1140" w:hanging="504"/>
        <w:spacing w:after="0" w:line="250"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69"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68" w:lineRule="exact"/>
        <w:rPr>
          <w:rFonts w:ascii="Times New Roman" w:cs="Times New Roman" w:eastAsia="Times New Roman" w:hAnsi="Times New Roman"/>
          <w:sz w:val="18"/>
          <w:szCs w:val="18"/>
          <w:color w:val="auto"/>
        </w:rPr>
      </w:pPr>
    </w:p>
    <w:p>
      <w:pPr>
        <w:jc w:val="both"/>
        <w:ind w:left="1140" w:hanging="504"/>
        <w:spacing w:after="0" w:line="231"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manufacturing or testing slots from contract development and manufacturing organizations (including contract testing laboratories that perform cGMP operations), or CDMOs, or to have enough manufacturing slots to manufacture our product candidates to meet clinical or commercial requirements and demands;</w:t>
      </w:r>
    </w:p>
    <w:p>
      <w:pPr>
        <w:spacing w:after="0" w:line="6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EMA or other foreign or state regulatory inspection of the manufacturing or testing site;</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raw materials and reagents;</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depletion or performance degradation of the cell line starting material; and</w:t>
      </w:r>
    </w:p>
    <w:p>
      <w:pPr>
        <w:spacing w:after="0" w:line="76" w:lineRule="exact"/>
        <w:rPr>
          <w:rFonts w:ascii="Times New Roman" w:cs="Times New Roman" w:eastAsia="Times New Roman" w:hAnsi="Times New Roman"/>
          <w:sz w:val="18"/>
          <w:szCs w:val="18"/>
          <w:color w:val="auto"/>
        </w:rPr>
      </w:pPr>
    </w:p>
    <w:p>
      <w:pPr>
        <w:ind w:left="1140" w:right="20" w:hanging="504"/>
        <w:spacing w:after="0" w:line="250"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close-down of any manufacturing facility used in the manufacture of our product candidates, or the inability to find alternative manufacturing capability in a timely fashion.</w:t>
      </w:r>
    </w:p>
    <w:p>
      <w:pPr>
        <w:spacing w:after="0" w:line="51" w:lineRule="exact"/>
        <w:rPr>
          <w:sz w:val="20"/>
          <w:szCs w:val="20"/>
          <w:color w:val="auto"/>
        </w:rPr>
      </w:pPr>
    </w:p>
    <w:p>
      <w:pPr>
        <w:jc w:val="both"/>
        <w:ind w:firstLine="509"/>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biologics, and the manufacture of our product candidates is complex and subject to extensive regulations. If we or our contract manufacturers fail to comply with such regulations, regulatory authorities may impose sanctions or require remedial measures that could</w:t>
      </w: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be costly or time-consuming, and our ability to provide supply of our product candidates for clinical trials or any approved products could be delayed or stopped.</w:t>
      </w:r>
    </w:p>
    <w:p>
      <w:pPr>
        <w:spacing w:after="0" w:line="63"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 sale, including our existing contract manufacturers and testing facilities, labeling, packaging and storage facilities, and distributors, are subject to extensive regulation. Components of a finished therapeutic</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product approved for commercial sale or used in clinical trials must be manufactured, tested, and stored in accordance with cGMP. These regulations govern manufacturing processes and procedures (including record keeping) and the implementation and operation of quality systems to control and ensure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an EUA, BLA or MAA on a timely basis. Our facilities</w:t>
      </w:r>
    </w:p>
    <w:p>
      <w:pPr>
        <w:jc w:val="both"/>
        <w:spacing w:after="0" w:line="211" w:lineRule="auto"/>
        <w:rPr>
          <w:sz w:val="20"/>
          <w:szCs w:val="20"/>
          <w:color w:val="auto"/>
        </w:rPr>
      </w:pPr>
      <w:r>
        <w:rPr>
          <w:rFonts w:ascii="Times New Roman" w:cs="Times New Roman" w:eastAsia="Times New Roman" w:hAnsi="Times New Roman"/>
          <w:sz w:val="18"/>
          <w:szCs w:val="18"/>
          <w:color w:val="auto"/>
        </w:rPr>
        <w:t>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regulatory authorities may, at any time, audit or inspect us or any of our contract manufacturing, testing, and storage facilities involved with the preparation of our product candidates or our other potential products or the associated quality systems for compliance with the regulations applicable to the activities being conducted, and they could put a hold on one or more of our clinical trials (or could delay authorization of an EUA or approval of a BLA or MAA) if</w:t>
      </w:r>
    </w:p>
    <w:p>
      <w:pPr>
        <w:jc w:val="both"/>
        <w:spacing w:after="0" w:line="211" w:lineRule="auto"/>
        <w:rPr>
          <w:sz w:val="20"/>
          <w:szCs w:val="20"/>
          <w:color w:val="auto"/>
        </w:rPr>
      </w:pPr>
      <w:r>
        <w:rPr>
          <w:rFonts w:ascii="Times New Roman" w:cs="Times New Roman" w:eastAsia="Times New Roman" w:hAnsi="Times New Roman"/>
          <w:sz w:val="18"/>
          <w:szCs w:val="18"/>
          <w:color w:val="auto"/>
        </w:rPr>
        <w:t>the facilities or quality systems of our or any of our CDMOs do not pass such audit or inspections. Certain of our CDMO’s facilities have not yet been inspected by regulatory authorities. If any of our CDMO’s facilities do not pass a pre-approval or other plant inspection, FDA or EMA approval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authorization under EUA) of the products will not be granted.</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regulatory authorities also may, at any time following approval of a product for sale, inspect or audit us or our CDMO’s manufacturing facilities</w:t>
      </w:r>
    </w:p>
    <w:p>
      <w:pPr>
        <w:spacing w:after="0" w:line="14"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or those of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CDMOs fail to maintain regulatory compliance, the</w:t>
      </w:r>
    </w:p>
    <w:p>
      <w:pPr>
        <w:jc w:val="both"/>
        <w:spacing w:after="0" w:line="211" w:lineRule="auto"/>
        <w:rPr>
          <w:sz w:val="20"/>
          <w:szCs w:val="20"/>
          <w:color w:val="auto"/>
        </w:rPr>
      </w:pPr>
      <w:r>
        <w:rPr>
          <w:rFonts w:ascii="Times New Roman" w:cs="Times New Roman" w:eastAsia="Times New Roman" w:hAnsi="Times New Roman"/>
          <w:sz w:val="18"/>
          <w:szCs w:val="18"/>
          <w:color w:val="auto"/>
        </w:rPr>
        <w:t>FDA or EMA can impose regulatory sanctions, including, among other things, refusal to approve a pending application for a new drug product, or revocation of a pre-existing approval. As a result, our business, financial condition and results of operations may be harmed. Additionally, if supply from</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one approved manufacturer is interrupted, there could be a significant disruption in commercial supply. An alternative manufacturer would need to be qualified and approved through a BLA and/or MAA supplement, which could result in further delay. The regulatory agencies may also require additional</w:t>
      </w:r>
    </w:p>
    <w:p>
      <w:pPr>
        <w:jc w:val="both"/>
        <w:spacing w:after="0" w:line="226" w:lineRule="auto"/>
        <w:rPr>
          <w:sz w:val="20"/>
          <w:szCs w:val="20"/>
          <w:color w:val="auto"/>
        </w:rPr>
      </w:pPr>
      <w:r>
        <w:rPr>
          <w:rFonts w:ascii="Times New Roman" w:cs="Times New Roman" w:eastAsia="Times New Roman" w:hAnsi="Times New Roman"/>
          <w:sz w:val="18"/>
          <w:szCs w:val="18"/>
          <w:color w:val="auto"/>
        </w:rPr>
        <w:t>studies if a new manufacturer is relied upon for commercial production. Switching manufacturers may involve substantial costs and is likely to result in a delay in our desired commercial timelines.</w:t>
      </w:r>
    </w:p>
    <w:p>
      <w:pPr>
        <w:spacing w:after="0" w:line="63"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approved, or could delay commercial supply once approved. Furthermore, if our suppliers fail to meet contractual requirements, and we are unable to secure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7" w:name="page58"/>
    <w:bookmarkEnd w:id="57"/>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one or more replacement suppliers capable of production at a substantially equivalent cost, our clinical trials or commercial launch may be delayed or we could lose potential revenue.</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manufacture, test, label, package and store clinical and commercial supplies of our product candidates.</w:t>
      </w:r>
    </w:p>
    <w:p>
      <w:pPr>
        <w:spacing w:after="0" w:line="10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We are currently manufacturing, testing, labeling, packaging and storing our product candidates in partnership with CDMOs. We do not own or operate any facilities for product manufacturing, labeling, packaging, storage and distribution or testing. We are dependent on third parties to manufacture, label, package, store, and distribute the clinical and commercial supplies of our current and any future product candidates. We have established a relationship with WuXi to manufacture adintrevimab for supply under EUA (if authorized), BLA or MAA. Certain of our product candidates may have to compete with existing and future products, such as the annual influenza vaccine, that may have a lower price point. The actual cost to manufacture our product candidates could materially and adversely affect the commercial viability of our product candidates.</w:t>
      </w:r>
    </w:p>
    <w:p>
      <w:pPr>
        <w:spacing w:after="0" w:line="7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facilities used by our contract manufacturers and contract testing labs to manufacture and test our product candidates must be approved by the FDA pursuant to inspections that will be conducted after we submit our EUA or BLA to the FDA. We do not control the manufacturing process of, and are completely dependent on, our contract manufacturing partners for compliance with the cGMP requirements. If our contract manufacturers cannot successfully manufacture material that conforms to our specifications and the strict regulatory requirements of the FDA or others, we will not be able to secure and/or maintain regulatory approval for our product candidates. In addition, we have limited control over the ability of our contract manufacturers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also intend to rely on third-party manufacturers to supply us with sufficient quantities of our product candidates to be used, if approved, for commercialization. If we are not able to meet market demand for any 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engaged WuXi for development and generation of the production cell line starting material for adintrevimab manufacturing.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6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addition, we currently rely on WuXi's China-based facilities for adintrevimab clinical and commercial supply, and supply under EUA, if authorized. We will likely continue to rely on foreign CDMOs in the future. Foreign CDMOs may be subject to trade restrictions and other foreign regulatory requirements, which could increase the cost or reduce the supply of material available to us, delay the procurement of such material or delay or prevent the shipment of material out of the foreign country to the United States.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w:t>
      </w:r>
    </w:p>
    <w:p>
      <w:pPr>
        <w:spacing w:after="0" w:line="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Further, our reliance on third parties for manufacturing, testing, labeling, packaging and storing our product candidates entails risks to which we would not be subject if we manufactured, tested, labeled, packaged and stored our product candidates ourselves, including:</w:t>
      </w:r>
    </w:p>
    <w:p>
      <w:pPr>
        <w:spacing w:after="0" w:line="54" w:lineRule="exact"/>
        <w:rPr>
          <w:sz w:val="20"/>
          <w:szCs w:val="20"/>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sufficient manufacturing capacity;</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our third-party manufacturers to execute our manufacturing procedures and other logistical support requirements appropriately;</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additional manufacturing agreements with third parties under commercially reasonable terms, if at all;</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termination or nonrenewal of manufacturing agreements with third parties in a manner or at a time that is costly or damaging to us;</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ownership of the intellectual property rights in any improvements made by our third-party manufacturers in the manufacturing process for our product candidates; and</w:t>
      </w:r>
    </w:p>
    <w:p>
      <w:pPr>
        <w:spacing w:after="0" w:line="40"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operations of our third-party manufacturers or suppliers by conditions unrelated to our business or operations, including the bankruptcy of the manufacturer or supplier.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8" w:name="page59"/>
    <w:bookmarkEnd w:id="58"/>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We cannot be sure that single-source suppliers for our manufacturing raw materials will remain in business, will not be subject to regulatory actions that impede our procurement of raw materials, or will not be purchased by one of our competitors or another company that is not interested in continuing to produce these raw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delays resulting in supply disruptions, diversion of resources or reduced manufacturing yields, any of which would adversely impact our business, financial condition and results of operations.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regulatory approval or impact our ability to successfully commercialize our current or any future product candidates, if authorized under EUA or approved. Some of these events could be the basis for FDA action, including injunction, request for recall, seizure or total or partial suspension of production.</w:t>
      </w:r>
    </w:p>
    <w:p>
      <w:pPr>
        <w:spacing w:after="0" w:line="6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July 2021, we entered into a license agreement with Biocon Biologics Limited (“Biocon”) to combat COVID-19 in Southern Asia. Under the license agreement, we will provide Biocon materials and know-how to manufacture and commercialize an antibody treatment based on adintrevimab in India and select emerging markets. Biocon’s ability to successfully manufacture in those territories may be restricted by foreign regulatory requirements.</w:t>
      </w:r>
    </w:p>
    <w:p>
      <w:pPr>
        <w:spacing w:after="0" w:line="5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depend on sole-source third-party suppliers for materials that are necessary for the conduct of preclinical studies and manufacture and testing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6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Manufacturing and testing our product candidates require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and testing of our product candidates. For example, we are reliant on WuXi as the procurer of the raw materials used in the manufacture of our product candidates, including certain single-source purification resins and cell culture media, which increases the risk of delays in production. In addition, to date, we have relied on WuXi as our only CDMO. The loss of this CDMO or its failure to supply us with material to support our commercial development program on a timely basis could impair our ability to develop our product candidates or otherwise delay the development process, which could adversely affect our business, financial condition and results of operations.</w:t>
      </w:r>
    </w:p>
    <w:p>
      <w:pPr>
        <w:spacing w:after="0" w:line="7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Some of our CDMO’s raw material suppliers may not have the capacity to support clinical and commercial products manufactured under cGMP by biopharmaceutical firms or may otherwise be ill-equipped to support our needs. We also do not have supply contracts with many of these suppliers directly, and we or our CDMOs may not be able to obtain supply contracts with them on acceptable terms or at all. Accordingly, we or our CDMOs may experience delays in receiving key raw materials and equipment to support clinical or commercial manufacturing.</w:t>
      </w:r>
    </w:p>
    <w:p>
      <w:pPr>
        <w:spacing w:after="0" w:line="69"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For some of these specialty materials, we and our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key suppliers or manufacturers are lost, or if the supply of the materials is diminished or discontinued, we may not be able to develop, test,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9" w:name="page60"/>
    <w:bookmarkEnd w:id="59"/>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depend may be adversely affected by earthquakes, wildfires or other natural and manmade disasters, and our business continuity and disaster recovery plans may not adequately protect us from a serious disaster.</w:t>
      </w:r>
    </w:p>
    <w:p>
      <w:pPr>
        <w:spacing w:after="0" w:line="3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medical epidemics or pandemics, power shortage, telecommunication failure, armed conflict,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 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72"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6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Given the nature of monoclonal antibody manufacturing, there is a risk of contamination, including in the manufacture of raw materials and in the manufacturing of our product candidates, or in the manufacturing or testing facility itself. Any contamination could adversely affect our ability to supply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or testing of our product candidates could adversely impact or disrupt the supply of commercial or clinical material, which could adversely affect our development timelines and our business, financial condition, results of operations and prospects.</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08"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development or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 on a number of factors, including:</w:t>
      </w:r>
    </w:p>
    <w:p>
      <w:pPr>
        <w:spacing w:after="0" w:line="70" w:lineRule="exact"/>
        <w:rPr>
          <w:sz w:val="20"/>
          <w:szCs w:val="20"/>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 including oral options;</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76" w:lineRule="exact"/>
        <w:rPr>
          <w:rFonts w:ascii="Times New Roman" w:cs="Times New Roman" w:eastAsia="Times New Roman" w:hAnsi="Times New Roman"/>
          <w:sz w:val="18"/>
          <w:szCs w:val="18"/>
          <w:color w:val="auto"/>
        </w:rPr>
      </w:pPr>
    </w:p>
    <w:p>
      <w:pPr>
        <w:ind w:left="1140" w:hanging="504"/>
        <w:spacing w:after="0" w:line="250"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60" w:name="page61"/>
    <w:bookmarkEnd w:id="60"/>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a sales force in the United States;</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adintrevimab and any other product candidates, once approved;</w:t>
      </w:r>
    </w:p>
    <w:p>
      <w:pPr>
        <w:spacing w:after="0" w:line="9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76" w:lineRule="exact"/>
        <w:rPr>
          <w:rFonts w:ascii="Times New Roman" w:cs="Times New Roman" w:eastAsia="Times New Roman" w:hAnsi="Times New Roman"/>
          <w:sz w:val="18"/>
          <w:szCs w:val="18"/>
          <w:color w:val="auto"/>
        </w:rPr>
      </w:pPr>
    </w:p>
    <w:p>
      <w:pPr>
        <w:ind w:left="1140" w:right="20" w:hanging="504"/>
        <w:spacing w:after="0" w:line="250"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 or requirements that our products be used in combination with other products;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be effective against emerging variants as a monotherapy or combination therapy.</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for adintrevimab or any other product candidate that may receive regulatory approval, we may not be successful in commercializing those product candidates if and when they are approved.</w:t>
      </w:r>
    </w:p>
    <w:p>
      <w:pPr>
        <w:spacing w:after="0" w:line="37"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We are currently establishing our commercial infrastructure to support the anticipated marketing and distribution of our product candidates, which we will need to achieve commercial success for adintrevimab or any other product candidate for which we may obtain marketing approval. There are risks involved with establishing our commercial infrastructure. For example, hiring a contract sales force or recruiting and training a sales force in the future is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expensive and time consuming and could delay any product launch. If the commercial launch of a product candidate for which we hire a contract sales force or recruit a sales force and establish marketing capabilities is delayed or does not occur for any reason, we would have prematurely or unnecessarily</w:t>
      </w:r>
    </w:p>
    <w:p>
      <w:pPr>
        <w:spacing w:after="0" w:line="1"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8"/>
          <w:szCs w:val="18"/>
          <w:color w:val="auto"/>
        </w:rPr>
        <w:t>incurred these commercialization expenses. This may be costly, and our investment would be lost if we cannot retain or reposition our sales and marketing personnel.</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market our products on our own include:</w:t>
      </w:r>
    </w:p>
    <w:p>
      <w:pPr>
        <w:spacing w:after="0" w:line="104" w:lineRule="exact"/>
        <w:rPr>
          <w:sz w:val="20"/>
          <w:szCs w:val="20"/>
          <w:color w:val="auto"/>
        </w:rPr>
      </w:pPr>
    </w:p>
    <w:p>
      <w:pPr>
        <w:ind w:left="1140" w:hanging="504"/>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approved;</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independent sales, marketing and market access organizations.</w:t>
      </w:r>
    </w:p>
    <w:p>
      <w:pPr>
        <w:spacing w:after="0" w:line="117"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83"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adintrevimab or our other product candidates may be smaller than we or third parties currently project, which may affect our ability to enroll our clinical trials as well as the addressable markets for our product candidates.</w:t>
      </w:r>
    </w:p>
    <w:p>
      <w:pPr>
        <w:spacing w:after="0" w:line="5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Our projections of the number of people who are candidates to receive COVID-19 preventatives and treatments are estimates based on our knowledge and understanding of this disease. These estimates may prove to be incorrect and new studies may further reduce the estimated incidence or prevalence of this disease. The number of COVID-19 patients in the United States, the European Union and elsewhere may turn out to be lower than expected, and patients may not be otherwise amenable to treatment with our product candidates or may become increasingly difficult to identify and access, all of which would adversely affect our ability to enroll our clinical trials and our business, financial condition, results of operations and prospects. Further, even if we obtain approval for our product candidates, the FDA or other regulators may limit their approved indications to more narrow uses or subpopulations within the populations for which we are targeting development of our product candidates.</w:t>
      </w:r>
    </w:p>
    <w:p>
      <w:pPr>
        <w:spacing w:after="0" w:line="7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 decline, or a widespread perception of a decline, in the spread or severity of the ongoing COVID-19 pandemic, including disease due to variants with relative or absolute resistance to other products, or an increase in available alternative therapies for or widespread immunity to COVID-19, could reduce the total addressable market for our lead product candidate for the prevention and treatment of COVID-19. Similarly, if new SARS-CoV-2 variants are less impacted by adintrevimab and its mechanism of action than expected and such variants become more prevalent in the ongoing pandemic, the number of patients that we will be able to successfully treat with adintrevimab, if approved, will be decreased.</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1" w:name="page62"/>
    <w:bookmarkEnd w:id="61"/>
    <w:p>
      <w:pPr>
        <w:jc w:val="both"/>
        <w:spacing w:after="0" w:line="247" w:lineRule="auto"/>
        <w:rPr>
          <w:sz w:val="20"/>
          <w:szCs w:val="20"/>
          <w:color w:val="auto"/>
        </w:rPr>
      </w:pPr>
      <w:r>
        <w:rPr>
          <w:rFonts w:ascii="Times New Roman" w:cs="Times New Roman" w:eastAsia="Times New Roman" w:hAnsi="Times New Roman"/>
          <w:sz w:val="18"/>
          <w:szCs w:val="18"/>
          <w:color w:val="auto"/>
        </w:rPr>
        <w:t>information and assumptions that are not exact and may not be appropriate, and the methodology is forward-looking and speculative. The process we have used in developing an estimated total addressable market range for the indications we are targeting has involved using a third party to model the future populations susceptible to and immune from SARS-CoV-2, based on assumptions such as vaccine adoption, efficacy, duration of effect, viral infectiousness and other factors we cannot control. Accordingly, these estimates included in this filing may turn out to be inaccurate. Further, the data and statistical information used in this Quarterly Report, and in our other filings with the SEC, including estimates derived from them, may differ from information and estimates made by our competitors or from current or future studies conducted by independent sources.</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3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If our product candidates are approved by the FDA, we may only promote or market our product candidates for their specifically approved indications. We will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might require significant financial and management resources and that could harm our reputation.</w:t>
      </w:r>
    </w:p>
    <w:p>
      <w:pPr>
        <w:spacing w:after="0" w:line="7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U.S. Federal Trade Commission, the Department of Justice (the “DOJ”), the Office of Inspector General of HHS, state attorneys general, members of the U.S. Congress, and the public. Additionally, advertising and promotion of any product candidate that obtains approval outside of the United States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 information to healthcare practitioners, injunctions, or civil or criminal penalties.</w:t>
      </w:r>
    </w:p>
    <w:p>
      <w:pPr>
        <w:spacing w:after="0" w:line="69"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Adintrevimab and our other monoclonal antibody product candidates may face significant competition from vaccines, antiviral agents and other therapeutics for COVID-19 that are currently available or in development.</w:t>
      </w:r>
    </w:p>
    <w:p>
      <w:pPr>
        <w:spacing w:after="0" w:line="3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Many biotechnology and pharmaceutical companies are developing therapeutics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vaccines and therapeutics for the prevention or treatment of COVID-19 developed or marketed by other companies, many of which are large, established biotechnology and pharmaceutical companies. Many of these companies have also been successful in securing government funding to support research and development and/or manufacturing of their product candidates as well as government contracts to purchase their supply orders. Additional vaccines and therapeutics are in development by other pharmaceutical and biopharmaceutical companies. Given the products currently approved or authorized for use as well as those in development by others, any therapies we may develop could face significant competition. If any other company develops therapeutics more rapidly or effectively than we do, develops a therapeutic that becomes the standard of care, develops a therapeutic at a lower cost or is more successful at commercializing an approved therapeutic, we may not be able to successfully commercialize adintrevimab for the prevention and treatment of symptomatic COVID-19, even if approved, or compete with other therapeutics or vaccines, which could adversely impact our business and operations.</w:t>
      </w:r>
    </w:p>
    <w:p>
      <w:pPr>
        <w:spacing w:after="0" w:line="8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approvals of those product candidates in the United States and in foreign countries. Our current and potential future competitors may also have significantly more experience commercializing drugs, particularly monoclonal antibodies and other biological products, that have been approved for marketing. Furthermore, a number of our competitors have received government contracts to support research and development of their product candidates and supply orders. Mergers and acquisitions in the pharmaceutical and biotechnology industries could result in even more resources being concentrated among a small number of our competitors.</w:t>
      </w:r>
    </w:p>
    <w:p>
      <w:pPr>
        <w:spacing w:after="0" w:line="7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will face competition from other drugs or from other non-drug products currently approved or that will be approved in the future for the treatment of diseases we intend to target. Therefore, our ability to compete successfully will depend largely on our ability to:</w:t>
      </w:r>
    </w:p>
    <w:p>
      <w:pPr>
        <w:spacing w:after="0" w:line="40" w:lineRule="exact"/>
        <w:rPr>
          <w:sz w:val="20"/>
          <w:szCs w:val="20"/>
          <w:color w:val="auto"/>
        </w:rPr>
      </w:pPr>
    </w:p>
    <w:p>
      <w:pPr>
        <w:ind w:left="1140" w:hanging="50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drugs that are differentiated from products in the market;</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our clinical trials that our product candidates are differentiated from existing and future therapies;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product development and commercial personnel;</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2" w:name="page63"/>
    <w:bookmarkEnd w:id="62"/>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medicines;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regulatory approvals;</w:t>
      </w:r>
    </w:p>
    <w:p>
      <w:pPr>
        <w:spacing w:after="0" w:line="103"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placement in COVID-19 prevention and treatment guidelines from organizations such as the National Institutes of Health (the “NIH”), the Centers for Disease Control and Prevention (the “CDC”), WHO and the Infectious Diseases Society of America (the “IDSA”), and equivalent European guidelines;</w:t>
      </w:r>
    </w:p>
    <w:p>
      <w:pPr>
        <w:spacing w:after="0" w:line="61"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 and</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in the discovery, development and commercialization of new medicines.</w:t>
      </w:r>
    </w:p>
    <w:p>
      <w:pPr>
        <w:spacing w:after="0" w:line="11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monoclonal antibodies by other companies could impact the anticipated reimbursement structure of our monoclonal antibodies, if approved, and our business, financial condition, results of operations and prospects.</w:t>
      </w:r>
    </w:p>
    <w:p>
      <w:pPr>
        <w:spacing w:after="0" w:line="86"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Government entities, such as the CDC, NIH, the WHO and non-government professional societies, such as the IDSA and the European Society of Clinical Microbiology and Infectious Diseases (the “ESCMID”) may produce treatment and/or prevention guidelines for COVID-19, including the use of monoclonal antibodies for these indications. If adintrevimab fails to be added to these guidelines, or if it receives poor positioning within those guidelines, payors and other customers may be less inclined to add adintrevimab to their formularies and/or prescribe adintrevimab, significantly reducing demand for adintrevimab, if approved.</w:t>
      </w:r>
    </w:p>
    <w:p>
      <w:pPr>
        <w:spacing w:after="0" w:line="7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Adintrevimab may have to compete against products with Advance Purchase Agreements (“APAs”) from the U.S. Federal Government.</w:t>
      </w:r>
    </w:p>
    <w:p>
      <w:pPr>
        <w:spacing w:after="0" w:line="94"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In an EUA environment where the U.S. federal government signs an Advance Purchase Agreement with a manufacturer for a specific number of doses at a fixed price, product distribution is overseen by federal and state governments and product is ordered by institutions, prescribed by physicians and administered in a variety of settings. Product is free to the institutions and patients, but patients can be billed for administration costs. Currently, all oral</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antivirals and monoclonal antibodies are made available under APAs. Only Gilead's intravenous antiviral, remdesivir, which received full FDA approval for treatment of non-hospitalized patients (12 years of age or older) at high risk for COVID-19 disease progression in January 2022, is available under a</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standard purchase model where hospitals, clinics, and other institutions purchase product through distributors. In this environment, we may not qualify for a U.S. federal government contract. U.S. federal government contracts require contractors to meet a substantial number of qualifications, which we may not be able to meet, resulting in our inability to secure a federal contract. Additionally, our primary contract manufacturer is based in China, and the 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government may decide to avoid contracting with companies who have drug substance produced in China.</w:t>
      </w:r>
    </w:p>
    <w:p>
      <w:pPr>
        <w:spacing w:after="0" w:line="70" w:lineRule="exact"/>
        <w:rPr>
          <w:sz w:val="20"/>
          <w:szCs w:val="20"/>
          <w:color w:val="auto"/>
        </w:rPr>
      </w:pPr>
    </w:p>
    <w:p>
      <w:pPr>
        <w:jc w:val="both"/>
        <w:ind w:firstLine="509"/>
        <w:spacing w:after="0" w:line="232" w:lineRule="auto"/>
        <w:rPr>
          <w:sz w:val="20"/>
          <w:szCs w:val="20"/>
          <w:color w:val="auto"/>
        </w:rPr>
      </w:pPr>
      <w:r>
        <w:rPr>
          <w:rFonts w:ascii="Times New Roman" w:cs="Times New Roman" w:eastAsia="Times New Roman" w:hAnsi="Times New Roman"/>
          <w:sz w:val="18"/>
          <w:szCs w:val="18"/>
          <w:color w:val="auto"/>
        </w:rPr>
        <w:t>In an EUA environment where the U.S. federal government does not sign an APA, manufacturers follow a standard commercial model in which they sell product to wholesalers and/or distributors that ship the product to various sites of care. Under a standard commercial model, provider institutions and clinics can bill health plans for product. GlaxoSmithKline and Vir Biotechnology’s sotrovimab was granted an EUA in May 2021 but did not receive an APA until November 2021; GlaxoSmithKline and Vir Biotechnology operated under a standard commercial model before receiving an APA.</w:t>
      </w:r>
    </w:p>
    <w:p>
      <w:pPr>
        <w:spacing w:after="0" w:line="5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If adintrevimab does not receive an APA but competes against products that do have an APA, adoption of adintrevimab could be limited because it would be competing against drugs that are paid for by the federal government and cost nothing to the purchasers or the patients.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intend to seek approval as biologic products may face biosimilar competition sooner than anticipated.</w:t>
      </w:r>
    </w:p>
    <w:p>
      <w:pPr>
        <w:spacing w:after="0" w:line="94" w:lineRule="exact"/>
        <w:rPr>
          <w:sz w:val="20"/>
          <w:szCs w:val="20"/>
          <w:color w:val="auto"/>
        </w:rPr>
      </w:pPr>
    </w:p>
    <w:p>
      <w:pPr>
        <w:jc w:val="both"/>
        <w:ind w:right="20" w:firstLine="509"/>
        <w:spacing w:after="0" w:line="222" w:lineRule="auto"/>
        <w:rPr>
          <w:sz w:val="20"/>
          <w:szCs w:val="20"/>
          <w:color w:val="auto"/>
        </w:rPr>
      </w:pPr>
      <w:r>
        <w:rPr>
          <w:rFonts w:ascii="Times New Roman" w:cs="Times New Roman" w:eastAsia="Times New Roman" w:hAnsi="Times New Roman"/>
          <w:sz w:val="18"/>
          <w:szCs w:val="18"/>
          <w:color w:val="auto"/>
        </w:rPr>
        <w:t>If we are successful in achieving regulatory approval to commercialize any biologic product candidate that we develop, it may face competition from biosimilar products. In the United States, our product candidates are regulated by the FDA as biologic products subject to approval under the BLA</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pathway. The Patient Protection and Affordable Care Act, as amended by the Health Care and Education Reconciliation Act (collectively, the “ACA”) includes a subtitle called the Biologics Price Competition and Innovation Act of 2009 (the “BPCIA”), which created an abbreviated approval pathway for biological products that are biosimilar to or interchangeable with an FDA-licensed reference biological product. Under the BPCIA, an application for a</w:t>
      </w:r>
    </w:p>
    <w:p>
      <w:pPr>
        <w:jc w:val="both"/>
        <w:spacing w:after="0" w:line="211" w:lineRule="auto"/>
        <w:rPr>
          <w:sz w:val="20"/>
          <w:szCs w:val="20"/>
          <w:color w:val="auto"/>
        </w:rPr>
      </w:pPr>
      <w:r>
        <w:rPr>
          <w:rFonts w:ascii="Times New Roman" w:cs="Times New Roman" w:eastAsia="Times New Roman" w:hAnsi="Times New Roman"/>
          <w:sz w:val="18"/>
          <w:szCs w:val="18"/>
          <w:color w:val="auto"/>
        </w:rPr>
        <w:t>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licensed by the FDA. During this 12-year period of exclusivity, another company may still market a competing version of the reference product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3" w:name="page64"/>
    <w:bookmarkEnd w:id="63"/>
    <w:p>
      <w:pPr>
        <w:jc w:val="both"/>
        <w:spacing w:after="0" w:line="232" w:lineRule="auto"/>
        <w:rPr>
          <w:sz w:val="20"/>
          <w:szCs w:val="20"/>
          <w:color w:val="auto"/>
        </w:rPr>
      </w:pPr>
      <w:r>
        <w:rPr>
          <w:rFonts w:ascii="Times New Roman" w:cs="Times New Roman" w:eastAsia="Times New Roman" w:hAnsi="Times New Roman"/>
          <w:sz w:val="18"/>
          <w:szCs w:val="18"/>
          <w:color w:val="auto"/>
        </w:rPr>
        <w:t>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50"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8"/>
          <w:szCs w:val="18"/>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in foreign nations. Such waiver, if implemented, could extend to our product candidates. Other aspects of the BPCIA, some of which may impact the BPCIA exclusivity provisions, have also been the subject of recent litigation. Moreover, the extent to which a biosimilar, once approved, will be substituted</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for any one of our reference products in a way that is similar to traditional generic substitution for non-biological products is not yet clear, and will depend on a number of marketplace and regulatory factors that are still developing. If competitors are able to obtain marketing approval for biosimilars referencing</w:t>
      </w:r>
    </w:p>
    <w:p>
      <w:pPr>
        <w:jc w:val="both"/>
        <w:spacing w:after="0" w:line="226" w:lineRule="auto"/>
        <w:rPr>
          <w:sz w:val="20"/>
          <w:szCs w:val="20"/>
          <w:color w:val="auto"/>
        </w:rPr>
      </w:pPr>
      <w:r>
        <w:rPr>
          <w:rFonts w:ascii="Times New Roman" w:cs="Times New Roman" w:eastAsia="Times New Roman" w:hAnsi="Times New Roman"/>
          <w:sz w:val="18"/>
          <w:szCs w:val="18"/>
          <w:color w:val="auto"/>
        </w:rPr>
        <w:t>our candidates, if approved, our products may become subject to competition from such biosimilars, with the attendant competitive pressure and potential adverse consequences.</w:t>
      </w:r>
    </w:p>
    <w:p>
      <w:pPr>
        <w:spacing w:after="0" w:line="72"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will depend significantly on coverage and adequate reimbursement or the willingness of patients to pay for these therapies.</w:t>
      </w:r>
    </w:p>
    <w:p>
      <w:pPr>
        <w:spacing w:after="0" w:line="37"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believe our success depends on obtaining and maintaining coverage and adequate reimbursement for our product candidates, including adintrevimab for the prevention and treatment of COVID-19,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(“CMS”), an agency within HHS. CMS decides whether and to what extent products will be covered and reimbursed under Medicare and private payors tend to follow CMS to a substantial degree.</w:t>
      </w:r>
    </w:p>
    <w:p>
      <w:pPr>
        <w:spacing w:after="0" w:line="98"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and other healthcare professionals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7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the IDSA and the ESCMID, may produce treatment and/or prevention guidelines for the prevention and treatment of COVID-19, including guidance regarding the use of monoclonal antibodies in these indications. If adintrevimab fails to be added to these guidelines, or if it receives poor positioning within these guidelines, payors and other customers may be less inclined to add adintrevimab to their formularies, significantly reducing demand for adintrevimab, if approved.</w:t>
      </w:r>
    </w:p>
    <w:p>
      <w:pPr>
        <w:spacing w:after="0" w:line="7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18"/>
          <w:szCs w:val="18"/>
          <w:color w:val="auto"/>
        </w:rPr>
        <w:t>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6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There can be no assurance that adintrevimab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6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3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61" w:lineRule="exact"/>
        <w:rPr>
          <w:sz w:val="20"/>
          <w:szCs w:val="20"/>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drugs that we may develop;</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0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6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a deficiency in our or our CDMO’s, CROs’, manufacturers’ contractors’, consultants’ or collaborators’ cybersecurity.</w:t>
      </w:r>
    </w:p>
    <w:p>
      <w:pPr>
        <w:spacing w:after="0" w:line="6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Maintaining the security of our computer information systems and communication systems is a critical issue for us and we devote considerable internal and external resources to network security and other security measures to protect our systems and users, but these security measures cannot provide absolute security. The multitude and complexity of our computer systems may make them susceptible to service interruption, breaches of security, disruption of data integrity, inadvertent errors that expose our data or systems, malicious intrusion, or random attacks.</w:t>
      </w:r>
    </w:p>
    <w:p>
      <w:pPr>
        <w:spacing w:after="0" w:line="56"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Our internal computer systems, and those of third parties on which we rely, are also vulnerable to damage from, among other things, computer viruses, malware, natural disasters, terrorism, war, telecommunication and electrical failures, system malfunctions, cyberattacks or cyber-intrusions over</w:t>
      </w:r>
    </w:p>
    <w:p>
      <w:pPr>
        <w:spacing w:after="0" w:line="1" w:lineRule="exact"/>
        <w:rPr>
          <w:sz w:val="20"/>
          <w:szCs w:val="20"/>
          <w:color w:val="auto"/>
        </w:rPr>
      </w:pPr>
    </w:p>
    <w:p>
      <w:pPr>
        <w:jc w:val="both"/>
        <w:ind w:right="20"/>
        <w:spacing w:after="0" w:line="211" w:lineRule="auto"/>
        <w:rPr>
          <w:sz w:val="20"/>
          <w:szCs w:val="20"/>
          <w:color w:val="auto"/>
        </w:rPr>
      </w:pPr>
      <w:r>
        <w:rPr>
          <w:rFonts w:ascii="Times New Roman" w:cs="Times New Roman" w:eastAsia="Times New Roman" w:hAnsi="Times New Roman"/>
          <w:sz w:val="18"/>
          <w:szCs w:val="18"/>
          <w:color w:val="auto"/>
        </w:rPr>
        <w:t>the Internet, attachments to emails, phishing attacks, persons inside our organization, or persons with access to systems inside our organization. We have in the past and may in the future identify defects, errors, or vulnerabilities, which could inadvertently permit access to or exposure of customer data. The risk</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of a security incident, breach or disruption, particularly through cyberattacks or cyber intrusion, including by computer hackers, foreign governments and cyber terrorists, has generally increased as the number, intensity and sophistication of attempted attacks and intrusions from around the world have</w:t>
      </w:r>
    </w:p>
    <w:p>
      <w:pPr>
        <w:jc w:val="both"/>
        <w:spacing w:after="0" w:line="211" w:lineRule="auto"/>
        <w:rPr>
          <w:sz w:val="20"/>
          <w:szCs w:val="20"/>
          <w:color w:val="auto"/>
        </w:rPr>
      </w:pPr>
      <w:r>
        <w:rPr>
          <w:rFonts w:ascii="Times New Roman" w:cs="Times New Roman" w:eastAsia="Times New Roman" w:hAnsi="Times New Roman"/>
          <w:sz w:val="18"/>
          <w:szCs w:val="18"/>
          <w:color w:val="auto"/>
        </w:rPr>
        <w:t>increased. For example, the ongoing conflict between Russia and Ukraine has led to an increase in cyberattacks on the Ukraine, including its government, companies, institutions and people, as well on the financial and communications infrastructure of other countries, companies and individuals therein. If any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such event were to occur,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w:t>
      </w: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programs. For example, the loss of clinical trial data from completed or ongoing or planned clinical trials could result in delays in our regulatory approval efforts and significantly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5" w:name="page66"/>
    <w:bookmarkEnd w:id="65"/>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increase our costs to recover or reproduce the data. Additionally, such events could lead to an interruption in our supply chain for the manufacturing of clinical and commercial drug substance and drug product, as well as related materials, and could significantly impact development and commercialization timelines and capabilities.</w:t>
      </w:r>
    </w:p>
    <w:p>
      <w:pPr>
        <w:spacing w:after="0" w:line="64"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We cannot ensure that our data protection efforts and our investment in information technology, or the efforts or investments of CDMOs, CROs, consultants or other third parties with which we work, will prevent breakdowns or breaches in our or their systems or other cybersecurity incidents that</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w:t>
      </w:r>
    </w:p>
    <w:p>
      <w:pPr>
        <w:jc w:val="both"/>
        <w:spacing w:after="0" w:line="211" w:lineRule="auto"/>
        <w:rPr>
          <w:sz w:val="20"/>
          <w:szCs w:val="20"/>
          <w:color w:val="auto"/>
        </w:rPr>
      </w:pPr>
      <w:r>
        <w:rPr>
          <w:rFonts w:ascii="Times New Roman" w:cs="Times New Roman" w:eastAsia="Times New Roman" w:hAnsi="Times New Roman"/>
          <w:sz w:val="18"/>
          <w:szCs w:val="18"/>
          <w:color w:val="auto"/>
        </w:rPr>
        <w:t>also have a material adverse effect on our business. Controls employed by our information technology department and our CDMOs, CROs, consultants and other third parties could prove inadequate, and our ability to monitor such third parties’ data security practices is limited. Due to applicable laws, rules,</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regulations and standards or contractual obligations, we may be held responsible for any information security failure or cyberattack attributed to our third-party service providers as they relate to the information we share with them.</w:t>
      </w:r>
    </w:p>
    <w:p>
      <w:pPr>
        <w:spacing w:after="0" w:line="7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disruption or security breach was to result in a loss of or damage to our data or applications, or inappropriate disclosure of confidential or proprietary information or personal data, we could incur material legal claims and liability and damage to our reputation,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8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effects of a security breach or privacy violation could be further amplified during the current COVID-19 pandemic. In addition, the cost and operational consequences of implementing further data protection measures could be significant, and theft of our intellectual property or proprietary business information could require substantial expenditures to remedy. Further, we cannot be certain that our liability insurance will be sufficient in type or amount to cover us against claims related to security breaches, cyberattacks and other related breaches, such coverage will cover any indemnification claims against us relating to any incident, will continue to be available to us on economically reasonable terms, or at all, or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88"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81"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In Europe, the General Data Protection Regulation (“GDPR”) took effect in May 2018. The GDPR governs the collection, use, disclosure, transfer or other processing of personal data of individuals within the European Economic Area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requires changes to informed consent practices, as well as more detailed notices for clinical trial subjects and investigators. In addition, the GDPR increases the scrutiny of transfers of personal data from the EEA to the United States and other jurisdictions that the European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6" w:name="page67"/>
    <w:bookmarkEnd w:id="66"/>
    <w:p>
      <w:pPr>
        <w:jc w:val="both"/>
        <w:spacing w:after="0" w:line="247" w:lineRule="auto"/>
        <w:rPr>
          <w:sz w:val="20"/>
          <w:szCs w:val="20"/>
          <w:color w:val="auto"/>
        </w:rPr>
      </w:pPr>
      <w:r>
        <w:rPr>
          <w:rFonts w:ascii="Times New Roman" w:cs="Times New Roman" w:eastAsia="Times New Roman" w:hAnsi="Times New Roman"/>
          <w:sz w:val="18"/>
          <w:szCs w:val="18"/>
          <w:color w:val="auto"/>
        </w:rPr>
        <w:t>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the use of standard contractual clauses, which could increase our costs and our ability to efficiently process personal data from the EEA. The GDPR imposes substantial fines for breaches and violations (up to the greater of €20 million or 4% of our annual global turnover) and confers a private right of action on data subjects and consumer associations to lodge complaints with supervisory authorities, seek judicial remedies and obtain compensation for damages resulting from violations of the GDPR.</w:t>
      </w:r>
    </w:p>
    <w:p>
      <w:pPr>
        <w:spacing w:after="0" w:line="7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Relatedly, following the United Kingdom’s withdrawal from the EEA and the European Union and the expiration of the Transition Period, companies must comply with both the GDPR and the legislation similar to the GDPR as incorporated into UK national law, which provides for significant fines of up to the greater of £17.5 million or 4% of global turnover and exposes companies to two parallel regimes with potentially divergent enforcement actions for certain violations. On January 1, 2021, the United Kingdom became a third country for purposes of the GDPR. The relationship between the United Kingdom and the European Union in relation to certain aspects of data protection law remains unclear, for example with respect to how data can lawfully be transferred between each jurisdiction, which exposes us to further compliance risk. Pursuant to the EU-UK Trade and Cooperation Agreement of December 24, 2020, transfers of personal data from the European Union to the United Kingdom may continue to take place without a need for additional safeguards during a further transition period, which expires on the earlier of (i) the date on which an adequacy decision with respect to the United Kingdom is adopted by the European Commission; or (ii) the expiry of four months, which shall be extended by a further two months unless either the European Union or the United Kingdom objects. On June 28, 2021, the European Commission formally adopted its adequacy decision finding the United Kingdom to be adequate under the GDPR.</w:t>
      </w:r>
    </w:p>
    <w:p>
      <w:pPr>
        <w:spacing w:after="0" w:line="94"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(the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Further, California voters approved a new privacy law, the California Privacy Rights Act (the “CPRA”), in the November 3, 2020 election, which will impose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proposed in other states and at the federal level and, if passed, such laws may have potentially conflicting requirements that would make compliance challenging. For example, on March 2, 2021, Virginia enacted the Virginia Consumer Data Protection Act (the “CDPA”), which becomes effective on January 1, 2023, and on June 8, 2021, Colorado enacted the Colorado Privacy Act (the “CPA”), which takes effect on July 1, 2023. The CPA and CDPA are similar to the CCPA and CPRA but aspects of these state privacy statutes remain unclear, resulting in further legal uncertainty.</w:t>
      </w:r>
    </w:p>
    <w:p>
      <w:pPr>
        <w:spacing w:after="0" w:line="63"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8"/>
          <w:szCs w:val="18"/>
          <w:color w:val="auto"/>
        </w:rPr>
        <w:t>With the GDPR, CCPA, CPRA, CDPA, CPA and other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w:t>
      </w:r>
    </w:p>
    <w:p>
      <w:pPr>
        <w:spacing w:after="0" w:line="48" w:lineRule="exact"/>
        <w:rPr>
          <w:sz w:val="20"/>
          <w:szCs w:val="20"/>
          <w:color w:val="auto"/>
        </w:rPr>
      </w:pPr>
    </w:p>
    <w:p>
      <w:pPr>
        <w:jc w:val="both"/>
        <w:ind w:right="2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50"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7" w:name="page68"/>
    <w:bookmarkEnd w:id="67"/>
    <w:p>
      <w:pPr>
        <w:jc w:val="both"/>
        <w:spacing w:after="0" w:line="226" w:lineRule="auto"/>
        <w:rPr>
          <w:sz w:val="20"/>
          <w:szCs w:val="20"/>
          <w:color w:val="auto"/>
        </w:rPr>
      </w:pPr>
      <w:r>
        <w:rPr>
          <w:rFonts w:ascii="Times New Roman" w:cs="Times New Roman" w:eastAsia="Times New Roman" w:hAnsi="Times New Roman"/>
          <w:sz w:val="18"/>
          <w:szCs w:val="18"/>
          <w:color w:val="auto"/>
        </w:rPr>
        <w:t>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w:t>
      </w:r>
    </w:p>
    <w:p>
      <w:pPr>
        <w:spacing w:after="0" w:line="2"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associated with civil or criminal fines and penalties.</w:t>
      </w:r>
    </w:p>
    <w:p>
      <w:pPr>
        <w:spacing w:after="0" w:line="70" w:lineRule="exact"/>
        <w:rPr>
          <w:sz w:val="20"/>
          <w:szCs w:val="20"/>
          <w:color w:val="auto"/>
        </w:rPr>
      </w:pPr>
    </w:p>
    <w:p>
      <w:pPr>
        <w:jc w:val="both"/>
        <w:ind w:firstLine="509"/>
        <w:spacing w:after="0" w:line="230"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w:t>
      </w:r>
    </w:p>
    <w:p>
      <w:pPr>
        <w:jc w:val="both"/>
        <w:spacing w:after="0" w:line="226" w:lineRule="auto"/>
        <w:rPr>
          <w:sz w:val="20"/>
          <w:szCs w:val="20"/>
          <w:color w:val="auto"/>
        </w:rPr>
      </w:pPr>
      <w:r>
        <w:rPr>
          <w:rFonts w:ascii="Times New Roman" w:cs="Times New Roman" w:eastAsia="Times New Roman" w:hAnsi="Times New Roman"/>
          <w:sz w:val="18"/>
          <w:szCs w:val="18"/>
          <w:color w:val="auto"/>
        </w:rPr>
        <w:t>could be held liable for damages or be penalized with fines in an amount exceeding our resources, and our clinical trials or regulatory approvals could be suspended, which could seriously harm our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66"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have engaged CROs and other third parties to conduct our planned preclinical studies or clinical trials, including our ongoing clinical trials of adintrevimab,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or quarantine policies, heightened exposure of CRO or clinical site or other vendor staff who are healthcare providers to COVID-19 or prioritization of resources toward the pandemic.</w:t>
      </w:r>
    </w:p>
    <w:p>
      <w:pPr>
        <w:spacing w:after="0" w:line="9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9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8" w:name="page69"/>
    <w:bookmarkEnd w:id="68"/>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4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adintrevimab or any other product candidates.</w:t>
      </w:r>
    </w:p>
    <w:p>
      <w:pPr>
        <w:spacing w:after="0" w:line="7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also expect to rely on other third parties to label,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78"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collaborations with third parties for the discovery, development or commercialization of our product candidates. If those collaborations are not successful, we may not be able to capitalize on the market potential of these product candidates.</w:t>
      </w:r>
    </w:p>
    <w:p>
      <w:pPr>
        <w:spacing w:after="0" w:line="5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may seek third-party collaborators for the discovery,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 For example, our agreement with Biocon may not result in the successful development and commercialization of an antibody treatment for COVID-19 in India or other markets.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04" w:lineRule="exact"/>
        <w:rPr>
          <w:sz w:val="20"/>
          <w:szCs w:val="20"/>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8"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40"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1"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67"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69"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9" w:name="page70"/>
    <w:bookmarkEnd w:id="69"/>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6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8"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6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United States and in other countries with respect to our proprietary technology and product candidates. The risks associated with patent rights generally apply to patent rights that we in-license now or in the future, as well as patent rights that we may own now or in the future. We currently own two issued U.S. patents with claims directed to adintrevimab and ADG10, respectively, and one allowed U.S. patent application with claims directed to methods of use of adintrevimab, alone or in combination with ADG10 (an antibody-based product candidate previously considered for potential use in combination with adintrevimab for the treatment and prevention of COVID-19), which is projected to issue on August 16, 2022. In addition, although we own a number of pending patent applications, we may not be successful in prosecuting our filed patent applications to obtain issuance of additional patents. Accordingly, there can be no assurance that we will be able to obtain patent protection for our product candidates. Our pending Patent Cooperation Treaty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United States Patent and Trademark Office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7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0" w:name="page71"/>
    <w:bookmarkEnd w:id="70"/>
    <w:p>
      <w:pPr>
        <w:jc w:val="both"/>
        <w:spacing w:after="0" w:line="243" w:lineRule="auto"/>
        <w:rPr>
          <w:sz w:val="20"/>
          <w:szCs w:val="20"/>
          <w:color w:val="auto"/>
        </w:rPr>
      </w:pPr>
      <w:r>
        <w:rPr>
          <w:rFonts w:ascii="Times New Roman" w:cs="Times New Roman" w:eastAsia="Times New Roman" w:hAnsi="Times New Roman"/>
          <w:sz w:val="18"/>
          <w:szCs w:val="18"/>
          <w:color w:val="auto"/>
        </w:rPr>
        <w:t>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United States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7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United States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69"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92"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to the protection provided by our patent estate, we rely on trade secret protection and confidentiality agreements to protect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If any of the parties to these confidentiality agreements breaches or violates the terms of such agreements, we may not have adequate remedies for any such breach or violation, and we could lose our trade secrets as a result.</w:t>
      </w:r>
    </w:p>
    <w:p>
      <w:pPr>
        <w:spacing w:after="0" w:line="8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United States. The enforceability of confidentiality agreements may vary from jurisdiction to jurisdiction. As a result, we may encounter significant problems in protecting and defending our intellectual property both in the United States and abroad. Additionally, if the steps taken to maintain our trade secrets are deemed inadequate, we may have insufficient recourse against third parties for misappropriating the trade secret.</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1" w:name="page72"/>
    <w:bookmarkEnd w:id="71"/>
    <w:p>
      <w:pPr>
        <w:jc w:val="both"/>
        <w:spacing w:after="0" w:line="250" w:lineRule="auto"/>
        <w:rPr>
          <w:sz w:val="20"/>
          <w:szCs w:val="20"/>
          <w:color w:val="auto"/>
        </w:rPr>
      </w:pPr>
      <w:r>
        <w:rPr>
          <w:rFonts w:ascii="Times New Roman" w:cs="Times New Roman" w:eastAsia="Times New Roman" w:hAnsi="Times New Roman"/>
          <w:sz w:val="18"/>
          <w:szCs w:val="18"/>
          <w:color w:val="auto"/>
        </w:rPr>
        <w:t>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6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do not know whether the steps we have taken to protect our proprietary technologies will be effective.</w:t>
      </w:r>
    </w:p>
    <w:p>
      <w:pPr>
        <w:spacing w:after="0" w:line="54"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81"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8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an assignment and license agreement with Adimab, pursuant to which we are obligated to make payments upon achievement of milestone events and royalties. If this agreement is terminated, our business and prospects will be materially and adversely affected.</w:t>
      </w:r>
    </w:p>
    <w:p>
      <w:pPr>
        <w:spacing w:after="0" w:line="5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are party to an assignment and license agreement (the “Adimab Assignment Agreement”) with Adimab, LLC (“Adimab”), which has assigned to us its rights to all existing coronavirus antibodies controlled by it and their derivatives, patents claiming such antibodies, know-how related to such antibodies, and biological and chemical materials specifically related to such antibodies. Pursuant to the Adimab Assignment Agreement, Adimab additionally granted us a non-exclusive, worldwide, sublicensable license under Adimab’s antibody discovery and optimization platform technology to research, develop, make, use, and sell coronavirus antibodies and products containing or comprising coronavirus antibodies, provided that we may not use such licensed rights to discover or optimize antibodies. Under the Adimab Assignment Agreement, we are required to use commercially reasonable efforts to achieve specific development and regulatory milestones for products in certain major markets and to commercialize a product in any country in which we obtain marketing approval.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in such country that was assigned to us under the Adimab Assignment Agreement or that claims priority to any such patent. Our business is reliant upon the intellectual property rights assigned and licensed to us under the Adimab</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2" w:name="page73"/>
    <w:bookmarkEnd w:id="72"/>
    <w:p>
      <w:pPr>
        <w:jc w:val="both"/>
        <w:spacing w:after="0" w:line="250" w:lineRule="auto"/>
        <w:rPr>
          <w:sz w:val="20"/>
          <w:szCs w:val="20"/>
          <w:color w:val="auto"/>
        </w:rPr>
      </w:pPr>
      <w:r>
        <w:rPr>
          <w:rFonts w:ascii="Times New Roman" w:cs="Times New Roman" w:eastAsia="Times New Roman" w:hAnsi="Times New Roman"/>
          <w:sz w:val="18"/>
          <w:szCs w:val="18"/>
          <w:color w:val="auto"/>
        </w:rPr>
        <w:t>Assignment Agreement. If we materially breach the Adimab Assignment Agreement, our license under the Adimab Assignment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is terminated as a result of our breach or otherwise, our business and prospects will be materially and adversely affected.</w:t>
      </w:r>
    </w:p>
    <w:p>
      <w:pPr>
        <w:spacing w:after="0" w:line="65"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7" w:lineRule="exact"/>
        <w:rPr>
          <w:sz w:val="20"/>
          <w:szCs w:val="20"/>
          <w:color w:val="auto"/>
        </w:rPr>
      </w:pPr>
    </w:p>
    <w:p>
      <w:pPr>
        <w:jc w:val="both"/>
        <w:ind w:firstLine="509"/>
        <w:spacing w:after="0" w:line="233" w:lineRule="auto"/>
        <w:rPr>
          <w:sz w:val="20"/>
          <w:szCs w:val="20"/>
          <w:color w:val="auto"/>
        </w:rPr>
      </w:pPr>
      <w:r>
        <w:rPr>
          <w:rFonts w:ascii="Times New Roman" w:cs="Times New Roman" w:eastAsia="Times New Roman" w:hAnsi="Times New Roman"/>
          <w:sz w:val="18"/>
          <w:szCs w:val="18"/>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3" w:name="page74"/>
    <w:bookmarkEnd w:id="73"/>
    <w:p>
      <w:pPr>
        <w:ind w:left="520"/>
        <w:spacing w:after="0"/>
        <w:rPr>
          <w:sz w:val="20"/>
          <w:szCs w:val="20"/>
          <w:color w:val="auto"/>
        </w:rPr>
      </w:pPr>
      <w:r>
        <w:rPr>
          <w:rFonts w:ascii="Times New Roman" w:cs="Times New Roman" w:eastAsia="Times New Roman" w:hAnsi="Times New Roman"/>
          <w:sz w:val="18"/>
          <w:szCs w:val="18"/>
          <w:color w:val="auto"/>
        </w:rPr>
        <w:t>Our current and future collaborations and licenses could subject us to a number of risks, including:</w:t>
      </w:r>
    </w:p>
    <w:p>
      <w:pPr>
        <w:spacing w:after="0" w:line="104" w:lineRule="exact"/>
        <w:rPr>
          <w:sz w:val="20"/>
          <w:szCs w:val="20"/>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90" w:lineRule="exact"/>
        <w:rPr>
          <w:rFonts w:ascii="Times New Roman" w:cs="Times New Roman" w:eastAsia="Times New Roman" w:hAnsi="Times New Roman"/>
          <w:sz w:val="18"/>
          <w:szCs w:val="18"/>
          <w:color w:val="auto"/>
        </w:rPr>
      </w:pPr>
    </w:p>
    <w:p>
      <w:pPr>
        <w:jc w:val="both"/>
        <w:ind w:left="1140" w:hanging="504"/>
        <w:spacing w:after="0" w:line="239"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62"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that would dilute our stockholders’ percentage ownership of our company;</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assume substantial actual or contingent liabilities;</w:t>
      </w:r>
    </w:p>
    <w:p>
      <w:pPr>
        <w:spacing w:after="0" w:line="9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collaborators devote to the development or commercialization of our product candidates;</w:t>
      </w:r>
    </w:p>
    <w:p>
      <w:pPr>
        <w:spacing w:after="0" w:line="40" w:lineRule="exact"/>
        <w:rPr>
          <w:rFonts w:ascii="Times New Roman" w:cs="Times New Roman" w:eastAsia="Times New Roman" w:hAnsi="Times New Roman"/>
          <w:sz w:val="18"/>
          <w:szCs w:val="18"/>
          <w:color w:val="auto"/>
        </w:rPr>
      </w:pPr>
    </w:p>
    <w:p>
      <w:pPr>
        <w:jc w:val="both"/>
        <w:ind w:left="1140" w:hanging="504"/>
        <w:spacing w:after="0" w:line="239"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62"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select indications or design clinical trials in a way that may be less successful than if we were doing so;</w:t>
      </w:r>
    </w:p>
    <w:p>
      <w:pPr>
        <w:spacing w:after="0" w:line="103" w:lineRule="exact"/>
        <w:rPr>
          <w:rFonts w:ascii="Times New Roman" w:cs="Times New Roman" w:eastAsia="Times New Roman" w:hAnsi="Times New Roman"/>
          <w:sz w:val="18"/>
          <w:szCs w:val="18"/>
          <w:color w:val="auto"/>
        </w:rPr>
      </w:pPr>
    </w:p>
    <w:p>
      <w:pPr>
        <w:ind w:left="1140" w:hanging="504"/>
        <w:spacing w:after="0" w:line="250"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68" w:lineRule="exact"/>
        <w:rPr>
          <w:rFonts w:ascii="Times New Roman" w:cs="Times New Roman" w:eastAsia="Times New Roman" w:hAnsi="Times New Roman"/>
          <w:sz w:val="18"/>
          <w:szCs w:val="18"/>
          <w:color w:val="auto"/>
        </w:rPr>
      </w:pPr>
    </w:p>
    <w:p>
      <w:pPr>
        <w:ind w:left="1140" w:hanging="504"/>
        <w:spacing w:after="0" w:line="250"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68" w:lineRule="exact"/>
        <w:rPr>
          <w:rFonts w:ascii="Times New Roman" w:cs="Times New Roman" w:eastAsia="Times New Roman" w:hAnsi="Times New Roman"/>
          <w:sz w:val="18"/>
          <w:szCs w:val="18"/>
          <w:color w:val="auto"/>
        </w:rPr>
      </w:pPr>
    </w:p>
    <w:p>
      <w:pPr>
        <w:ind w:left="1140" w:hanging="504"/>
        <w:spacing w:after="0" w:line="250"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commit adequate resources to the marketing and distribution of our product candidates, limiting our potential revenue from these products;</w:t>
      </w:r>
    </w:p>
    <w:p>
      <w:pPr>
        <w:spacing w:after="0" w:line="68" w:lineRule="exact"/>
        <w:rPr>
          <w:rFonts w:ascii="Times New Roman" w:cs="Times New Roman" w:eastAsia="Times New Roman" w:hAnsi="Times New Roman"/>
          <w:sz w:val="18"/>
          <w:szCs w:val="18"/>
          <w:color w:val="auto"/>
        </w:rPr>
      </w:pPr>
    </w:p>
    <w:p>
      <w:pPr>
        <w:jc w:val="both"/>
        <w:ind w:left="1140" w:hanging="504"/>
        <w:spacing w:after="0" w:line="242"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75"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experience financial difficulties;</w:t>
      </w:r>
    </w:p>
    <w:p>
      <w:pPr>
        <w:spacing w:after="0" w:line="9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decide to move forward with a competing product candidate developed either independently or in collaboration with others, including our competitors; and</w:t>
      </w:r>
    </w:p>
    <w:p>
      <w:pPr>
        <w:spacing w:after="0" w:line="40" w:lineRule="exact"/>
        <w:rPr>
          <w:rFonts w:ascii="Times New Roman" w:cs="Times New Roman" w:eastAsia="Times New Roman" w:hAnsi="Times New Roman"/>
          <w:sz w:val="18"/>
          <w:szCs w:val="18"/>
          <w:color w:val="auto"/>
        </w:rPr>
      </w:pPr>
    </w:p>
    <w:p>
      <w:pPr>
        <w:ind w:left="1140" w:right="20" w:hanging="504"/>
        <w:spacing w:after="0" w:line="26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terminate the arrangement or allow it to expire, which would delay the development and may increase the cost of developing our product candidates.</w:t>
      </w:r>
    </w:p>
    <w:p>
      <w:pPr>
        <w:spacing w:after="0" w:line="5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8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4" w:name="page75"/>
    <w:bookmarkEnd w:id="7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litigation or for other reasons. As a result, we may not be able to prevent competitors from developing and commercializing competitive products in territories included in all of our licenses.</w:t>
      </w:r>
    </w:p>
    <w:p>
      <w:pPr>
        <w:spacing w:after="0" w:line="3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6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73"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 xml:space="preserve">For example, on September 16, 2011, the Leahy-Smith America Invents Act (the “Leahy-Smith Act”) was signed into law. The Leahy-Smith Act included a number of significant changes to United States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Finally, the Leahy-Smith Act contained new statutory provisions that require the USPTO to issue new 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76"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73"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6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 licensed or future owned patents at risk of being invalidated, held unenforceable or interpreted narrowly, and could put any of our owned or licensed patent applications at risk of not yielding an issued patent.</w:t>
      </w:r>
    </w:p>
    <w:p>
      <w:pPr>
        <w:spacing w:after="0" w:line="73"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5" w:name="page76"/>
    <w:bookmarkEnd w:id="75"/>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or abroad, even outside the context of litigation. Such mechanisms include re-examination,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equivalent proceedings in foreign jurisdictions (for example, opposition proceedings, nullity proceedings or litigation or 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89"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 SARS-COV-2 binding antibodies or their preparation; however, we believe such claim, if valid, would be limited to only a predecessor antibody to adintrevimab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United States.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85"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6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WuXi has provided only high-level information to us identifying the general nature of the licensed control elements in the expression vector used in the production cell line starting material for adintrevimab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adintrevimab, and a third party may claim that our development or commercialization of adintrevimab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adintrevimab, which may not be feasible on a technical or commercial basis in a timely manner, and we may have to delay or abandon development of adintrevimab, which could have a material adverse effect on our business.</w:t>
      </w:r>
    </w:p>
    <w:p>
      <w:pPr>
        <w:spacing w:after="0" w:line="8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76" w:name="page77"/>
    <w:bookmarkEnd w:id="7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impact our ability to develop and market our product candidates. Our failure to identify and correctly interpret relevant third-party patents may negatively impact our ability to develop and market our products.</w:t>
      </w:r>
    </w:p>
    <w:p>
      <w:pPr>
        <w:spacing w:after="0" w:line="36"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63"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88"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5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misappropriating or otherwise violating the patents, trademarks, and proprietary rights of third parties. As our current and future product candidates progress toward commercialization, the possibility of a patent infringement claim against us increases. There is a substantial amount of litigation involving patents, trademarks, and other intellectual property rights in the biotechnology and pharmaceutical industries, including infringement lawsuits, interferences, derivation proceedings, post grant reviews,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reviews, and reexamination proceedings before the USPTO or oppositions and other comparable proceedings in foreign jurisdictions. Numerous United States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trademarks, or other intellectual property rights.</w:t>
      </w:r>
    </w:p>
    <w:p>
      <w:pPr>
        <w:spacing w:after="0" w:line="78"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 xml:space="preserve">We cannot provide any assurance that our current and future product candidates do not infringe, misappropriate or otherwise violate other parties’ patents, trademarks,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current and future product candidates, including oppositions, interference proceedings, reexaminations,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derivation proceedings before the USPTO in the United States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adintrevimab or any future product candidates. In order to successfully challenge the validity of any United States patents asserted against us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75"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7" w:name="page78"/>
    <w:bookmarkEnd w:id="77"/>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 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8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87"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0"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and other intellectual property.</w:t>
      </w:r>
    </w:p>
    <w:p>
      <w:pPr>
        <w:spacing w:after="0" w:line="10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9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rely on third parties to manufacture our product candidates, and we collaborate with additional third parties for the development of such product candidates. We therefore must, at times, share trade secrets with them. We may also conduct joint research</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8" w:name="page79"/>
    <w:bookmarkEnd w:id="78"/>
    <w:p>
      <w:pPr>
        <w:jc w:val="both"/>
        <w:spacing w:after="0" w:line="246" w:lineRule="auto"/>
        <w:rPr>
          <w:sz w:val="20"/>
          <w:szCs w:val="20"/>
          <w:color w:val="auto"/>
        </w:rPr>
      </w:pPr>
      <w:r>
        <w:rPr>
          <w:rFonts w:ascii="Times New Roman" w:cs="Times New Roman" w:eastAsia="Times New Roman" w:hAnsi="Times New Roman"/>
          <w:sz w:val="18"/>
          <w:szCs w:val="18"/>
          <w:color w:val="auto"/>
        </w:rPr>
        <w:t>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71"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7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37"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Filing and prosecuting patent applications and defending patents covering our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United States or Europe. These products may compete with our product candidates, and our future patents or other intellectual property rights may not be effective or sufficient to prevent them from competing. Additionally, unforeseen global events such as the conflict between Russia and Ukraine, and sanctions relating to these events could affect our ability to file, prosecute, and defend patents and patent applications in those jurisdictions.</w:t>
      </w:r>
    </w:p>
    <w:p>
      <w:pPr>
        <w:spacing w:after="0" w:line="7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6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7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For example, Russia issued a decree in March of 2022 stating that patent owners who reside in a country “unfriendly” to Russia are not entitled to compensation in the event of patent infringement. In addition,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7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9" w:name="page80"/>
    <w:bookmarkEnd w:id="79"/>
    <w:p>
      <w:pPr>
        <w:jc w:val="both"/>
        <w:spacing w:after="0" w:line="250" w:lineRule="auto"/>
        <w:rPr>
          <w:sz w:val="20"/>
          <w:szCs w:val="20"/>
          <w:color w:val="auto"/>
        </w:rPr>
      </w:pPr>
      <w:r>
        <w:rPr>
          <w:rFonts w:ascii="Times New Roman" w:cs="Times New Roman" w:eastAsia="Times New Roman" w:hAnsi="Times New Roman"/>
          <w:sz w:val="18"/>
          <w:szCs w:val="18"/>
          <w:color w:val="auto"/>
        </w:rPr>
        <w:t>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83"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73"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For example, our license agreement with Biocon pursuant to which we will provide Biocon materials and know-how to manufacture and commercialize an antibody treatment based on adintrevimab in India and select emerging markets may also expose us to risks related to enforcement of our intellectual property rights.</w:t>
      </w:r>
    </w:p>
    <w:p>
      <w:pPr>
        <w:spacing w:after="0" w:line="5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0"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For example, as a result of the conflict between Russia and Ukraine, it is unclear whether payments to the Russian Patent Office and other entities will be allowed due to current and future sanctions, which have the potential to change daily. In such an event, potential competitors might be able to enter the market, which could have a material adverse effect on our business.</w:t>
      </w:r>
    </w:p>
    <w:p>
      <w:pPr>
        <w:spacing w:after="0" w:line="94"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if approved for marketing, from the drugs of our competitors. We also expect to rely on trademarks to protect our company name. Once we select new trademarks and apply to register them, our trademark applications may not be approved. Although we would be given an opportunity to respond to those rejections, we may be unable to overcome such rejections. We currently have trademark applications pending in the United States and in certain foreign jurisdictions, but we have no issued trademark registrations in the United States. Third parties may oppose or attempt to cancel our trademark applications or trademarks, or otherwise challenge our use of the trademarks. If we are found to infringe a third party’s trademark rights, we could be forced to rebrand our company or our drugs, which could result in loss of brand recognition and could require us to devote resources to advertising and marketing new brands.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0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40" w:lineRule="exact"/>
        <w:rPr>
          <w:sz w:val="20"/>
          <w:szCs w:val="20"/>
          <w:color w:val="auto"/>
        </w:rPr>
      </w:pPr>
    </w:p>
    <w:p>
      <w:pPr>
        <w:ind w:left="1140" w:hanging="504"/>
        <w:spacing w:after="0" w:line="266"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or otherwise competitive with our product candidates but that are not covered by the claims of any of our patents, should they issue;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0" w:name="page81"/>
    <w:bookmarkEnd w:id="80"/>
    <w:p>
      <w:pPr>
        <w:ind w:left="1140" w:right="20" w:hanging="504"/>
        <w:spacing w:after="0" w:line="282"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in-license necessary for the manufacture, use, sale, offer for sale or importation of one or more of our product candidates may be terminated by the licensor;</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might not have been the first to make the inventions covered by our future issued patents or our pending patent applications;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might not have been the first to file patent applications covering certain of our inventions;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be held invalid or unenforceable as a result of legal challenges by our competitors;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coverage for all aspects of our product candidates in all countries;</w:t>
      </w:r>
    </w:p>
    <w:p>
      <w:pPr>
        <w:spacing w:after="0" w:line="103"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61"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8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65" w:lineRule="exact"/>
        <w:rPr>
          <w:sz w:val="20"/>
          <w:szCs w:val="20"/>
          <w:color w:val="auto"/>
        </w:rPr>
      </w:pPr>
    </w:p>
    <w:p>
      <w:pPr>
        <w:jc w:val="both"/>
        <w:ind w:left="1140" w:hanging="504"/>
        <w:spacing w:after="0" w:line="221"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65" w:lineRule="exact"/>
        <w:rPr>
          <w:rFonts w:ascii="Times New Roman" w:cs="Times New Roman" w:eastAsia="Times New Roman" w:hAnsi="Times New Roman"/>
          <w:sz w:val="18"/>
          <w:szCs w:val="18"/>
          <w:color w:val="auto"/>
        </w:rPr>
      </w:pPr>
    </w:p>
    <w:p>
      <w:pPr>
        <w:jc w:val="both"/>
        <w:ind w:left="1140" w:hanging="504"/>
        <w:spacing w:after="0" w:line="221"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1" w:name="page82"/>
    <w:bookmarkEnd w:id="81"/>
    <w:p>
      <w:pPr>
        <w:ind w:left="1140"/>
        <w:spacing w:after="0"/>
        <w:rPr>
          <w:sz w:val="20"/>
          <w:szCs w:val="20"/>
          <w:color w:val="auto"/>
        </w:rPr>
      </w:pPr>
      <w:r>
        <w:rPr>
          <w:rFonts w:ascii="Times New Roman" w:cs="Times New Roman" w:eastAsia="Times New Roman" w:hAnsi="Times New Roman"/>
          <w:sz w:val="18"/>
          <w:szCs w:val="18"/>
          <w:color w:val="auto"/>
        </w:rPr>
        <w:t>violation of the federal Anti-Kickback Statute constitutes a false or fraudulent claim for purposes of the federal False Claims Act;</w:t>
      </w:r>
    </w:p>
    <w:p>
      <w:pPr>
        <w:spacing w:after="0" w:line="90" w:lineRule="exact"/>
        <w:rPr>
          <w:sz w:val="20"/>
          <w:szCs w:val="20"/>
          <w:color w:val="auto"/>
        </w:rPr>
      </w:pPr>
    </w:p>
    <w:p>
      <w:pPr>
        <w:jc w:val="both"/>
        <w:ind w:left="1140" w:hanging="504"/>
        <w:spacing w:after="0" w:line="224"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imposes obligations, including mandatory contractual terms, on “covered entities,” including certain healthcare providers, health plans,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analogous state and foreign laws that govern the privacy and security of health information in some circumstances, many of which differ from each other in significant ways and often are not preempted by HIPAA, thus complicating compliance efforts;</w:t>
      </w:r>
    </w:p>
    <w:p>
      <w:pPr>
        <w:spacing w:after="0" w:line="65" w:lineRule="exact"/>
        <w:rPr>
          <w:rFonts w:ascii="Times New Roman" w:cs="Times New Roman" w:eastAsia="Times New Roman" w:hAnsi="Times New Roman"/>
          <w:sz w:val="18"/>
          <w:szCs w:val="18"/>
          <w:color w:val="auto"/>
        </w:rPr>
      </w:pPr>
    </w:p>
    <w:p>
      <w:pPr>
        <w:jc w:val="both"/>
        <w:ind w:left="1140" w:hanging="504"/>
        <w:spacing w:after="0" w:line="222"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6" w:lineRule="exact"/>
        <w:rPr>
          <w:rFonts w:ascii="Times New Roman" w:cs="Times New Roman" w:eastAsia="Times New Roman" w:hAnsi="Times New Roman"/>
          <w:sz w:val="18"/>
          <w:szCs w:val="18"/>
          <w:color w:val="auto"/>
        </w:rPr>
      </w:pPr>
    </w:p>
    <w:p>
      <w:pPr>
        <w:jc w:val="both"/>
        <w:ind w:left="1140" w:hanging="504"/>
        <w:spacing w:after="0" w:line="225"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 and</w:t>
      </w:r>
    </w:p>
    <w:p>
      <w:pPr>
        <w:spacing w:after="0" w:line="77" w:lineRule="exact"/>
        <w:rPr>
          <w:rFonts w:ascii="Times New Roman" w:cs="Times New Roman" w:eastAsia="Times New Roman" w:hAnsi="Times New Roman"/>
          <w:sz w:val="18"/>
          <w:szCs w:val="18"/>
          <w:color w:val="auto"/>
        </w:rPr>
      </w:pPr>
    </w:p>
    <w:p>
      <w:pPr>
        <w:jc w:val="both"/>
        <w:ind w:left="1140" w:hanging="504"/>
        <w:spacing w:after="0" w:line="246"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8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79"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68"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adintrevimab or any future product candidates, they will remain subject to ongoing regulatory oversight, which may result in significant additional expense.</w:t>
      </w:r>
    </w:p>
    <w:p>
      <w:pPr>
        <w:spacing w:after="0" w:line="3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Even if we obtain any regulatory approval for adintrevimab or any future product candidates,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adintrevimab or any future product candidates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82" w:name="page83"/>
    <w:bookmarkEnd w:id="82"/>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87"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7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regulatory requirements following approval of adintrevimab or any future product candidates, a regulatory authority may:</w:t>
      </w:r>
    </w:p>
    <w:p>
      <w:pPr>
        <w:spacing w:after="0" w:line="40" w:lineRule="exact"/>
        <w:rPr>
          <w:sz w:val="20"/>
          <w:szCs w:val="20"/>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asserting that we are in violation of the law;</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0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drug;</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drug or otherwise require the withdrawal of the drug from the market;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products or product candidates; or</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104" w:lineRule="exact"/>
        <w:rPr>
          <w:sz w:val="20"/>
          <w:szCs w:val="20"/>
          <w:color w:val="auto"/>
        </w:rPr>
      </w:pPr>
    </w:p>
    <w:p>
      <w:pPr>
        <w:jc w:val="both"/>
        <w:ind w:right="20" w:firstLine="509"/>
        <w:spacing w:after="0" w:line="258"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adintrevimab or any future product candidates and harm our business, financial condition, results of operations and prospects.</w:t>
      </w:r>
    </w:p>
    <w:p>
      <w:pPr>
        <w:spacing w:after="0" w:line="57"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authorization under an EUA or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6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 In addition, in order to distribute adintrevimab, if authorized under an EUA, we will need to secure and maintain required state licenses.</w:t>
      </w:r>
    </w:p>
    <w:p>
      <w:pPr>
        <w:spacing w:after="0" w:line="6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69"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3" w:name="page84"/>
    <w:bookmarkEnd w:id="8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12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82"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ACA was passed, which substantially changed the way healthcare is financed by both the government and private insurers and significantly impacts the United States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78" w:lineRule="exact"/>
        <w:rPr>
          <w:sz w:val="20"/>
          <w:szCs w:val="20"/>
          <w:color w:val="auto"/>
        </w:rPr>
      </w:pPr>
    </w:p>
    <w:p>
      <w:pPr>
        <w:jc w:val="both"/>
        <w:ind w:firstLine="509"/>
        <w:spacing w:after="0" w:line="241" w:lineRule="auto"/>
        <w:rPr>
          <w:sz w:val="20"/>
          <w:szCs w:val="20"/>
          <w:color w:val="auto"/>
        </w:rPr>
      </w:pPr>
      <w:r>
        <w:rPr>
          <w:rFonts w:ascii="Times New Roman" w:cs="Times New Roman" w:eastAsia="Times New Roman" w:hAnsi="Times New Roman"/>
          <w:sz w:val="18"/>
          <w:szCs w:val="18"/>
          <w:color w:val="auto"/>
        </w:rPr>
        <w:t>There have been executive, judicial and congressional challenges to certain aspects of the ACA. While the United States Congress has not passed comprehensive repeal legislation, several bills affecting the implementation of certain taxes under the ACA have been signed into law. The Tax Cuts and Jobs Act of 2017 (the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eliminated the health insurer tax. The Bipartisan Budget Act of 2018 (the “BBA”) among other things, amended the ACA, effective January 1, 2019, to close the coverage gap in most Medicare drug plans, commonly referred to as the “donut hole.” On June 17, 2021, the U.S. Supreme Court dismissed on procedural grounds a challenge that argued that the ACA is unconstitutional in its entirety because the “individual mandate” was repealed by Congress. Thus, the ACA will remain in effect in its current form. Prior to the U.S. Supreme Court ruling, on January 28, 2021, President Biden issued an executive order that initiated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or our business.</w:t>
      </w:r>
    </w:p>
    <w:p>
      <w:pPr>
        <w:spacing w:after="0" w:line="95"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and the Infrastructure Investment and Jobs Act, will remain in effect through 2031, unless additional congressional action is taken. Under current legislation the actual reduction in Medicare payments will vary from 1% in 2022 to up to 4% in the final fiscal year of this sequester. The American Taxpayer Relief Act of 2012, among other things, further reduced Medicare payments to several providers, including hospitals,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These laws may result in additional reductions in Medicare, Medicaid and other healthcare funding, which could have an adverse effect on customers for our product candidates, if approved, and, accordingly, our financial operations.</w:t>
      </w:r>
    </w:p>
    <w:p>
      <w:pPr>
        <w:spacing w:after="0" w:line="7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implementation of this rule has been delayed until January 1, 2026. Further, in November 2020, CMS issued an interim final rule implementing the Most Favored Nation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84" w:name="page85"/>
    <w:bookmarkEnd w:id="84"/>
    <w:p>
      <w:pPr>
        <w:jc w:val="both"/>
        <w:spacing w:after="0" w:line="244" w:lineRule="auto"/>
        <w:rPr>
          <w:sz w:val="20"/>
          <w:szCs w:val="20"/>
          <w:color w:val="auto"/>
        </w:rPr>
      </w:pPr>
      <w:r>
        <w:rPr>
          <w:rFonts w:ascii="Times New Roman" w:cs="Times New Roman" w:eastAsia="Times New Roman" w:hAnsi="Times New Roman"/>
          <w:sz w:val="18"/>
          <w:szCs w:val="18"/>
          <w:color w:val="auto"/>
        </w:rPr>
        <w:t>participation by identified Part B providers and will apply in all U.S. states and territories for a seven-year period beginning January 1, 2021 and ending December 31, 2027. As a result of litigation challenging the MFN Model, on December 27, 2021, CMS published a final rule that rescinded the MFN Model interim final rule. In July 2021, the Biden administration released an executive order, “Promoting Competition in the American Economy,” with multiple provisions aimed at prescription drugs. In response to the executive order, on September 9, 2021, HHS released a Comprehensive Plan for Addressing High Drug Prices that outlines principles for drug pricing reform and sets out a variety of potential legislative policies that Congress could pursue to advance these principles. In addition, Congress is considering drug pricing as part of other reform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8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Any new regulations or guidance, or revisions or reinterpretations of existing regulations or guidance, may impose additional costs or lengthen FDA review times for adintrevimab or any future product candidates. We cannot determine how changes in regulations, statutes, policies or interpretations when and if issued, enacted or adopted, may affect our business in the future. Such changes could, among other things, require:</w:t>
      </w:r>
    </w:p>
    <w:p>
      <w:pPr>
        <w:spacing w:after="0" w:line="82" w:lineRule="exact"/>
        <w:rPr>
          <w:sz w:val="20"/>
          <w:szCs w:val="20"/>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approval;</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if approved;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10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adintrevimab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61"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7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officers and key employees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81"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Terrance McGuire, a member of our board of directors, serves as a director of Adimab. Mr. McGuire is a beneficial owner of equity interests in Adimab. Mr. McGuire’s position at Adimab and the ownership of any Adimab equity or equity awards creates, or may create the appearance of, conflicts of interest, including when this individual makes decisions that could have different implications for Adimab than for us. Other of our directors and executive officers also serve on the boards of directors of other private and public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5" w:name="page86"/>
    <w:bookmarkEnd w:id="85"/>
    <w:p>
      <w:pPr>
        <w:jc w:val="both"/>
        <w:spacing w:after="0" w:line="245" w:lineRule="auto"/>
        <w:rPr>
          <w:sz w:val="20"/>
          <w:szCs w:val="20"/>
          <w:color w:val="auto"/>
        </w:rPr>
      </w:pPr>
      <w:r>
        <w:rPr>
          <w:rFonts w:ascii="Times New Roman" w:cs="Times New Roman" w:eastAsia="Times New Roman" w:hAnsi="Times New Roman"/>
          <w:sz w:val="18"/>
          <w:szCs w:val="18"/>
          <w:color w:val="auto"/>
        </w:rPr>
        <w:t>companies. As a result, these individuals may not be able to devote their full time and attention to our company, which could impede the achievement of our research, development and commercialization objectives and seriously harm our ability to successfully implement our business strategy. Since joining us, all of our executive officers have each spent a significant portion of their time devoted to us. While none of the executives has a minimum time commitment to us, each retains flexibility to ensure that he or she can re-allocate his or her time based on the needs of each business. These executives’ time-allocation strategies may change over time based on the needs of each business or the executives’ individual incentives to provide services to us relative to other businesses. On April 20, 2022, Laura Walker, Ph.D., our co-founder and Chief Scientific Officer, resigned as Senior Director of Antibody Sciences at Adimab. As a result, Dr. Walker is fully dedicated to leading Adagio’s discovery and optimization efforts.</w:t>
      </w:r>
    </w:p>
    <w:p>
      <w:pPr>
        <w:spacing w:after="0" w:line="8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50"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Adimab is currently our largest stockholder and beneficially owns approximately 24.3% of the voting power of our outstanding common stock according to a Schedule 13D filed by Adimab on June 24, 2022, which reported ownership as of June 22, 2022.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72"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Furthermore, certain of our directors, officers and key employees may have actual or potential conflicts of interest with us because of their positions or affiliations with Adimab or their beneficial ownership of equity in Adimab. Terrance McGuire, a member of the board of directors of Adimab, serves on our board of directors and retains his position and affiliation with Adimab. Our other stockholders may not have visibility into the Adimab ownership positions or other affiliations of any of our directors or officers with Adimab or its affiliates, which may change at any time through acquisition, disposition, dilution or otherwise. Any change in our directors’ or officers’ ownership in or positions with Adimab or its affiliates could impact the interests of those holders. 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 and will be able to strongly influence our other decisions.</w:t>
      </w:r>
    </w:p>
    <w:p>
      <w:pPr>
        <w:spacing w:after="0" w:line="7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expand our clinical development and regulatory capabilities and potentially implement sales, marketing and distribution capabilities, and as a result, we may encounter difficulties in managing our growth, which could disrupt our operations.</w:t>
      </w:r>
    </w:p>
    <w:p>
      <w:pPr>
        <w:spacing w:after="0" w:line="50"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Depending on our development progresses, we may experience growth in the number of our employees and the scope of our operations, particularly in the areas of clinical product development, regulatory affairs, manufacturing and, if any of our product candidates receives marketing approval, sales, marketing and distribution. To manage our potential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8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CDMOs, suppliers and vendors may engage in misconduct or other improper activities, including non-compliance with regulatory standards and requirements.</w:t>
      </w:r>
    </w:p>
    <w:p>
      <w:pPr>
        <w:spacing w:after="0" w:line="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6" w:name="page87"/>
    <w:bookmarkEnd w:id="86"/>
    <w:p>
      <w:pPr>
        <w:jc w:val="both"/>
        <w:spacing w:after="0" w:line="282" w:lineRule="auto"/>
        <w:rPr>
          <w:sz w:val="20"/>
          <w:szCs w:val="20"/>
          <w:color w:val="auto"/>
        </w:rPr>
      </w:pPr>
      <w:r>
        <w:rPr>
          <w:rFonts w:ascii="Times New Roman" w:cs="Times New Roman" w:eastAsia="Times New Roman" w:hAnsi="Times New Roman"/>
          <w:sz w:val="18"/>
          <w:szCs w:val="18"/>
          <w:color w:val="auto"/>
        </w:rPr>
        <w:t>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continue to be developed or sustained.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Prior to the IPO, there was no public market for our common stock. Although our common stock is listed on the Nasdaq Global Market, if an active market for our common stock does not develop or is not sustained, it may be difficult for you to sell shares at an attractive price or at all.</w:t>
      </w:r>
    </w:p>
    <w:p>
      <w:pPr>
        <w:spacing w:after="0" w:line="50"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may continue to be volatile, and purchasers of our common stock could incur substantial losses.</w:t>
      </w:r>
    </w:p>
    <w:p>
      <w:pPr>
        <w:spacing w:after="0" w:line="3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stock price may be volatile. Since the IPO and through August 8, 2022, our common stock has traded at prices ranging from $2.41 to $78.82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69" w:lineRule="exact"/>
        <w:rPr>
          <w:sz w:val="20"/>
          <w:szCs w:val="20"/>
          <w:color w:val="auto"/>
        </w:rPr>
      </w:pPr>
    </w:p>
    <w:p>
      <w:pPr>
        <w:ind w:left="1140" w:hanging="504"/>
        <w:spacing w:after="0" w:line="266"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ongoing clinical trials of adintrevimab or the commencement, enrollment or results of any future clinical trials we may conduct, or changes in the development status of our product candidates;</w:t>
      </w:r>
    </w:p>
    <w:p>
      <w:pPr>
        <w:spacing w:after="0" w:line="67" w:lineRule="exact"/>
        <w:rPr>
          <w:rFonts w:ascii="Times New Roman" w:cs="Times New Roman" w:eastAsia="Times New Roman" w:hAnsi="Times New Roman"/>
          <w:sz w:val="18"/>
          <w:szCs w:val="18"/>
          <w:color w:val="auto"/>
        </w:rPr>
      </w:pPr>
    </w:p>
    <w:p>
      <w:pPr>
        <w:jc w:val="both"/>
        <w:ind w:left="1140" w:hanging="504"/>
        <w:spacing w:after="0" w:line="250"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adintrevimab or any other product candidate we may develop,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82"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termination of clinical trials;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our product candidates;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adintrevimab or any other product candidate;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equity research analysts who might cover our stock;</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competitors of new product candidates or technologies, or the results of clinical trials or regulatory decisions;</w:t>
      </w:r>
    </w:p>
    <w:p>
      <w:pPr>
        <w:spacing w:after="0" w:line="103"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54"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collaborators;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40"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7" w:name="page88"/>
    <w:bookmarkEnd w:id="87"/>
    <w:p>
      <w:pPr>
        <w:ind w:left="1140" w:hanging="504"/>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The stock market in general, and the Nasdaq Global Market and biotechnology companies in particular, have experienced extreme price and volume fluctuations, including as a result of the ongoing COVID-19 pandemic, the ongoing conflict between Russia and Ukraine, increases in inflation rates and disruptions to global supply chain, that have often been unrelated or disproportionate to the prospects of the issuer and which have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7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5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a material weakness in our internal control over financial reporting. We may identify future material weaknesses in our internal control over financial reporting. If we are unable to remediate these material weaknesses, or if we fail to establish and maintain adequate internal control over financial reporting, we may not be able to produce timely and accurate financial statements, and we may conclude that our internal control over financial reporting is not effective, which may adversely affect our business.</w:t>
      </w:r>
    </w:p>
    <w:p>
      <w:pPr>
        <w:spacing w:after="0" w:line="6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previously identified a material weakness in our internal control over financial reporting that was identified during the preparation of our March 31, 2021 financial statements. A material weakness is a deficiency, or combination of deficiencies, in internal control over financial reporting, such that there is a reasonable possibility that a material misstatement of our annual or interim condensed consolidated financial statements will not be prevented or detected on a timely basis.</w:t>
      </w:r>
    </w:p>
    <w:p>
      <w:pPr>
        <w:spacing w:after="0" w:line="83"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Although we have determined that the previously identified material weakness has been remediated as of December 31, 2021, we cannot assure you that we will not identify other material weaknesses in the future, which could negatively impact our results of operations in future periods.</w:t>
      </w:r>
    </w:p>
    <w:p>
      <w:pPr>
        <w:spacing w:after="0" w:line="54"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the IPO, we began the process of documenting, reviewing and improving our internal control over financial reporting for compliance with the rules and regulations of the Securities and Exchange Commission (the “SEC”), which requires annual management assessment of the effectiveness of our internal control over financial reporting.</w:t>
      </w:r>
    </w:p>
    <w:p>
      <w:pPr>
        <w:spacing w:after="0" w:line="72"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 over financial reporting may distract our officers and employees, entail substantial costs to modify our existing processes, and take significant time to complete. These changes may not, however, be effective in establishing and maintaining the adequacy of our internal controls, and any failure to maintain that adequacy, or consequent inability to produce accurate financial statements on a timely basis, could increase our operating costs and harm our business.</w:t>
      </w:r>
    </w:p>
    <w:p>
      <w:pPr>
        <w:spacing w:after="0" w:line="6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Further, if we are unable to meet the demands that have been placed upon us as a public company, including the rules and regulations of the SEC, we may be unable to accurately report our financial results in future periods, or report them within the timeframes required by law or stock exchange regulations. Failure to comply with the rules and regulations of the SEC, when and as applicable, could also potentially subject us to sanctions or investigations by the SEC or other regulatory authorities. Any failure to maintain or implement required effective internal control over financial reporting, or any difficulties we encounter in their implementation, could result in additional material weaknesses, cause us to fail to meet our reporting obligations or result in material misstatements in our financial statements. Furthermore, if we cannot provide reliable financial reports or prevent material misstatements due to fraud or error, our business and results of operations could be harmed, and investors could lose confidence in our reported financial information. We also could become subject to investigations by The Nasdaq Stock Market (“Nasdaq”), the SEC or other regulatory authorities, which could require additional financial and management resources.</w:t>
      </w:r>
    </w:p>
    <w:p>
      <w:pPr>
        <w:spacing w:after="0" w:line="73"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8" w:name="page89"/>
    <w:bookmarkEnd w:id="88"/>
    <w:p>
      <w:pPr>
        <w:jc w:val="both"/>
        <w:spacing w:after="0" w:line="282" w:lineRule="auto"/>
        <w:rPr>
          <w:sz w:val="20"/>
          <w:szCs w:val="20"/>
          <w:color w:val="auto"/>
        </w:rPr>
      </w:pPr>
      <w:r>
        <w:rPr>
          <w:rFonts w:ascii="Times New Roman" w:cs="Times New Roman" w:eastAsia="Times New Roman" w:hAnsi="Times New Roman"/>
          <w:sz w:val="18"/>
          <w:szCs w:val="18"/>
          <w:color w:val="auto"/>
        </w:rPr>
        <w:t>company or fails to publish reports on us regularly, demand for our stock could decrease, which in turn could cause our stock price or trading volume to decline.</w:t>
      </w:r>
    </w:p>
    <w:p>
      <w:pPr>
        <w:spacing w:after="0" w:line="36" w:lineRule="exact"/>
        <w:rPr>
          <w:sz w:val="20"/>
          <w:szCs w:val="20"/>
          <w:color w:val="auto"/>
        </w:rPr>
      </w:pPr>
    </w:p>
    <w:p>
      <w:pPr>
        <w:jc w:val="both"/>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available for immediate resale. This could cause the market price of our common stock to drop significantly, even if our business is doing well.</w:t>
      </w:r>
    </w:p>
    <w:p>
      <w:pPr>
        <w:spacing w:after="0" w:line="6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82"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addition, we have filed registration statements on Form S-8 under the Securities Act of 1933, as amended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and the restrictions of Rule 144 in the case of our affiliates.</w:t>
      </w:r>
    </w:p>
    <w:p>
      <w:pPr>
        <w:spacing w:after="0" w:line="86"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Additionally, the holders of an aggregate of approximately 44.0 million shares of our common stock, or their transferees,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6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63"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charter documents will also contain other provisions that could have an anti-takeover effect, including:</w:t>
      </w:r>
    </w:p>
    <w:p>
      <w:pPr>
        <w:spacing w:after="0" w:line="104" w:lineRule="exact"/>
        <w:rPr>
          <w:sz w:val="20"/>
          <w:szCs w:val="20"/>
          <w:color w:val="auto"/>
        </w:rPr>
      </w:pPr>
    </w:p>
    <w:p>
      <w:pPr>
        <w:ind w:left="2160" w:hanging="505"/>
        <w:spacing w:after="0"/>
        <w:tabs>
          <w:tab w:leader="none" w:pos="2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three classes of directors will be elected each year;</w:t>
      </w:r>
    </w:p>
    <w:p>
      <w:pPr>
        <w:spacing w:after="0" w:line="103" w:lineRule="exact"/>
        <w:rPr>
          <w:rFonts w:ascii="Times New Roman" w:cs="Times New Roman" w:eastAsia="Times New Roman" w:hAnsi="Times New Roman"/>
          <w:sz w:val="18"/>
          <w:szCs w:val="18"/>
          <w:color w:val="auto"/>
        </w:rPr>
      </w:pPr>
    </w:p>
    <w:p>
      <w:pPr>
        <w:ind w:left="2160" w:hanging="505"/>
        <w:spacing w:after="0"/>
        <w:tabs>
          <w:tab w:leader="none" w:pos="2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entitled to remove directors other than by a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vote and only for cause;</w:t>
      </w:r>
    </w:p>
    <w:p>
      <w:pPr>
        <w:spacing w:after="0" w:line="103" w:lineRule="exact"/>
        <w:rPr>
          <w:rFonts w:ascii="Times New Roman" w:cs="Times New Roman" w:eastAsia="Times New Roman" w:hAnsi="Times New Roman"/>
          <w:sz w:val="18"/>
          <w:szCs w:val="18"/>
          <w:color w:val="auto"/>
        </w:rPr>
      </w:pPr>
    </w:p>
    <w:p>
      <w:pPr>
        <w:ind w:left="2160" w:hanging="505"/>
        <w:spacing w:after="0"/>
        <w:tabs>
          <w:tab w:leader="none" w:pos="2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permitted to take actions by written consent;</w:t>
      </w:r>
    </w:p>
    <w:p>
      <w:pPr>
        <w:spacing w:after="0" w:line="117" w:lineRule="exact"/>
        <w:rPr>
          <w:rFonts w:ascii="Times New Roman" w:cs="Times New Roman" w:eastAsia="Times New Roman" w:hAnsi="Times New Roman"/>
          <w:sz w:val="18"/>
          <w:szCs w:val="18"/>
          <w:color w:val="auto"/>
        </w:rPr>
      </w:pPr>
    </w:p>
    <w:p>
      <w:pPr>
        <w:ind w:left="2160" w:hanging="505"/>
        <w:spacing w:after="0"/>
        <w:tabs>
          <w:tab w:leader="none" w:pos="2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03" w:lineRule="exact"/>
        <w:rPr>
          <w:rFonts w:ascii="Times New Roman" w:cs="Times New Roman" w:eastAsia="Times New Roman" w:hAnsi="Times New Roman"/>
          <w:sz w:val="18"/>
          <w:szCs w:val="18"/>
          <w:color w:val="auto"/>
        </w:rPr>
      </w:pPr>
    </w:p>
    <w:p>
      <w:pPr>
        <w:ind w:left="2160" w:hanging="505"/>
        <w:spacing w:after="0"/>
        <w:tabs>
          <w:tab w:leader="none" w:pos="21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104"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65"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Our executive officers, directors and current beneficial owners of five percent or more of our common stock and their respective affiliates beneficially own a majority of our outstanding common stock.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69"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9" w:name="page90"/>
    <w:bookmarkEnd w:id="89"/>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37" w:lineRule="exact"/>
        <w:rPr>
          <w:sz w:val="20"/>
          <w:szCs w:val="20"/>
          <w:color w:val="auto"/>
        </w:rPr>
      </w:pPr>
    </w:p>
    <w:p>
      <w:pPr>
        <w:jc w:val="both"/>
        <w:ind w:firstLine="509"/>
        <w:spacing w:after="0" w:line="247"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and may remain an emerging growth company until the last day of the fiscal year following the fifth anniversary of the completion of the IPO. However, if certain events occur prior to the end of such five-year period, including if we become a “large accelerated filer,” our annual gross revenues exceed $1.07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72" w:lineRule="exact"/>
        <w:rPr>
          <w:sz w:val="20"/>
          <w:szCs w:val="20"/>
          <w:color w:val="auto"/>
        </w:rPr>
      </w:pPr>
    </w:p>
    <w:p>
      <w:pPr>
        <w:jc w:val="both"/>
        <w:ind w:left="1140" w:hanging="504"/>
        <w:spacing w:after="0" w:line="250"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82"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0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40"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68"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69"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3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under the Securities Exchange Act of 1934, as amended (the “Exchange Act”). We are therefore entitled to rely on certain reduced disclosure requirements for as long as we remain a smaller reporting company, such as an exemption from providing selected financial data and certain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w:t>
      </w:r>
    </w:p>
    <w:p>
      <w:pPr>
        <w:spacing w:after="0" w:line="73"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including the net proceeds from our initial public offering.</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including the net proceeds from the IPO. You may not agree with our decisions, and our use of the proceeds may not yield any return on your investment. Our failure to apply our cash and cash equivalents effectively could compromise our ability to pursue our growth strategy and we might not be able to yield a significant return, if any, on our investment of our cash and cash equivalents. You will not have the opportunity to influence our decisions on how to use our cash and cash equivalents.</w:t>
      </w:r>
    </w:p>
    <w:p>
      <w:pPr>
        <w:spacing w:after="0" w:line="6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37"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90" w:name="page91"/>
    <w:bookmarkEnd w:id="90"/>
    <w:p>
      <w:pPr>
        <w:jc w:val="both"/>
        <w:ind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40" w:lineRule="exact"/>
        <w:rPr>
          <w:sz w:val="20"/>
          <w:szCs w:val="20"/>
          <w:color w:val="auto"/>
        </w:rPr>
      </w:pPr>
    </w:p>
    <w:p>
      <w:pPr>
        <w:ind w:left="1140" w:hanging="50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0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1140" w:hanging="504"/>
        <w:spacing w:after="0" w:line="266" w:lineRule="auto"/>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 and</w:t>
      </w:r>
    </w:p>
    <w:p>
      <w:pPr>
        <w:spacing w:after="0" w:line="54"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90"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United States of America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w:t>
      </w:r>
    </w:p>
    <w:p>
      <w:pPr>
        <w:jc w:val="both"/>
        <w:spacing w:after="0" w:line="211" w:lineRule="auto"/>
        <w:rPr>
          <w:sz w:val="20"/>
          <w:szCs w:val="20"/>
          <w:color w:val="auto"/>
        </w:rPr>
      </w:pPr>
      <w:r>
        <w:rPr>
          <w:rFonts w:ascii="Times New Roman" w:cs="Times New Roman" w:eastAsia="Times New Roman" w:hAnsi="Times New Roman"/>
          <w:sz w:val="18"/>
          <w:szCs w:val="18"/>
          <w:color w:val="auto"/>
        </w:rPr>
        <w:t>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spacing w:after="0" w:line="51" w:lineRule="exact"/>
        <w:rPr>
          <w:sz w:val="20"/>
          <w:szCs w:val="20"/>
          <w:color w:val="auto"/>
        </w:rPr>
      </w:pPr>
    </w:p>
    <w:p>
      <w:pPr>
        <w:jc w:val="both"/>
        <w:ind w:firstLine="509"/>
        <w:spacing w:after="0" w:line="229" w:lineRule="auto"/>
        <w:rPr>
          <w:sz w:val="20"/>
          <w:szCs w:val="20"/>
          <w:color w:val="auto"/>
        </w:rPr>
      </w:pPr>
      <w:r>
        <w:rPr>
          <w:rFonts w:ascii="Times New Roman" w:cs="Times New Roman" w:eastAsia="Times New Roman" w:hAnsi="Times New Roman"/>
          <w:sz w:val="18"/>
          <w:szCs w:val="18"/>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demands upon management as a result of becoming a public company, which could lower our profits or make it more difficult to run our business.</w:t>
      </w:r>
    </w:p>
    <w:p>
      <w:pPr>
        <w:spacing w:after="0" w:line="50" w:lineRule="exact"/>
        <w:rPr>
          <w:sz w:val="20"/>
          <w:szCs w:val="20"/>
          <w:color w:val="auto"/>
        </w:rPr>
      </w:pPr>
    </w:p>
    <w:p>
      <w:pPr>
        <w:jc w:val="both"/>
        <w:ind w:firstLine="509"/>
        <w:spacing w:after="0" w:line="222" w:lineRule="auto"/>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will incur significant legal, accounting and other expenses that we did not incur as a private company, including costs associated with public company reporting requirements. We also have incurred and</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will continue to incur costs associated with the Sarbanes-Oxley Act, and related rules implemented by the SEC and Nasdaq.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w:t>
      </w:r>
    </w:p>
    <w:p>
      <w:pPr>
        <w:jc w:val="both"/>
        <w:spacing w:after="0" w:line="211" w:lineRule="auto"/>
        <w:rPr>
          <w:sz w:val="20"/>
          <w:szCs w:val="20"/>
          <w:color w:val="auto"/>
        </w:rPr>
      </w:pPr>
      <w:r>
        <w:rPr>
          <w:rFonts w:ascii="Times New Roman" w:cs="Times New Roman" w:eastAsia="Times New Roman" w:hAnsi="Times New Roman"/>
          <w:sz w:val="18"/>
          <w:szCs w:val="18"/>
          <w:color w:val="auto"/>
        </w:rPr>
        <w:t>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52" w:lineRule="exact"/>
        <w:rPr>
          <w:sz w:val="20"/>
          <w:szCs w:val="20"/>
          <w:color w:val="auto"/>
        </w:rPr>
      </w:pPr>
    </w:p>
    <w:p>
      <w:pPr>
        <w:jc w:val="both"/>
        <w:ind w:firstLine="509"/>
        <w:spacing w:after="0" w:line="224" w:lineRule="auto"/>
        <w:rPr>
          <w:sz w:val="20"/>
          <w:szCs w:val="20"/>
          <w:color w:val="auto"/>
        </w:rPr>
      </w:pPr>
      <w:r>
        <w:rPr>
          <w:rFonts w:ascii="Times New Roman" w:cs="Times New Roman" w:eastAsia="Times New Roman" w:hAnsi="Times New Roman"/>
          <w:sz w:val="18"/>
          <w:szCs w:val="18"/>
          <w:color w:val="auto"/>
        </w:rPr>
        <w:t>In particular, pursuant to Section 404 of the Sarbanes-Oxley Act of 2002 (“Section 404”), in our second annual report on Form 10-K due to be filed with the SEC after becoming a public company,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w:t>
      </w:r>
    </w:p>
    <w:p>
      <w:pPr>
        <w:spacing w:after="0" w:line="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91" w:name="page92"/>
    <w:bookmarkEnd w:id="9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21"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18"/>
          <w:szCs w:val="18"/>
          <w:color w:val="auto"/>
        </w:rPr>
        <w:t>We have incurred substantial losses since inception and do not expect to become profitable in the near future, if ever. To the extent that we continue to generate taxable losses, unused losses will carry forward to offset future taxable income, if any. As of December 31, 2021, we had U.S. federal net operating loss (“NOL”) carryforwards of $221.9 million, which may be available to reduce future taxable income and have an indefinite carryforward period but are limited in their usage to an annual deduction equal to 80% of annual taxable income. In addition, as of December 31, 2021, we had state NOL carryforwards of $81.9 million, which may be available to reduce future taxable income, of which $3.4 million have an indefinite carryforward period while the remaining $78.5 million begin to expire in 2041. As of December 31, 2021, we also had U.S. federal and state research and development tax credit carryforwards of $3.3 million and $1.3 million, respectively, which may be available to reduce future tax liabilities and expire at various dates beginning in 2041 and 2036, respectively.</w:t>
      </w:r>
    </w:p>
    <w:p>
      <w:pPr>
        <w:spacing w:after="0" w:line="7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Under the Tax Act, as modified by the Coronavirus Aid, Relief and Economic Security Act (the “CARES Act”), federal NOLs incurred in taxable years beginning after December 31, 2017 and in future taxable years may carry forward indefinitely, but the deductibility of such federal NOLs incurred in taxable years beginning after December 31, 2020 may be limited. It is uncertain how various states will respond to the Tax Act and the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IPO, together with private placements and other transactions that have occurred since our inception, may trigger such an ownership change pursuant to Section</w:t>
      </w:r>
    </w:p>
    <w:p>
      <w:pPr>
        <w:spacing w:after="0" w:line="4" w:lineRule="exact"/>
        <w:rPr>
          <w:sz w:val="20"/>
          <w:szCs w:val="20"/>
          <w:color w:val="auto"/>
        </w:rPr>
      </w:pPr>
    </w:p>
    <w:p>
      <w:pPr>
        <w:jc w:val="both"/>
        <w:ind w:firstLine="8"/>
        <w:spacing w:after="0" w:line="242" w:lineRule="auto"/>
        <w:tabs>
          <w:tab w:leader="none" w:pos="38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conducted a study to assess whether any such ownership changes have occurred. We may have experienced, and may in the future experience, ownership changes as a result of shifts in our stock ownership, some of which may be outside of our control. If an ownership change has occurred or occurs in the future, and our ability to use our NOL carryforwards is materially limited, it would harm our financial condition and results of operations by effectively increasing our future tax obligations.</w:t>
      </w:r>
    </w:p>
    <w:p>
      <w:pPr>
        <w:spacing w:after="0" w:line="9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Beginning in 2022, the Tax Act eliminates the currently available option to deduct research and development expenditures and requires taxpayers to amortize them over five years. The U.S. Congress is considering legislation that would defer the amortization requirement to future periods; however, there is no assurance that the provision will be repealed or otherwise modified. If the requirement is not repealed or modified, it will have a material impact on our cash flows beginning in 2022.</w:t>
      </w:r>
    </w:p>
    <w:p>
      <w:pPr>
        <w:spacing w:after="0" w:line="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activities will be subject to the Foreign Corrupt Practices Act (the “FCPA”) and similar anti-bribery and anti-corruption laws.</w:t>
      </w:r>
    </w:p>
    <w:p>
      <w:pPr>
        <w:spacing w:after="0" w:line="108"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92" w:name="page93"/>
    <w:bookmarkEnd w:id="92"/>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80"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69" w:lineRule="exact"/>
        <w:rPr>
          <w:sz w:val="20"/>
          <w:szCs w:val="20"/>
          <w:color w:val="auto"/>
        </w:rPr>
      </w:pPr>
    </w:p>
    <w:p>
      <w:pPr>
        <w:jc w:val="both"/>
        <w:ind w:firstLine="509"/>
        <w:spacing w:after="0" w:line="24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87"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Since then, the FDA has resumed both domestic and foreign inspections subject to travel restrictions. The FDA continues to adapt to the evolving COVID-19 pandemic, and has increasingly relied on alternative inspectional tools, including product sampling, records requests under Section 704(a)(4) of the Federal Food, Drug, and Cosmetic Act, and remote regulatory assessments, in lieu of or to supplement traditional in-person inspections.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89"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and geopolitical events could adversely affect our business, financial condition or results of operations, including clinical trials.</w:t>
      </w:r>
    </w:p>
    <w:p>
      <w:pPr>
        <w:spacing w:after="0" w:line="50" w:lineRule="exact"/>
        <w:rPr>
          <w:sz w:val="20"/>
          <w:szCs w:val="20"/>
          <w:color w:val="auto"/>
        </w:rPr>
      </w:pPr>
    </w:p>
    <w:p>
      <w:pPr>
        <w:jc w:val="both"/>
        <w:ind w:firstLine="509"/>
        <w:spacing w:after="0" w:line="24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financial markets and the global economy may also be adversely affected by the current or anticipated impact of military conflict, including the ongoing conflict between Russia and Ukraine, terrorism or other geopolitical events. Sanctions imposed by the United States and other countries in response to such conflicts, including the one in Ukraine, may also adversely impact our clinical trials, the financial markets and the global economy, and any economic countermeasures by the affected countries or others could exacerbate market and economic instability. Portions of our future clinical trials may be conducted outside of the United States and unfavorable economic conditions resulting in the weakening of the U.S. dollar would make those clinical trials more costly to operate. Some of our clinical trial sites are in regions impacted by the ongoing geopolitical conflict between Russia and Ukraine. Furthermore, a severe or prolonged economic downturn, including a recession or depression resulting from the current COVID-19 pandemic, higher inflation and interest rates, political disruption or other geopolitical events, including an expansion of the conflict between Russia and Ukraine or instigation of other military conflicts, could result in a variety of risks 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08"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On August 5, 2021, our Registration Statement on Form S-1, as amended (File No. 333-257975), was declared effective in connection with the IPO, pursuant to which we sold an aggregate of 20,930,000 shares of our common stock, including the full exercise of the underwriters’ option to purchase additional shares, at a price to the public of $17.00 per share. Morgan Stanley &amp; Co. LLC, Jefferies LLC, Stifel, Nicolaus &amp; Company, Incorporated and Guggenheim Securities, LLC acted as joint book-running managers.</w:t>
      </w:r>
    </w:p>
    <w:p>
      <w:pPr>
        <w:spacing w:after="0" w:line="6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IPO closed on August 10, 2021. The aggregate net proceeds received by the Company from the IPO were approximately $327.5 million, after deducting underwriting discounts and commissions of $24.9 million and offering expenses payable by the Company of $3.4 million. In connection with the IPO, no payments were made by us to directors, officers or persons owning ten percent or more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93" w:name="page94"/>
    <w:bookmarkEnd w:id="93"/>
    <w:p>
      <w:pPr>
        <w:spacing w:after="0" w:line="282" w:lineRule="auto"/>
        <w:rPr>
          <w:sz w:val="20"/>
          <w:szCs w:val="20"/>
          <w:color w:val="auto"/>
        </w:rPr>
      </w:pPr>
      <w:r>
        <w:rPr>
          <w:rFonts w:ascii="Times New Roman" w:cs="Times New Roman" w:eastAsia="Times New Roman" w:hAnsi="Times New Roman"/>
          <w:sz w:val="18"/>
          <w:szCs w:val="18"/>
          <w:color w:val="auto"/>
        </w:rPr>
        <w:t>of our common stock or to their associates or to our affiliates. There has been no material change in the planned use of proceeds from the IPO as described in our prospectus filed pursuant to Rule 424(b)(4) under the Securities Act with the SEC on August 6, 2021.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ectPr>
          <w:pgSz w:w="11900" w:h="16838" w:orient="portrait"/>
          <w:cols w:equalWidth="0" w:num="1">
            <w:col w:w="11240"/>
          </w:cols>
          <w:pgMar w:left="320" w:top="432"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3040" w:type="dxa"/>
            <w:vAlign w:val="bottom"/>
          </w:tcPr>
          <w:p>
            <w:pPr>
              <w:jc w:val="center"/>
              <w:ind w:left="1228"/>
              <w:spacing w:after="0"/>
              <w:rPr>
                <w:sz w:val="20"/>
                <w:szCs w:val="20"/>
                <w:color w:val="auto"/>
              </w:rPr>
            </w:pPr>
            <w:r>
              <w:rPr>
                <w:rFonts w:ascii="Times New Roman" w:cs="Times New Roman" w:eastAsia="Times New Roman" w:hAnsi="Times New Roman"/>
                <w:sz w:val="14"/>
                <w:szCs w:val="14"/>
                <w:b w:val="1"/>
                <w:bCs w:val="1"/>
                <w:color w:val="auto"/>
              </w:rPr>
              <w:t>(a) Total Number of</w:t>
            </w: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040" w:type="dxa"/>
            <w:vAlign w:val="bottom"/>
          </w:tcPr>
          <w:p>
            <w:pPr>
              <w:jc w:val="center"/>
              <w:ind w:left="1208"/>
              <w:spacing w:after="0" w:line="160"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660" w:type="dxa"/>
            <w:vAlign w:val="bottom"/>
          </w:tcPr>
          <w:p>
            <w:pPr>
              <w:jc w:val="center"/>
              <w:ind w:left="208"/>
              <w:spacing w:after="0" w:line="160" w:lineRule="exact"/>
              <w:rPr>
                <w:sz w:val="20"/>
                <w:szCs w:val="20"/>
                <w:color w:val="auto"/>
              </w:rPr>
            </w:pPr>
            <w:r>
              <w:rPr>
                <w:rFonts w:ascii="Times New Roman" w:cs="Times New Roman" w:eastAsia="Times New Roman" w:hAnsi="Times New Roman"/>
                <w:sz w:val="14"/>
                <w:szCs w:val="14"/>
                <w:b w:val="1"/>
                <w:bCs w:val="1"/>
                <w:color w:val="auto"/>
              </w:rPr>
              <w:t>(b) Average Price Paid</w:t>
            </w:r>
          </w:p>
        </w:tc>
        <w:tc>
          <w:tcPr>
            <w:tcW w:w="0" w:type="dxa"/>
            <w:vAlign w:val="bottom"/>
          </w:tcPr>
          <w:p>
            <w:pPr>
              <w:spacing w:after="0"/>
              <w:rPr>
                <w:sz w:val="1"/>
                <w:szCs w:val="1"/>
                <w:color w:val="auto"/>
              </w:rPr>
            </w:pPr>
          </w:p>
        </w:tc>
      </w:tr>
      <w:tr>
        <w:trPr>
          <w:trHeight w:val="189"/>
        </w:trPr>
        <w:tc>
          <w:tcPr>
            <w:tcW w:w="1940" w:type="dxa"/>
            <w:vAlign w:val="bottom"/>
            <w:vMerge w:val="continue"/>
          </w:tcPr>
          <w:p>
            <w:pPr>
              <w:spacing w:after="0"/>
              <w:rPr>
                <w:sz w:val="16"/>
                <w:szCs w:val="16"/>
                <w:color w:val="auto"/>
              </w:rPr>
            </w:pPr>
          </w:p>
        </w:tc>
        <w:tc>
          <w:tcPr>
            <w:tcW w:w="3040" w:type="dxa"/>
            <w:vAlign w:val="bottom"/>
          </w:tcPr>
          <w:p>
            <w:pPr>
              <w:jc w:val="center"/>
              <w:ind w:left="1248"/>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per Share (or Unit)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 Total Number of</w:t>
            </w:r>
          </w:p>
        </w:tc>
        <w:tc>
          <w:tcPr>
            <w:tcW w:w="236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(d) Maximum Number (or</w:t>
            </w:r>
          </w:p>
        </w:tc>
      </w:tr>
      <w:tr>
        <w:trPr>
          <w:trHeight w:val="148"/>
        </w:trPr>
        <w:tc>
          <w:tcPr>
            <w:tcW w:w="152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236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48"/>
        </w:trPr>
        <w:tc>
          <w:tcPr>
            <w:tcW w:w="152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23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that May Yet Be</w:t>
            </w:r>
          </w:p>
        </w:tc>
      </w:tr>
      <w:tr>
        <w:trPr>
          <w:trHeight w:val="148"/>
        </w:trPr>
        <w:tc>
          <w:tcPr>
            <w:tcW w:w="152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236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190"/>
        </w:trPr>
        <w:tc>
          <w:tcPr>
            <w:tcW w:w="15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36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Programs</w:t>
            </w:r>
          </w:p>
        </w:tc>
      </w:tr>
    </w:tbl>
    <w:p>
      <w:pPr>
        <w:spacing w:after="0" w:line="11" w:lineRule="exact"/>
        <w:rPr>
          <w:sz w:val="20"/>
          <w:szCs w:val="20"/>
          <w:color w:val="auto"/>
        </w:rPr>
      </w:pPr>
    </w:p>
    <w:p>
      <w:pPr>
        <w:sectPr>
          <w:pgSz w:w="11900" w:h="16838" w:orient="portrait"/>
          <w:cols w:equalWidth="0" w:num="2">
            <w:col w:w="6660" w:space="480"/>
            <w:col w:w="4100"/>
          </w:cols>
          <w:pgMar w:left="320" w:top="432"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32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1, 2022 to April 30, 2022</w:t>
            </w:r>
          </w:p>
        </w:tc>
        <w:tc>
          <w:tcPr>
            <w:tcW w:w="180" w:type="dxa"/>
            <w:vAlign w:val="bottom"/>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18"/>
                <w:szCs w:val="18"/>
                <w:color w:val="auto"/>
              </w:rPr>
            </w:pPr>
          </w:p>
        </w:tc>
        <w:tc>
          <w:tcPr>
            <w:tcW w:w="2280" w:type="dxa"/>
            <w:vAlign w:val="bottom"/>
            <w:tcBorders>
              <w:top w:val="single" w:sz="8" w:color="auto"/>
            </w:tcBorders>
            <w:shd w:val="clear" w:color="auto" w:fill="CFF0FC"/>
          </w:tcPr>
          <w:p>
            <w:pPr>
              <w:ind w:left="2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2022 to May 31, 2022</w:t>
            </w: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228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3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1, 2022 to June 30, 2022</w:t>
            </w:r>
          </w:p>
        </w:tc>
        <w:tc>
          <w:tcPr>
            <w:tcW w:w="18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992,648</w:t>
            </w:r>
          </w:p>
        </w:tc>
        <w:tc>
          <w:tcPr>
            <w:tcW w:w="360" w:type="dxa"/>
            <w:vAlign w:val="bottom"/>
            <w:tcBorders>
              <w:bottom w:val="single" w:sz="8" w:color="CFF0FC"/>
            </w:tcBorders>
            <w:shd w:val="clear" w:color="auto" w:fill="CFF0FC"/>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0.002</w:t>
            </w:r>
          </w:p>
        </w:tc>
        <w:tc>
          <w:tcPr>
            <w:tcW w:w="26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18"/>
                <w:szCs w:val="18"/>
                <w:color w:val="auto"/>
              </w:rPr>
            </w:pPr>
          </w:p>
        </w:tc>
        <w:tc>
          <w:tcPr>
            <w:tcW w:w="2280" w:type="dxa"/>
            <w:vAlign w:val="bottom"/>
            <w:tcBorders>
              <w:bottom w:val="single" w:sz="8" w:color="auto"/>
            </w:tcBorders>
            <w:shd w:val="clear" w:color="auto" w:fill="CFF0FC"/>
          </w:tcPr>
          <w:p>
            <w:pPr>
              <w:ind w:left="2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992,648</w:t>
            </w:r>
          </w:p>
        </w:tc>
        <w:tc>
          <w:tcPr>
            <w:tcW w:w="36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0.002</w:t>
            </w:r>
          </w:p>
        </w:tc>
        <w:tc>
          <w:tcPr>
            <w:tcW w:w="260" w:type="dxa"/>
            <w:vAlign w:val="bottom"/>
          </w:tcPr>
          <w:p>
            <w:pPr>
              <w:spacing w:after="0"/>
              <w:rPr>
                <w:sz w:val="18"/>
                <w:szCs w:val="18"/>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2280" w:type="dxa"/>
            <w:vAlign w:val="bottom"/>
          </w:tcPr>
          <w:p>
            <w:pPr>
              <w:ind w:left="208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0"/>
        </w:trPr>
        <w:tc>
          <w:tcPr>
            <w:tcW w:w="3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-170815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-170815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 w:lineRule="exact"/>
        <w:rPr>
          <w:sz w:val="20"/>
          <w:szCs w:val="20"/>
          <w:color w:val="auto"/>
        </w:rPr>
      </w:pPr>
    </w:p>
    <w:p>
      <w:pPr>
        <w:ind w:firstLine="8"/>
        <w:spacing w:after="0" w:line="266" w:lineRule="auto"/>
        <w:tabs>
          <w:tab w:leader="none" w:pos="150" w:val="left"/>
        </w:tabs>
        <w:numPr>
          <w:ilvl w:val="0"/>
          <w:numId w:val="65"/>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We repurchased shares of our common stock that were previously issued upon the early exercise of employee stock options in connection with the exercise of our repurchase right upon cessation of employment of certain of our employees and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gridSpan w:val="14"/>
            <w:vMerge w:val="restart"/>
          </w:tcPr>
          <w:p>
            <w:pPr>
              <w:ind w:left="3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180" w:type="dxa"/>
            <w:vAlign w:val="bottom"/>
            <w:tcBorders>
              <w:bottom w:val="single" w:sz="8" w:color="auto"/>
            </w:tcBorders>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00" w:type="dxa"/>
            <w:vAlign w:val="bottom"/>
            <w:gridSpan w:val="16"/>
          </w:tcPr>
          <w:p>
            <w:pPr>
              <w:spacing w:after="0" w:line="15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Amended and Restated Certificate of Incorporation (incorporated by reference to Exhibit 3.1 of the Company’s Current Report on Form 8-</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71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K (File No. 001-40703), filed with the Securities and Exchange Commission on August 10,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2860" w:type="dxa"/>
            <w:vAlign w:val="bottom"/>
            <w:tcBorders>
              <w:top w:val="single" w:sz="8" w:color="0000FF"/>
            </w:tcBorders>
            <w:gridSpan w:val="5"/>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120" w:type="dxa"/>
            <w:vAlign w:val="bottom"/>
            <w:gridSpan w:val="7"/>
          </w:tcPr>
          <w:p>
            <w:pPr>
              <w:spacing w:after="0" w:line="182" w:lineRule="exact"/>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Amended and Restated Bylaws (incorporated by reference to Exhibit 3.2 of the Company’s Current</w:t>
              </w:r>
            </w:hyperlink>
          </w:p>
        </w:tc>
        <w:tc>
          <w:tcPr>
            <w:tcW w:w="2980" w:type="dxa"/>
            <w:vAlign w:val="bottom"/>
            <w:gridSpan w:val="9"/>
          </w:tcPr>
          <w:p>
            <w:pPr>
              <w:ind w:left="80"/>
              <w:spacing w:after="0" w:line="182"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Report on Form 8-K (File No. 001-</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20" w:type="dxa"/>
            <w:vAlign w:val="bottom"/>
            <w:tcBorders>
              <w:top w:val="single" w:sz="8" w:color="0000EE"/>
              <w:bottom w:val="single" w:sz="8" w:color="0000EE"/>
            </w:tcBorders>
          </w:tcPr>
          <w:p>
            <w:pPr>
              <w:spacing w:after="0"/>
              <w:rPr>
                <w:sz w:val="14"/>
                <w:szCs w:val="14"/>
                <w:color w:val="auto"/>
              </w:rPr>
            </w:pPr>
          </w:p>
        </w:tc>
        <w:tc>
          <w:tcPr>
            <w:tcW w:w="590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40703)</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Securities and Exchange Commission on August 10,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3820" w:type="dxa"/>
            <w:vAlign w:val="bottom"/>
            <w:tcBorders>
              <w:top w:val="single" w:sz="8" w:color="0000FF"/>
            </w:tcBorders>
            <w:gridSpan w:val="5"/>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920" w:type="dxa"/>
            <w:vAlign w:val="bottom"/>
            <w:gridSpan w:val="5"/>
          </w:tcPr>
          <w:p>
            <w:pPr>
              <w:spacing w:after="0" w:line="182"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Employment Agreement by and between the Registrant and David Hering, dated</w:t>
              </w:r>
            </w:hyperlink>
          </w:p>
        </w:tc>
        <w:tc>
          <w:tcPr>
            <w:tcW w:w="4180" w:type="dxa"/>
            <w:vAlign w:val="bottom"/>
            <w:gridSpan w:val="11"/>
          </w:tcPr>
          <w:p>
            <w:pPr>
              <w:spacing w:after="0" w:line="182"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July 5, 2022 (incorporated by reference to Exhibit 10.1 of</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the Company's Current Report on Form 8-K (File No. 001-40703), filed with the Securities and Exchange Commission on July 5, 2022).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9840" w:type="dxa"/>
            <w:vAlign w:val="bottom"/>
            <w:tcBorders>
              <w:top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20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80" w:type="dxa"/>
            <w:vAlign w:val="bottom"/>
            <w:tcBorders>
              <w:top w:val="single" w:sz="8" w:color="0000FF"/>
            </w:tcBorders>
            <w:gridSpan w:val="6"/>
          </w:tcPr>
          <w:p>
            <w:pPr>
              <w:spacing w:after="0"/>
              <w:rPr>
                <w:sz w:val="14"/>
                <w:szCs w:val="14"/>
                <w:color w:val="auto"/>
              </w:rPr>
            </w:pPr>
          </w:p>
        </w:tc>
        <w:tc>
          <w:tcPr>
            <w:tcW w:w="3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20" w:type="dxa"/>
            <w:vAlign w:val="bottom"/>
            <w:tcBorders>
              <w:top w:val="single" w:sz="8" w:color="0000FF"/>
            </w:tcBorders>
            <w:gridSpan w:val="5"/>
          </w:tcPr>
          <w:p>
            <w:pPr>
              <w:spacing w:after="0"/>
              <w:rPr>
                <w:sz w:val="14"/>
                <w:szCs w:val="14"/>
                <w:color w:val="auto"/>
              </w:rPr>
            </w:pPr>
          </w:p>
        </w:tc>
        <w:tc>
          <w:tcPr>
            <w:tcW w:w="44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10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60" w:type="dxa"/>
            <w:vAlign w:val="bottom"/>
            <w:tcBorders>
              <w:top w:val="single" w:sz="8" w:color="0000FF"/>
            </w:tcBorders>
            <w:gridSpan w:val="1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Certification</w:t>
            </w:r>
          </w:p>
        </w:tc>
        <w:tc>
          <w:tcPr>
            <w:tcW w:w="9180" w:type="dxa"/>
            <w:vAlign w:val="bottom"/>
            <w:gridSpan w:val="14"/>
          </w:tcPr>
          <w:p>
            <w:pPr>
              <w:ind w:left="20"/>
              <w:spacing w:after="0" w:line="182" w:lineRule="exact"/>
              <w:rPr>
                <w:sz w:val="20"/>
                <w:szCs w:val="20"/>
                <w:color w:val="auto"/>
              </w:rPr>
            </w:pPr>
            <w:r>
              <w:rPr>
                <w:rFonts w:ascii="Times New Roman" w:cs="Times New Roman" w:eastAsia="Times New Roman" w:hAnsi="Times New Roman"/>
                <w:sz w:val="18"/>
                <w:szCs w:val="18"/>
                <w:color w:val="0000FF"/>
              </w:rPr>
              <w:t>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0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top w:val="single" w:sz="8" w:color="0000FF"/>
              <w:bottom w:val="single" w:sz="8" w:color="0000EE"/>
            </w:tcBorders>
          </w:tcPr>
          <w:p>
            <w:pPr>
              <w:spacing w:after="0"/>
              <w:rPr>
                <w:sz w:val="14"/>
                <w:szCs w:val="14"/>
                <w:color w:val="auto"/>
              </w:rPr>
            </w:pPr>
          </w:p>
        </w:tc>
        <w:tc>
          <w:tcPr>
            <w:tcW w:w="9120" w:type="dxa"/>
            <w:vAlign w:val="bottom"/>
            <w:tcBorders>
              <w:top w:val="single" w:sz="8" w:color="0000FF"/>
            </w:tcBorders>
            <w:gridSpan w:val="11"/>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w w:val="95"/>
              </w:rPr>
              <w:t>Inline XBRL</w:t>
            </w:r>
          </w:p>
        </w:tc>
        <w:tc>
          <w:tcPr>
            <w:tcW w:w="9180" w:type="dxa"/>
            <w:vAlign w:val="bottom"/>
            <w:gridSpan w:val="14"/>
          </w:tcPr>
          <w:p>
            <w:pPr>
              <w:ind w:left="60"/>
              <w:spacing w:after="0" w:line="177" w:lineRule="exact"/>
              <w:rPr>
                <w:sz w:val="20"/>
                <w:szCs w:val="20"/>
                <w:color w:val="auto"/>
              </w:rPr>
            </w:pPr>
            <w:r>
              <w:rPr>
                <w:rFonts w:ascii="Times New Roman" w:cs="Times New Roman" w:eastAsia="Times New Roman" w:hAnsi="Times New Roman"/>
                <w:sz w:val="18"/>
                <w:szCs w:val="18"/>
                <w:color w:val="auto"/>
              </w:rPr>
              <w:t>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80" w:hanging="459"/>
        <w:spacing w:after="0"/>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80" w:hanging="459"/>
        <w:spacing w:after="0"/>
        <w:tabs>
          <w:tab w:leader="none" w:pos="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ind w:left="480" w:right="520" w:hanging="459"/>
        <w:spacing w:after="0" w:line="229" w:lineRule="auto"/>
        <w:tabs>
          <w:tab w:leader="none" w:pos="4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Adagio Therapeutics, Inc.</w:t>
            </w:r>
          </w:p>
        </w:tc>
      </w:tr>
      <w:tr>
        <w:trPr>
          <w:trHeight w:val="405"/>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15, 2022</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David Hering, M.B.A.</w:t>
            </w:r>
          </w:p>
        </w:tc>
      </w:tr>
      <w:tr>
        <w:trPr>
          <w:trHeight w:val="160"/>
        </w:trPr>
        <w:tc>
          <w:tcPr>
            <w:tcW w:w="3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David Hering, M.B.A.</w:t>
            </w:r>
          </w:p>
        </w:tc>
      </w:tr>
      <w:tr>
        <w:trPr>
          <w:trHeight w:val="203"/>
        </w:trPr>
        <w:tc>
          <w:tcPr>
            <w:tcW w:w="3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238"/>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(Principal Executive Officer)</w:t>
            </w:r>
          </w:p>
        </w:tc>
      </w:tr>
      <w:tr>
        <w:trPr>
          <w:trHeight w:val="405"/>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15, 2022</w:t>
            </w:r>
          </w:p>
        </w:tc>
        <w:tc>
          <w:tcPr>
            <w:tcW w:w="24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Jane Pritchett Henderson</w:t>
            </w:r>
          </w:p>
        </w:tc>
      </w:tr>
      <w:tr>
        <w:trPr>
          <w:trHeight w:val="160"/>
        </w:trPr>
        <w:tc>
          <w:tcPr>
            <w:tcW w:w="36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52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Jane Pritchett Henderson</w:t>
            </w:r>
          </w:p>
        </w:tc>
      </w:tr>
      <w:tr>
        <w:trPr>
          <w:trHeight w:val="203"/>
        </w:trPr>
        <w:tc>
          <w:tcPr>
            <w:tcW w:w="3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Chief Financial Officer and</w:t>
            </w:r>
          </w:p>
        </w:tc>
      </w:tr>
      <w:tr>
        <w:trPr>
          <w:trHeight w:val="203"/>
        </w:trPr>
        <w:tc>
          <w:tcPr>
            <w:tcW w:w="3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Chief Business Officer</w:t>
            </w:r>
          </w:p>
        </w:tc>
      </w:tr>
      <w:tr>
        <w:trPr>
          <w:trHeight w:val="238"/>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(Principal Financial Officer)</w:t>
            </w:r>
          </w:p>
        </w:tc>
      </w:tr>
      <w:tr>
        <w:trPr>
          <w:trHeight w:val="837"/>
        </w:trPr>
        <w:tc>
          <w:tcPr>
            <w:tcW w:w="3600" w:type="dxa"/>
            <w:vAlign w:val="bottom"/>
          </w:tcPr>
          <w:p>
            <w:pPr>
              <w:spacing w:after="0"/>
              <w:rPr>
                <w:sz w:val="24"/>
                <w:szCs w:val="24"/>
                <w:color w:val="auto"/>
              </w:rPr>
            </w:pPr>
          </w:p>
        </w:tc>
        <w:tc>
          <w:tcPr>
            <w:tcW w:w="2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92</w:t>
            </w:r>
          </w:p>
        </w:tc>
        <w:tc>
          <w:tcPr>
            <w:tcW w:w="522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2420" w:type="dxa"/>
            <w:vAlign w:val="bottom"/>
            <w:tcBorders>
              <w:bottom w:val="single" w:sz="8" w:color="9A9A9A"/>
            </w:tcBorders>
          </w:tcPr>
          <w:p>
            <w:pPr>
              <w:spacing w:after="0"/>
              <w:rPr>
                <w:sz w:val="10"/>
                <w:szCs w:val="10"/>
                <w:color w:val="auto"/>
              </w:rPr>
            </w:pPr>
          </w:p>
        </w:tc>
        <w:tc>
          <w:tcPr>
            <w:tcW w:w="5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Hering, certify that:</w:t>
      </w:r>
    </w:p>
    <w:p>
      <w:pPr>
        <w:spacing w:after="0" w:line="212" w:lineRule="exact"/>
        <w:rPr>
          <w:sz w:val="20"/>
          <w:szCs w:val="20"/>
          <w:color w:val="auto"/>
        </w:rPr>
      </w:pPr>
    </w:p>
    <w:p>
      <w:pPr>
        <w:ind w:left="520" w:hanging="512"/>
        <w:spacing w:after="0"/>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Adagio Therapeutics,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80" w:val="left"/>
          <w:tab w:leader="none" w:pos="770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David Hering, M.B.A.</w:t>
      </w:r>
    </w:p>
    <w:p>
      <w:pPr>
        <w:jc w:val="center"/>
        <w:ind w:left="6000"/>
        <w:spacing w:after="0" w:line="234"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Jane Pritchett Henderson</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certify that:</w:t>
      </w:r>
    </w:p>
    <w:p>
      <w:pPr>
        <w:spacing w:after="0" w:line="212"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Adagio Therapeutics, Inc.;</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20" w:right="740" w:hanging="503"/>
        <w:spacing w:after="0" w:line="266"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20" w:hanging="503"/>
        <w:spacing w:after="0" w:line="266" w:lineRule="auto"/>
        <w:tabs>
          <w:tab w:leader="none" w:pos="10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80" w:val="left"/>
          <w:tab w:leader="none" w:pos="760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Jane Pritchett Henderson</w:t>
      </w:r>
    </w:p>
    <w:p>
      <w:pPr>
        <w:jc w:val="center"/>
        <w:ind w:left="6000"/>
        <w:spacing w:after="0" w:line="234" w:lineRule="auto"/>
        <w:rPr>
          <w:sz w:val="20"/>
          <w:szCs w:val="20"/>
          <w:color w:val="auto"/>
        </w:rPr>
      </w:pPr>
      <w:r>
        <w:rPr>
          <w:rFonts w:ascii="Times New Roman" w:cs="Times New Roman" w:eastAsia="Times New Roman" w:hAnsi="Times New Roman"/>
          <w:sz w:val="18"/>
          <w:szCs w:val="18"/>
          <w:b w:val="1"/>
          <w:bCs w:val="1"/>
          <w:color w:val="auto"/>
        </w:rPr>
        <w:t>Chief Financial Officer and</w:t>
      </w:r>
    </w:p>
    <w:p>
      <w:pPr>
        <w:jc w:val="center"/>
        <w:ind w:left="6000"/>
        <w:spacing w:after="0" w:line="235" w:lineRule="auto"/>
        <w:rPr>
          <w:sz w:val="20"/>
          <w:szCs w:val="20"/>
          <w:color w:val="auto"/>
        </w:rPr>
      </w:pPr>
      <w:r>
        <w:rPr>
          <w:rFonts w:ascii="Times New Roman" w:cs="Times New Roman" w:eastAsia="Times New Roman" w:hAnsi="Times New Roman"/>
          <w:sz w:val="18"/>
          <w:szCs w:val="18"/>
          <w:b w:val="1"/>
          <w:bCs w:val="1"/>
          <w:color w:val="auto"/>
        </w:rPr>
        <w:t>Chief Business Officer</w:t>
      </w:r>
    </w:p>
    <w:p>
      <w:pPr>
        <w:spacing w:after="0" w:line="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Adagio Therapeutics (the “Company”) on Form 10-Q for the period ended June 30, 2022 as filed with the Securities and Exchange Commission on the date hereof (the “Report”), I certify, pursuant to 18 U.S.C. § 1350, as adopted pursuant to § 906 of the Sarbanes-Oxley Act of 2002, that, to my knowledge:</w:t>
      </w:r>
    </w:p>
    <w:p>
      <w:pPr>
        <w:spacing w:after="0" w:line="190" w:lineRule="exact"/>
        <w:rPr>
          <w:sz w:val="20"/>
          <w:szCs w:val="20"/>
          <w:color w:val="auto"/>
        </w:rPr>
      </w:pPr>
    </w:p>
    <w:p>
      <w:pPr>
        <w:ind w:left="1020" w:hanging="503"/>
        <w:spacing w:after="0"/>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680" w:val="left"/>
          <w:tab w:leader="none" w:pos="772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Hering,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David Hering, M.B.A</w:t>
      </w:r>
    </w:p>
    <w:p>
      <w:pPr>
        <w:jc w:val="center"/>
        <w:ind w:left="6000"/>
        <w:spacing w:after="0" w:line="234"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of Adagio Therapeutics (the “Company”) on Form 10-Q for the period ended June 30, 2022 as filed with the Securities and Exchange Commission on the date hereof (the “Report”), I certify, pursuant to 18 U.S.C. § 1350, as adopted pursuant to § 906 of the Sarbanes-Oxley Act of 2002, that, to my knowledge:</w:t>
      </w:r>
    </w:p>
    <w:p>
      <w:pPr>
        <w:spacing w:after="0" w:line="190" w:lineRule="exact"/>
        <w:rPr>
          <w:sz w:val="20"/>
          <w:szCs w:val="20"/>
          <w:color w:val="auto"/>
        </w:rPr>
      </w:pPr>
    </w:p>
    <w:p>
      <w:pPr>
        <w:ind w:left="1020" w:hanging="503"/>
        <w:spacing w:after="0"/>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560" w:hanging="503"/>
        <w:spacing w:after="0" w:line="266" w:lineRule="auto"/>
        <w:tabs>
          <w:tab w:leader="none" w:pos="10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680" w:val="left"/>
          <w:tab w:leader="none" w:pos="7600" w:val="left"/>
        </w:tabs>
        <w:rPr>
          <w:sz w:val="20"/>
          <w:szCs w:val="20"/>
          <w:color w:val="auto"/>
        </w:rPr>
      </w:pPr>
      <w:r>
        <w:rPr>
          <w:rFonts w:ascii="Times New Roman" w:cs="Times New Roman" w:eastAsia="Times New Roman" w:hAnsi="Times New Roman"/>
          <w:sz w:val="18"/>
          <w:szCs w:val="18"/>
          <w:color w:val="auto"/>
        </w:rPr>
        <w:t>Date: August 15,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Jane Pritchett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Jane Pritchett Henderson</w:t>
      </w:r>
    </w:p>
    <w:p>
      <w:pPr>
        <w:jc w:val="center"/>
        <w:ind w:left="6000"/>
        <w:spacing w:after="0" w:line="234" w:lineRule="auto"/>
        <w:rPr>
          <w:sz w:val="20"/>
          <w:szCs w:val="20"/>
          <w:color w:val="auto"/>
        </w:rPr>
      </w:pPr>
      <w:r>
        <w:rPr>
          <w:rFonts w:ascii="Times New Roman" w:cs="Times New Roman" w:eastAsia="Times New Roman" w:hAnsi="Times New Roman"/>
          <w:sz w:val="18"/>
          <w:szCs w:val="18"/>
          <w:b w:val="1"/>
          <w:bCs w:val="1"/>
          <w:color w:val="auto"/>
        </w:rPr>
        <w:t>Chief Financial Officer and</w:t>
      </w:r>
    </w:p>
    <w:p>
      <w:pPr>
        <w:jc w:val="center"/>
        <w:ind w:left="6000"/>
        <w:spacing w:after="0" w:line="235" w:lineRule="auto"/>
        <w:rPr>
          <w:sz w:val="20"/>
          <w:szCs w:val="20"/>
          <w:color w:val="auto"/>
        </w:rPr>
      </w:pPr>
      <w:r>
        <w:rPr>
          <w:rFonts w:ascii="Times New Roman" w:cs="Times New Roman" w:eastAsia="Times New Roman" w:hAnsi="Times New Roman"/>
          <w:sz w:val="18"/>
          <w:szCs w:val="18"/>
          <w:b w:val="1"/>
          <w:bCs w:val="1"/>
          <w:color w:val="auto"/>
        </w:rPr>
        <w:t>Chief Business Officer</w:t>
      </w:r>
    </w:p>
    <w:p>
      <w:pPr>
        <w:spacing w:after="0" w:line="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0" w:name="page101"/>
    <w:bookmarkEnd w:id="1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1)"/>
      <w:numFmt w:val="decimal"/>
      <w:start w:val="1"/>
    </w:lvl>
  </w:abstractNum>
  <w:abstractNum w:abstractNumId="10">
    <w:nsid w:val="3855585C"/>
    <w:multiLevelType w:val="hybridMultilevel"/>
    <w:lvl w:ilvl="0">
      <w:lvlJc w:val="left"/>
      <w:lvlText w:val="%1."/>
      <w:numFmt w:val="decimal"/>
      <w:start w:val="4"/>
    </w:lvl>
  </w:abstractNum>
  <w:abstractNum w:abstractNumId="11">
    <w:nsid w:val="70A64E2A"/>
    <w:multiLevelType w:val="hybridMultilevel"/>
    <w:lvl w:ilvl="0">
      <w:lvlJc w:val="left"/>
      <w:lvlText w:val="•"/>
      <w:numFmt w:val="bullet"/>
      <w:start w:val="1"/>
    </w:lvl>
    <w:lvl w:ilvl="1">
      <w:lvlJc w:val="left"/>
      <w:lvlText w:val="•"/>
      <w:numFmt w:val="bullet"/>
      <w:start w:val="1"/>
    </w:lvl>
  </w:abstractNum>
  <w:abstractNum w:abstractNumId="12">
    <w:nsid w:val="6A2342EC"/>
    <w:multiLevelType w:val="hybridMultilevel"/>
    <w:lvl w:ilvl="0">
      <w:lvlJc w:val="left"/>
      <w:lvlText w:val="%1."/>
      <w:numFmt w:val="decimal"/>
      <w:start w:val="1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
      <w:numFmt w:val="bullet"/>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1."/>
      <w:numFmt w:val="decimal"/>
      <w:start w:val="382"/>
    </w:lvl>
  </w:abstractNum>
  <w:abstractNum w:abstractNumId="64">
    <w:nsid w:val="100F8FCA"/>
    <w:multiLevelType w:val="hybridMultilevel"/>
    <w:lvl w:ilvl="0">
      <w:lvlJc w:val="left"/>
      <w:lvlText w:val="(%1)"/>
      <w:numFmt w:val="decimal"/>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00" Type="http://schemas.openxmlformats.org/officeDocument/2006/relationships/hyperlink" Target="https://www.sec.gov/Archives/edgar/data/1832038/000119312521242044/d211424dex31.htm" TargetMode="External"/><Relationship Id="rId301" Type="http://schemas.openxmlformats.org/officeDocument/2006/relationships/hyperlink" Target="https://www.sec.gov/Archives/edgar/data/1832038/000119312521242044/d211424dex32.htm" TargetMode="External"/><Relationship Id="rId302" Type="http://schemas.openxmlformats.org/officeDocument/2006/relationships/hyperlink" Target="https://www.sec.gov/Archives/edgar/data/1832038/000119312522187977/d30460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2022-08-15T07:15:14Z</dcterms:created>
  <dcterms:modified xsi:type="dcterms:W3CDTF">2022-08-15T07:15:14Z</dcterms:modified>
</cp:coreProperties>
</file>