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BOLNO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INVIVYD,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209 CHURCH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HAVEN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Invivyd,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IVVD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1.22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09/21/2035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September 22, 2025 and vests over a three-year period, with one-third of the shares subject to the grant vesting on the first anniversary of the grant date and 1/36th of the total shares subject to the grant vesting in substantially equal monthly installments thereafter, subject to the Reporting Person's continuous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Jill Andersen attorney-in-fact for Paul Bolno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710" TargetMode="External"/><Relationship Id="rId5" Type="http://schemas.openxmlformats.org/officeDocument/2006/relationships/hyperlink" Target="http://www.sec.gov/cgi-bin/browse-edgar?action=getcompany&amp;CIK=0001832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3411</Characters>
  <CharactersWithSpaces>3979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