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51"/>
        </w:trPr>
        <w:tc>
          <w:tcPr>
            <w:tcW w:w="3560" w:type="dxa"/>
            <w:vAlign w:val="bottom"/>
          </w:tcPr>
          <w:p>
            <w:pPr>
              <w:jc w:val="center"/>
              <w:ind w:right="177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21"/>
                <w:szCs w:val="21"/>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September 4, 2024, Invivyd, Inc. issued a press release entitled “Invivyd Doses First Participants in Phase 1 Clinical Trial of VYD2311, a Next Generation Monoclonal Antibody Candidate for COVID-19, Building on the Success of PEMGARDA™.” A copy of the press release is filed herewith as Exhibit 99.1 and is incorporated by reference in this Item 8.01.</w:t>
      </w:r>
    </w:p>
    <w:p>
      <w:pPr>
        <w:spacing w:after="0" w:line="18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818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7" w:right="4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7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4, 2024</w:t>
            </w: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05"/>
        </w:trPr>
        <w:tc>
          <w:tcPr>
            <w:tcW w:w="3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40"/>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155130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8"/>
          <w:szCs w:val="28"/>
          <w:b w:val="1"/>
          <w:bCs w:val="1"/>
          <w:color w:val="auto"/>
        </w:rPr>
        <w:t>Invivyd Doses First Participants in Phase 1 Clinical Trial of VYD2311, a Next Generation Monoclonal Antibody Candidate for COVID-19, Building on the Success of PEMGARDA</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WALTHAM, Mass., September 4, 2024 </w:t>
      </w:r>
      <w:r>
        <w:rPr>
          <w:rFonts w:ascii="Times New Roman" w:cs="Times New Roman" w:eastAsia="Times New Roman" w:hAnsi="Times New Roman"/>
          <w:sz w:val="20"/>
          <w:szCs w:val="20"/>
          <w:color w:val="auto"/>
        </w:rPr>
        <w:t>– Invivyd, Inc. (Nasdaq: IVVD), a biopharmaceutical company devoted to delivering protection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serious viral infectious diseases, today announced dosing of the first participants in the Phase 1 healthy volunteer clinical trial of VYD2311, a next generation monoclonal antibody (mAb) candidate for COVID-19. VYD2311 is a mAb with high in vitro neutralization potency shown against post-Omicron COVID-19 variants tested to date.</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Phase 1 randomized, blinded, placebo-controlled clinical trial will evaluate escalating dosing as well as safety, tolerability, pharmacokinetics and immunogenicity of VYD2311 in healthy trial participants (NCT06523153). The Phase 1 trial is being conducted in Australia and will evaluate multiple dose levels of VYD2311 through various routes of administration, including exploration of intramuscular (IM) administration, which is designed to be more system- and patient-friendly than intravenous administration. In addition, consistent with the company’s overall strategy, VYD2311 was discovered via affinity maturation against more recent variants of SARS-CoV-2. The company expects preliminary data readouts from the Phase 1 trial in the fourth quarter of 2024 and anticipates additional clinical readouts from the VYD2311 program throughout 2025.</w:t>
      </w:r>
    </w:p>
    <w:p>
      <w:pPr>
        <w:spacing w:after="0" w:line="19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are excited that VYD2311 has potential to build on the success of PEMGARDA™ (pemivibart), which was granted Emergency Use Authorization (EUA) by the U.S. Food and Drug Administration (FDA) for pre-exposure prophylaxis (PrEP) for COVID-19 for certain immunocompromised patients,” said Marc Elia, Chairman of the Board. “COVID-19 and its long-term health impact continue to be a global threat to every individual. Therefore, at Invivyd we are focused on developing novel therapeutics that keep pace with the viral evolution of this disease, with the mission to help protect all individuals who may benefit from greater protection than that available from vaccine boosts.”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VYD2311</w:t>
      </w:r>
    </w:p>
    <w:p>
      <w:pPr>
        <w:spacing w:after="0" w:line="2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VYD2311 is a novel monoclonal antibody (mAb) candidate being developed for COVID-19 to continue to address the urgent need for new therapeutic options for vulnerable populations, including immunocompromised people. Globally, there are millions of immunocompromised people, with an estimated 8 million in the U.S. alone, who may not adequately respond to COVID-19 vaccination, increasing their risk for severe outcomes from COVID-19.</w:t>
      </w:r>
    </w:p>
    <w:p>
      <w:pPr>
        <w:spacing w:after="0" w:line="202"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0"/>
          <w:szCs w:val="20"/>
          <w:color w:val="auto"/>
        </w:rPr>
        <w:t>VYD2311 was engineered from adintrevimab, Invivyd’s investigational mAb that has a robust safety data package and demonstrated clinically meaningful results in global Phase 3 clinical trials for both the prevention and treatment of COVID-19. The pharmacokinetic profile of VYD2311 may offer the ability to deliver clinically meaningful titer levels through more patient-friendly means such as an intramuscular route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PEMGARDA</w:t>
      </w:r>
    </w:p>
    <w:p>
      <w:pPr>
        <w:spacing w:after="0" w:line="2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against major SARS-CoV-2 variants, including JN.1. PEMGARDA targets the SARS-CoV-2 spike protein receptor binding domain (RBD), thereby inhibiting virus attachment to the human ACE2 receptor on host cells.</w:t>
      </w:r>
    </w:p>
    <w:p>
      <w:pPr>
        <w:spacing w:after="0" w:line="20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9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9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have substantially reduced susceptibility to PEMGARDA, and PEMGARDA may not be effective at preventing COVID-19 caused by these SARS-CoV-2 viral variants.</w:t>
      </w:r>
    </w:p>
    <w:p>
      <w:pPr>
        <w:spacing w:after="0" w:line="19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on available information including variant susceptibility to PEMGARDA and national variant frequencies.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Invivyd</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Invivyd, Inc. (Nasdaq: IVVD)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 Looking Statements</w:t>
      </w:r>
    </w:p>
    <w:p>
      <w:pPr>
        <w:spacing w:after="0" w:line="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company’s expectation the Phase 1 clinical trial will be ongoing and allow for multiple doses of VYD2311 to be tested through various routes of administration including intramuscular administration; the expectation that an intramuscular route of administration is more system- and patient-friendly than intravenous administration; the company’s expectation that preliminary data readouts from the Phase 1 trial will be available in the fourth quarter of 2024; the company’s expectation that additional clinical readouts from the VYD2311 program will be available throughout 2025; the potential of VYD2311 to build on the success of PEMGARDA™ (pemivibart); the company’s expectation that COVID-19 and its long-term health impact continue to be a global threat to every individual; the company’s focus on developing novel therapeutics that keep pace with the viral evolution of COVID-19, with the mission to help protect all individuals who may benefit from greater protection than that available from vaccine boosts; the ability of VYD2311 to deliver clinically meaningful titer levels through more patient-friendly means such as intramuscular or subcutaneous routes of administration; the company’s devotion to delivering protection from serious viral infectious diseases, beginning with SARS-CoV-2; the design of the company’s INVYMAB platform approach to facilitate the rapid, serial generation of new mAbs to address evolving viral threats; the potential of PEMGARDA as a mAb for pre-exposure prophylaxis (prevention) of COVID-19 in adults and adolescents who have moderate-to-severe immune compromise; the ongoing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neutralizing activity of PEMGARDA against major SARS-CoV-2 variants;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241" w:lineRule="auto"/>
        <w:rPr>
          <w:sz w:val="20"/>
          <w:szCs w:val="20"/>
          <w:color w:val="auto"/>
        </w:rPr>
      </w:pPr>
      <w:r>
        <w:rPr>
          <w:rFonts w:ascii="Times New Roman" w:cs="Times New Roman" w:eastAsia="Times New Roman" w:hAnsi="Times New Roman"/>
          <w:sz w:val="20"/>
          <w:szCs w:val="20"/>
          <w:color w:val="auto"/>
        </w:rPr>
        <w:t xml:space="preserve">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used to predict activity against SARS-CoV-2 variants; whether VYD2311, pemivibart or any other product candidate is able to demonstrate and sustain neutralizing activity against major SARS-CoV-2 variants, particularly in the face of viral evolution; how long the EUA granted by the FDA for PEMGARDA will remain in effect and whether the EUA is revoked or revised by the FDA; the company’s ability to build and maintain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hyperlinks to information that is not deemed to be incorporated by reference in this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ind w:right="9580" w:firstLine="8"/>
        <w:spacing w:after="0" w:line="271" w:lineRule="auto"/>
        <w:tabs>
          <w:tab w:leader="none" w:pos="47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208-0160 media@invivyd.com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6" w:lineRule="exact"/>
        <w:rPr>
          <w:sz w:val="20"/>
          <w:szCs w:val="20"/>
          <w:color w:val="auto"/>
        </w:rPr>
      </w:pPr>
    </w:p>
    <w:p>
      <w:pPr>
        <w:ind w:right="9340" w:firstLine="8"/>
        <w:spacing w:after="0" w:line="271" w:lineRule="auto"/>
        <w:tabs>
          <w:tab w:leader="none" w:pos="47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208-0160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1294765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81"/>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2024-09-04T06:14:16Z</dcterms:created>
  <dcterms:modified xsi:type="dcterms:W3CDTF">2024-09-04T06:14:16Z</dcterms:modified>
</cp:coreProperties>
</file>