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5"/>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62"/>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MEANWELL CLIVE</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9"/>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Invivyd,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IVVD</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6"/>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1"/>
            <w:vMerge w:val="continue"/>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05/23/2023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INVIVYD, INC.</w:t>
            </w: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6"/>
            <w:vMerge w:val="continue"/>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7"/>
          </w:tcPr>
          <w:p>
            <w:pPr>
              <w:ind w:left="20"/>
              <w:spacing w:after="0" w:line="183" w:lineRule="exact"/>
              <w:rPr>
                <w:sz w:val="20"/>
                <w:szCs w:val="20"/>
                <w:color w:val="auto"/>
              </w:rPr>
            </w:pPr>
            <w:r>
              <w:rPr>
                <w:rFonts w:ascii="Arial" w:cs="Arial" w:eastAsia="Arial" w:hAnsi="Arial"/>
                <w:sz w:val="17"/>
                <w:szCs w:val="17"/>
                <w:color w:val="0000FF"/>
              </w:rPr>
              <w:t>1601 TRAPELO ROAD, SUITE 178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4" w:lineRule="exact"/>
              <w:rPr>
                <w:sz w:val="20"/>
                <w:szCs w:val="20"/>
                <w:color w:val="auto"/>
              </w:rPr>
            </w:pPr>
            <w:r>
              <w:rPr>
                <w:rFonts w:ascii="Arial" w:cs="Arial" w:eastAsia="Arial" w:hAnsi="Arial"/>
                <w:sz w:val="17"/>
                <w:szCs w:val="17"/>
                <w:color w:val="0000FF"/>
              </w:rPr>
              <w:t>WALTHAM</w:t>
            </w:r>
          </w:p>
        </w:tc>
        <w:tc>
          <w:tcPr>
            <w:tcW w:w="1180" w:type="dxa"/>
            <w:vAlign w:val="bottom"/>
            <w:gridSpan w:val="3"/>
            <w:vMerge w:val="restart"/>
          </w:tcPr>
          <w:p>
            <w:pPr>
              <w:spacing w:after="0" w:line="164" w:lineRule="exact"/>
              <w:rPr>
                <w:sz w:val="20"/>
                <w:szCs w:val="20"/>
                <w:color w:val="auto"/>
              </w:rPr>
            </w:pPr>
            <w:r>
              <w:rPr>
                <w:rFonts w:ascii="Arial" w:cs="Arial" w:eastAsia="Arial" w:hAnsi="Arial"/>
                <w:sz w:val="17"/>
                <w:szCs w:val="17"/>
                <w:color w:val="0000FF"/>
              </w:rPr>
              <w:t>MA</w:t>
            </w: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02451</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7"/>
                <w:szCs w:val="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740" w:type="dxa"/>
            <w:vAlign w:val="bottom"/>
            <w:tcBorders>
              <w:top w:val="single" w:sz="8" w:color="2C2C2C"/>
            </w:tcBorders>
            <w:gridSpan w:val="21"/>
          </w:tcPr>
          <w:p>
            <w:pPr>
              <w:ind w:left="2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940" w:type="dxa"/>
            <w:vAlign w:val="bottom"/>
            <w:tcBorders>
              <w:bottom w:val="single" w:sz="8" w:color="2C2C2C"/>
            </w:tcBorders>
            <w:gridSpan w:val="5"/>
          </w:tcPr>
          <w:p>
            <w:pPr>
              <w:spacing w:after="0"/>
              <w:rPr>
                <w:sz w:val="6"/>
                <w:szCs w:val="6"/>
                <w:color w:val="auto"/>
              </w:rPr>
            </w:pPr>
          </w:p>
        </w:tc>
        <w:tc>
          <w:tcPr>
            <w:tcW w:w="1060" w:type="dxa"/>
            <w:vAlign w:val="bottom"/>
            <w:tcBorders>
              <w:bottom w:val="single" w:sz="8" w:color="2C2C2C"/>
            </w:tcBorders>
            <w:gridSpan w:val="6"/>
          </w:tcPr>
          <w:p>
            <w:pPr>
              <w:spacing w:after="0"/>
              <w:rPr>
                <w:sz w:val="6"/>
                <w:szCs w:val="6"/>
                <w:color w:val="auto"/>
              </w:rPr>
            </w:pPr>
          </w:p>
        </w:tc>
        <w:tc>
          <w:tcPr>
            <w:tcW w:w="420" w:type="dxa"/>
            <w:vAlign w:val="bottom"/>
            <w:tcBorders>
              <w:bottom w:val="single" w:sz="8" w:color="2C2C2C"/>
            </w:tcBorders>
            <w:gridSpan w:val="2"/>
          </w:tcPr>
          <w:p>
            <w:pPr>
              <w:spacing w:after="0"/>
              <w:rPr>
                <w:sz w:val="6"/>
                <w:szCs w:val="6"/>
                <w:color w:val="auto"/>
              </w:rPr>
            </w:pPr>
          </w:p>
        </w:tc>
        <w:tc>
          <w:tcPr>
            <w:tcW w:w="2580" w:type="dxa"/>
            <w:vAlign w:val="bottom"/>
            <w:tcBorders>
              <w:bottom w:val="single" w:sz="8" w:color="2C2C2C"/>
            </w:tcBorders>
            <w:gridSpan w:val="6"/>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6740" w:type="dxa"/>
            <w:vAlign w:val="bottom"/>
            <w:tcBorders>
              <w:top w:val="single" w:sz="8" w:color="2C2C2C"/>
            </w:tcBorders>
            <w:gridSpan w:val="21"/>
          </w:tcPr>
          <w:p>
            <w:pPr>
              <w:ind w:lef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10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w:t>
            </w:r>
          </w:p>
        </w:tc>
        <w:tc>
          <w:tcPr>
            <w:tcW w:w="140" w:type="dxa"/>
            <w:vAlign w:val="bottom"/>
          </w:tcPr>
          <w:p>
            <w:pPr>
              <w:spacing w:after="0"/>
              <w:rPr>
                <w:sz w:val="17"/>
                <w:szCs w:val="17"/>
                <w:color w:val="auto"/>
              </w:rPr>
            </w:pPr>
          </w:p>
        </w:tc>
        <w:tc>
          <w:tcPr>
            <w:tcW w:w="1040" w:type="dxa"/>
            <w:vAlign w:val="bottom"/>
            <w:gridSpan w:val="2"/>
          </w:tcPr>
          <w:p>
            <w:pPr>
              <w:jc w:val="right"/>
              <w:ind w:right="95"/>
              <w:spacing w:after="0"/>
              <w:rPr>
                <w:sz w:val="20"/>
                <w:szCs w:val="20"/>
                <w:color w:val="auto"/>
              </w:rPr>
            </w:pPr>
            <w:r>
              <w:rPr>
                <w:rFonts w:ascii="Arial" w:cs="Arial" w:eastAsia="Arial" w:hAnsi="Arial"/>
                <w:sz w:val="13"/>
                <w:szCs w:val="13"/>
                <w:color w:val="0000FF"/>
              </w:rPr>
              <w:t>05/23/2023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520" w:type="dxa"/>
            <w:vAlign w:val="bottom"/>
            <w:gridSpan w:val="2"/>
          </w:tcPr>
          <w:p>
            <w:pPr>
              <w:ind w:left="60"/>
              <w:spacing w:after="0"/>
              <w:rPr>
                <w:sz w:val="20"/>
                <w:szCs w:val="20"/>
                <w:color w:val="auto"/>
              </w:rPr>
            </w:pPr>
            <w:r>
              <w:rPr>
                <w:rFonts w:ascii="Arial" w:cs="Arial" w:eastAsia="Arial" w:hAnsi="Arial"/>
                <w:sz w:val="13"/>
                <w:szCs w:val="13"/>
                <w:color w:val="0000FF"/>
              </w:rPr>
              <w:t>50,000</w:t>
            </w:r>
          </w:p>
        </w:tc>
        <w:tc>
          <w:tcPr>
            <w:tcW w:w="300" w:type="dxa"/>
            <w:vAlign w:val="bottom"/>
          </w:tcPr>
          <w:p>
            <w:pPr>
              <w:spacing w:after="0"/>
              <w:rPr>
                <w:sz w:val="17"/>
                <w:szCs w:val="17"/>
                <w:color w:val="auto"/>
              </w:rPr>
            </w:pPr>
          </w:p>
        </w:tc>
        <w:tc>
          <w:tcPr>
            <w:tcW w:w="6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2"/>
          </w:tcPr>
          <w:p>
            <w:pPr>
              <w:ind w:left="140"/>
              <w:spacing w:after="0"/>
              <w:rPr>
                <w:sz w:val="20"/>
                <w:szCs w:val="20"/>
                <w:color w:val="auto"/>
              </w:rPr>
            </w:pPr>
            <w:r>
              <w:rPr>
                <w:rFonts w:ascii="Arial" w:cs="Arial" w:eastAsia="Arial" w:hAnsi="Arial"/>
                <w:sz w:val="13"/>
                <w:szCs w:val="13"/>
                <w:color w:val="0000FF"/>
              </w:rPr>
              <w:t>05/22/2033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50,000</w:t>
            </w:r>
          </w:p>
        </w:tc>
        <w:tc>
          <w:tcPr>
            <w:tcW w:w="14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50,000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-5669280</wp:posOffset>
            </wp:positionV>
            <wp:extent cx="7045960" cy="5822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8223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62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on May 23, 2023 and vests in full upon the earlier of (i) May 23, 2024 or (ii) the date of the Issuer's 2024 Annual Meeting of Stockholders, subject to the Reporting Person's continuous service through such vesting date.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7"/>
              </w:rPr>
              <w:t>/s/ Jill Andersen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05/25/2023</w:t>
            </w:r>
          </w:p>
        </w:tc>
        <w:tc>
          <w:tcPr>
            <w:tcW w:w="0" w:type="dxa"/>
            <w:vAlign w:val="bottom"/>
          </w:tcPr>
          <w:p>
            <w:pPr>
              <w:spacing w:after="0"/>
              <w:rPr>
                <w:sz w:val="1"/>
                <w:szCs w:val="1"/>
                <w:color w:val="auto"/>
              </w:rPr>
            </w:pPr>
          </w:p>
        </w:tc>
      </w:tr>
      <w:tr>
        <w:trPr>
          <w:trHeight w:val="84"/>
        </w:trPr>
        <w:tc>
          <w:tcPr>
            <w:tcW w:w="164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94"/>
              </w:rPr>
              <w:t>fact for Clive Meanwell</w:t>
            </w:r>
          </w:p>
        </w:tc>
        <w:tc>
          <w:tcPr>
            <w:tcW w:w="30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640" w:type="dxa"/>
            <w:vAlign w:val="bottom"/>
            <w:tcBorders>
              <w:top w:val="single" w:sz="8" w:color="auto"/>
              <w:bottom w:val="single" w:sz="8" w:color="auto"/>
            </w:tcBorders>
            <w:vMerge w:val="continue"/>
          </w:tcPr>
          <w:p>
            <w:pPr>
              <w:spacing w:after="0"/>
              <w:rPr>
                <w:sz w:val="7"/>
                <w:szCs w:val="7"/>
                <w:color w:val="auto"/>
              </w:rPr>
            </w:pPr>
          </w:p>
        </w:tc>
        <w:tc>
          <w:tcPr>
            <w:tcW w:w="30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204787" TargetMode="External"/><Relationship Id="rId9"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2023-05-25T17:43:50Z</dcterms:created>
  <dcterms:modified xsi:type="dcterms:W3CDTF">2023-05-25T17:43:50Z</dcterms:modified>
</cp:coreProperties>
</file>