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27,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Invivyd,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9" w:lineRule="exact"/>
        <w:rPr>
          <w:sz w:val="24"/>
          <w:szCs w:val="24"/>
          <w:color w:val="auto"/>
        </w:rPr>
      </w:pPr>
    </w:p>
    <w:tbl>
      <w:tblPr>
        <w:tblLayout w:type="fixed"/>
        <w:tblInd w:w="1100" w:type="dxa"/>
        <w:tblCellMar>
          <w:top w:w="0" w:type="dxa"/>
          <w:left w:w="0" w:type="dxa"/>
          <w:bottom w:w="0" w:type="dxa"/>
          <w:right w:w="0" w:type="dxa"/>
        </w:tblCellMar>
      </w:tblPr>
      <w:tr>
        <w:trPr>
          <w:trHeight w:val="214"/>
        </w:trPr>
        <w:tc>
          <w:tcPr>
            <w:tcW w:w="3560" w:type="dxa"/>
            <w:vAlign w:val="bottom"/>
          </w:tcPr>
          <w:p>
            <w:pPr>
              <w:jc w:val="center"/>
              <w:ind w:right="177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7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001-40703</w:t>
            </w:r>
          </w:p>
        </w:tc>
        <w:tc>
          <w:tcPr>
            <w:tcW w:w="2740" w:type="dxa"/>
            <w:vAlign w:val="bottom"/>
          </w:tcPr>
          <w:p>
            <w:pPr>
              <w:jc w:val="center"/>
              <w:ind w:left="1561"/>
              <w:spacing w:after="0"/>
              <w:rPr>
                <w:sz w:val="20"/>
                <w:szCs w:val="20"/>
                <w:color w:val="auto"/>
              </w:rPr>
            </w:pPr>
            <w:r>
              <w:rPr>
                <w:rFonts w:ascii="Times New Roman" w:cs="Times New Roman" w:eastAsia="Times New Roman" w:hAnsi="Times New Roman"/>
                <w:sz w:val="18"/>
                <w:szCs w:val="18"/>
                <w:b w:val="1"/>
                <w:bCs w:val="1"/>
                <w:color w:val="auto"/>
                <w:w w:val="98"/>
              </w:rPr>
              <w:t>85-1403134</w:t>
            </w:r>
          </w:p>
        </w:tc>
      </w:tr>
      <w:tr>
        <w:trPr>
          <w:trHeight w:val="148"/>
        </w:trPr>
        <w:tc>
          <w:tcPr>
            <w:tcW w:w="3560" w:type="dxa"/>
            <w:vAlign w:val="bottom"/>
          </w:tcPr>
          <w:p>
            <w:pPr>
              <w:jc w:val="center"/>
              <w:ind w:right="17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72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40" w:type="dxa"/>
            <w:vAlign w:val="bottom"/>
          </w:tcPr>
          <w:p>
            <w:pPr>
              <w:jc w:val="center"/>
              <w:ind w:left="15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60" w:type="dxa"/>
            <w:vAlign w:val="bottom"/>
          </w:tcPr>
          <w:p>
            <w:pPr>
              <w:jc w:val="center"/>
              <w:ind w:right="17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72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40" w:type="dxa"/>
            <w:vAlign w:val="bottom"/>
          </w:tcPr>
          <w:p>
            <w:pPr>
              <w:jc w:val="center"/>
              <w:ind w:left="15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1601 Trapelo Road, Suite 178</w:t>
            </w:r>
          </w:p>
        </w:tc>
        <w:tc>
          <w:tcPr>
            <w:tcW w:w="272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27"/>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720" w:type="dxa"/>
            <w:vAlign w:val="bottom"/>
          </w:tcPr>
          <w:p>
            <w:pPr>
              <w:spacing w:after="0"/>
              <w:rPr>
                <w:sz w:val="19"/>
                <w:szCs w:val="19"/>
                <w:color w:val="auto"/>
              </w:rPr>
            </w:pPr>
          </w:p>
        </w:tc>
        <w:tc>
          <w:tcPr>
            <w:tcW w:w="2740" w:type="dxa"/>
            <w:vAlign w:val="bottom"/>
          </w:tcPr>
          <w:p>
            <w:pPr>
              <w:jc w:val="right"/>
              <w:ind w:right="90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20" w:type="dxa"/>
            <w:vAlign w:val="bottom"/>
          </w:tcPr>
          <w:p>
            <w:pPr>
              <w:spacing w:after="0"/>
              <w:rPr>
                <w:sz w:val="16"/>
                <w:szCs w:val="16"/>
                <w:color w:val="auto"/>
              </w:rPr>
            </w:pPr>
          </w:p>
        </w:tc>
        <w:tc>
          <w:tcPr>
            <w:tcW w:w="274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819-0080</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300" w:hanging="279"/>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00" w:hanging="279"/>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280" w:hanging="259"/>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280" w:hanging="259"/>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bl>
      <w:tblPr>
        <w:tblLayout w:type="fixed"/>
        <w:tblInd w:w="0" w:type="dxa"/>
        <w:tblCellMar>
          <w:top w:w="0" w:type="dxa"/>
          <w:left w:w="0" w:type="dxa"/>
          <w:bottom w:w="0" w:type="dxa"/>
          <w:right w:w="0" w:type="dxa"/>
        </w:tblCellMar>
      </w:tblPr>
      <w:tr>
        <w:trPr>
          <w:trHeight w:val="151"/>
        </w:trPr>
        <w:tc>
          <w:tcPr>
            <w:tcW w:w="5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42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4"/>
        </w:trPr>
        <w:tc>
          <w:tcPr>
            <w:tcW w:w="5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8"/>
        </w:trPr>
        <w:tc>
          <w:tcPr>
            <w:tcW w:w="5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IVVD</w:t>
            </w:r>
          </w:p>
        </w:tc>
        <w:tc>
          <w:tcPr>
            <w:tcW w:w="100" w:type="dxa"/>
            <w:vAlign w:val="bottom"/>
          </w:tcPr>
          <w:p>
            <w:pPr>
              <w:spacing w:after="0"/>
              <w:rPr>
                <w:sz w:val="20"/>
                <w:szCs w:val="20"/>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8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6"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8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Notice of Delisting or Failure to Satisfy a Continued Listing Rule or Standard; Transfer of Listing.</w:t>
      </w:r>
    </w:p>
    <w:p>
      <w:pPr>
        <w:spacing w:after="0" w:line="229"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On December 27, 2024, Invivyd, Inc. (the “Company”) received a deficiency letter (the “</w:t>
      </w:r>
      <w:r>
        <w:rPr>
          <w:rFonts w:ascii="Times New Roman" w:cs="Times New Roman" w:eastAsia="Times New Roman" w:hAnsi="Times New Roman"/>
          <w:sz w:val="18"/>
          <w:szCs w:val="18"/>
          <w:color w:val="212529"/>
        </w:rPr>
        <w:t>Letter”)</w:t>
      </w:r>
      <w:r>
        <w:rPr>
          <w:rFonts w:ascii="Times New Roman" w:cs="Times New Roman" w:eastAsia="Times New Roman" w:hAnsi="Times New Roman"/>
          <w:sz w:val="18"/>
          <w:szCs w:val="18"/>
          <w:color w:val="auto"/>
        </w:rPr>
        <w:t xml:space="preserve"> from the Nasdaq Listing Qualifications Department (the “Staff”) of the Nasdaq Stock Market LLC (“Nasdaq”) notifying the Company that, for the previous 30 consecutive business days, the bid price for the Company’s common stock, $0.0001 par value per share (the “Common Stock”), had </w:t>
      </w:r>
      <w:r>
        <w:rPr>
          <w:rFonts w:ascii="Times New Roman" w:cs="Times New Roman" w:eastAsia="Times New Roman" w:hAnsi="Times New Roman"/>
          <w:sz w:val="18"/>
          <w:szCs w:val="18"/>
          <w:color w:val="212529"/>
        </w:rPr>
        <w:t>closed below the</w:t>
      </w:r>
      <w:r>
        <w:rPr>
          <w:rFonts w:ascii="Times New Roman" w:cs="Times New Roman" w:eastAsia="Times New Roman" w:hAnsi="Times New Roman"/>
          <w:sz w:val="18"/>
          <w:szCs w:val="18"/>
          <w:color w:val="auto"/>
        </w:rPr>
        <w:t xml:space="preserve"> $1.00 per share </w:t>
      </w:r>
      <w:r>
        <w:rPr>
          <w:rFonts w:ascii="Times New Roman" w:cs="Times New Roman" w:eastAsia="Times New Roman" w:hAnsi="Times New Roman"/>
          <w:sz w:val="18"/>
          <w:szCs w:val="18"/>
          <w:color w:val="212529"/>
        </w:rPr>
        <w:t>minimum</w:t>
      </w:r>
      <w:r>
        <w:rPr>
          <w:rFonts w:ascii="Times New Roman" w:cs="Times New Roman" w:eastAsia="Times New Roman" w:hAnsi="Times New Roman"/>
          <w:sz w:val="18"/>
          <w:szCs w:val="18"/>
          <w:color w:val="auto"/>
        </w:rPr>
        <w:t xml:space="preserve"> required for continued listing on The Nasdaq Global Market pursuant to Nasdaq Listing Rule 5450(a)(1) (the “Minimum Bid Price Requirement”). The </w:t>
      </w:r>
      <w:r>
        <w:rPr>
          <w:rFonts w:ascii="Times New Roman" w:cs="Times New Roman" w:eastAsia="Times New Roman" w:hAnsi="Times New Roman"/>
          <w:sz w:val="18"/>
          <w:szCs w:val="18"/>
          <w:color w:val="212529"/>
        </w:rPr>
        <w:t>Letter</w:t>
      </w:r>
      <w:r>
        <w:rPr>
          <w:rFonts w:ascii="Times New Roman" w:cs="Times New Roman" w:eastAsia="Times New Roman" w:hAnsi="Times New Roman"/>
          <w:sz w:val="18"/>
          <w:szCs w:val="18"/>
          <w:color w:val="auto"/>
        </w:rPr>
        <w:t xml:space="preserve"> has no immediate effect on the listing of the Common Stock, which continues to trade on The Nasdaq Global Market under the symbol “IVVD” at this time.</w:t>
      </w:r>
    </w:p>
    <w:p>
      <w:pPr>
        <w:spacing w:after="0" w:line="183"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In accordance with Nasdaq Listing Rule 5810(c)(3)(A), the Company has a period of 180 calendar days from the date of the Letter, or until June 25, 2025, to regain compliance with the Minimum Bid Price Requirement. To regain compliance, the closing bid price for the Common Stock must be at least $1.00 per share for a minimum of ten consecutive business days during the 180-calendar day compliance period.</w:t>
      </w:r>
    </w:p>
    <w:p>
      <w:pPr>
        <w:spacing w:after="0" w:line="176"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 xml:space="preserve">If the Company does not regain compliance with the Minimum Bid Price Requirement by June 25, 2025, the Company may be eligible for an additional 180 calendar day period to regain compliance. To qualify </w:t>
      </w:r>
      <w:r>
        <w:rPr>
          <w:rFonts w:ascii="Times New Roman" w:cs="Times New Roman" w:eastAsia="Times New Roman" w:hAnsi="Times New Roman"/>
          <w:sz w:val="18"/>
          <w:szCs w:val="18"/>
          <w:color w:val="212529"/>
        </w:rPr>
        <w:t>for this second compliance period</w:t>
      </w:r>
      <w:r>
        <w:rPr>
          <w:rFonts w:ascii="Times New Roman" w:cs="Times New Roman" w:eastAsia="Times New Roman" w:hAnsi="Times New Roman"/>
          <w:sz w:val="18"/>
          <w:szCs w:val="18"/>
          <w:color w:val="auto"/>
        </w:rPr>
        <w:t xml:space="preserve">, the Company would be required to transfer to The Nasdaq Capital Market (the “Capital Market”) and meet the continued listing requirement for market value of publicly held shares on the Capital Market and all other applicable requirements for initial listing on the Capital Market, except for the </w:t>
      </w:r>
      <w:r>
        <w:rPr>
          <w:rFonts w:ascii="Times New Roman" w:cs="Times New Roman" w:eastAsia="Times New Roman" w:hAnsi="Times New Roman"/>
          <w:sz w:val="18"/>
          <w:szCs w:val="18"/>
          <w:color w:val="212529"/>
        </w:rPr>
        <w:t>Capital Market’s bid price requirement</w:t>
      </w:r>
      <w:r>
        <w:rPr>
          <w:rFonts w:ascii="Times New Roman" w:cs="Times New Roman" w:eastAsia="Times New Roman" w:hAnsi="Times New Roman"/>
          <w:sz w:val="18"/>
          <w:szCs w:val="18"/>
          <w:color w:val="auto"/>
        </w:rPr>
        <w:t xml:space="preserve">. In addition, the Company would be required to notify Nasdaq of its intent to cure the deficiency during the second compliance period. As part of its review process </w:t>
      </w:r>
      <w:r>
        <w:rPr>
          <w:rFonts w:ascii="Times New Roman" w:cs="Times New Roman" w:eastAsia="Times New Roman" w:hAnsi="Times New Roman"/>
          <w:sz w:val="18"/>
          <w:szCs w:val="18"/>
          <w:color w:val="212529"/>
        </w:rPr>
        <w:t>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determine whether the second compliance period would be granted to the Company</w:t>
      </w:r>
      <w:r>
        <w:rPr>
          <w:rFonts w:ascii="Times New Roman" w:cs="Times New Roman" w:eastAsia="Times New Roman" w:hAnsi="Times New Roman"/>
          <w:sz w:val="18"/>
          <w:szCs w:val="18"/>
          <w:color w:val="000000"/>
        </w:rPr>
        <w:t>, the Staff would make a determination about whether it believes 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Company will be able to cure the deficiency. If the Staff concludes that the Company will not be able to cure the deficiency, or if the Company does not regain compliance </w:t>
      </w:r>
      <w:r>
        <w:rPr>
          <w:rFonts w:ascii="Times New Roman" w:cs="Times New Roman" w:eastAsia="Times New Roman" w:hAnsi="Times New Roman"/>
          <w:sz w:val="18"/>
          <w:szCs w:val="18"/>
          <w:color w:val="212529"/>
        </w:rPr>
        <w:t>within the allotted compliance period(s), including any extensions that may be granted by the Staff</w:t>
      </w:r>
      <w:r>
        <w:rPr>
          <w:rFonts w:ascii="Times New Roman" w:cs="Times New Roman" w:eastAsia="Times New Roman" w:hAnsi="Times New Roman"/>
          <w:sz w:val="18"/>
          <w:szCs w:val="18"/>
          <w:color w:val="000000"/>
        </w:rPr>
        <w:t>, the Staff will provide written notice to the Company that the Common Stock will be subject to delisting. At that time, the Company may appeal the Staff’s delisting determination to a Nasdaq Hearings Panel (a “Panel”). However, there can be no assurance that, if the Company receives a delisting notice and appeals the delisting determination by the Staff to a Panel, such appeal would be successful.</w:t>
      </w:r>
    </w:p>
    <w:p>
      <w:pPr>
        <w:spacing w:after="0" w:line="192"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The Company intends to actively monitor the closing bid price for the Common Stock and, as appropriate, will consider implementing available options to resolve the deficiency and regain compliance with the Minimum Bid Price Requirement. However, there can be no assurance that the Company will be able to regain compliance with the Minimum Bid Price Requirement.</w:t>
      </w:r>
    </w:p>
    <w:p>
      <w:pPr>
        <w:spacing w:after="0" w:line="172"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r>
        <w:rPr>
          <w:rFonts w:ascii="Times New Roman" w:cs="Times New Roman" w:eastAsia="Times New Roman" w:hAnsi="Times New Roman"/>
          <w:sz w:val="18"/>
          <w:szCs w:val="18"/>
          <w:color w:val="auto"/>
        </w:rPr>
        <w:t>. This Current Report on Form 8-K contains forward-looking statements,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but not limited to, statements regarding the Company’s ability to regain compliance with the Minimum Bid Price Requirement, the Company’s intentions to actively monitor the closing bid price of the Common Stock, anticipated actions to be taken by Nasdaq, and the Company’s plans to consider implementing available options to resolve the deficiency and regain compliance with the Minimum Bid Price Requirement. The Company’s actual results and the timing of events could differ materially from those anticipated in such forward-looking statements as a result of risks and uncertainties, including the risk that the Company may not regain compliance with the Minimum Bid Price Requirement, the risk that Nasdaq may not grant the Company relief from delisting if necessary, and the risk that the Company may not ultimately meet applicable Nasdaq requirements if any such relief is necessary, among other risks and uncertainties. A further description of the risks and uncertainties relating to the business of the Company is contained in the Company’s most recent annual report on Form 10-K, the Company’s quarterly reports on Form 10-Q, and the Company’s other filings with the U.S. Securities and Exchange Commission (“SEC”), and in its future reports to be filed with the SEC and available at www.sec.gov. Forward-looking statements contained in this Current Report on Form 8-K are made as of this date, and the Company undertakes no duty to update such information whether as a result of new information, future events or otherwise, except as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1013460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40"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0" w:type="dxa"/>
            <w:vAlign w:val="bottom"/>
          </w:tcPr>
          <w:p>
            <w:pPr>
              <w:spacing w:after="0"/>
              <w:rPr>
                <w:sz w:val="20"/>
                <w:szCs w:val="20"/>
                <w:color w:val="auto"/>
              </w:rPr>
            </w:pPr>
          </w:p>
        </w:tc>
        <w:tc>
          <w:tcPr>
            <w:tcW w:w="904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INVIVYD, INC.</w:t>
            </w:r>
          </w:p>
        </w:tc>
      </w:tr>
      <w:tr>
        <w:trPr>
          <w:trHeight w:val="392"/>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27, 2024</w:t>
            </w:r>
          </w:p>
        </w:tc>
        <w:tc>
          <w:tcPr>
            <w:tcW w:w="904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By: /s/ Jill Andersen</w:t>
            </w:r>
          </w:p>
        </w:tc>
      </w:tr>
      <w:tr>
        <w:trPr>
          <w:trHeight w:val="218"/>
        </w:trPr>
        <w:tc>
          <w:tcPr>
            <w:tcW w:w="2200" w:type="dxa"/>
            <w:vAlign w:val="bottom"/>
          </w:tcPr>
          <w:p>
            <w:pPr>
              <w:spacing w:after="0"/>
              <w:rPr>
                <w:sz w:val="18"/>
                <w:szCs w:val="18"/>
                <w:color w:val="auto"/>
              </w:rPr>
            </w:pPr>
          </w:p>
        </w:tc>
        <w:tc>
          <w:tcPr>
            <w:tcW w:w="1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Jill Andersen</w:t>
            </w:r>
          </w:p>
        </w:tc>
        <w:tc>
          <w:tcPr>
            <w:tcW w:w="2520" w:type="dxa"/>
            <w:vAlign w:val="bottom"/>
            <w:tcBorders>
              <w:top w:val="single" w:sz="8" w:color="auto"/>
            </w:tcBorders>
          </w:tcPr>
          <w:p>
            <w:pPr>
              <w:spacing w:after="0"/>
              <w:rPr>
                <w:sz w:val="18"/>
                <w:szCs w:val="18"/>
                <w:color w:val="auto"/>
              </w:rPr>
            </w:pPr>
          </w:p>
        </w:tc>
        <w:tc>
          <w:tcPr>
            <w:tcW w:w="5120" w:type="dxa"/>
            <w:vAlign w:val="bottom"/>
          </w:tcPr>
          <w:p>
            <w:pPr>
              <w:spacing w:after="0"/>
              <w:rPr>
                <w:sz w:val="18"/>
                <w:szCs w:val="18"/>
                <w:color w:val="auto"/>
              </w:rPr>
            </w:pPr>
          </w:p>
        </w:tc>
      </w:tr>
      <w:tr>
        <w:trPr>
          <w:trHeight w:val="234"/>
        </w:trPr>
        <w:tc>
          <w:tcPr>
            <w:tcW w:w="2200" w:type="dxa"/>
            <w:vAlign w:val="bottom"/>
          </w:tcPr>
          <w:p>
            <w:pPr>
              <w:spacing w:after="0"/>
              <w:rPr>
                <w:sz w:val="20"/>
                <w:szCs w:val="20"/>
                <w:color w:val="auto"/>
              </w:rPr>
            </w:pPr>
          </w:p>
        </w:tc>
        <w:tc>
          <w:tcPr>
            <w:tcW w:w="90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r>
        <w:trPr>
          <w:trHeight w:val="1411"/>
        </w:trPr>
        <w:tc>
          <w:tcPr>
            <w:tcW w:w="22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2024-12-27T15:22:33Z</dcterms:created>
  <dcterms:modified xsi:type="dcterms:W3CDTF">2024-12-27T15:22:33Z</dcterms:modified>
</cp:coreProperties>
</file>