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2406B"/>
        </w:rPr>
        <w:t>Registration No. 333-257975</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22"/>
          <w:szCs w:val="22"/>
          <w:i w:val="1"/>
          <w:iCs w:val="1"/>
          <w:color w:val="32406B"/>
        </w:rPr>
        <w:t>PROSPECTUS</w:t>
      </w:r>
    </w:p>
    <w:p>
      <w:pPr>
        <w:spacing w:after="0" w:line="275" w:lineRule="exact"/>
        <w:rPr>
          <w:sz w:val="24"/>
          <w:szCs w:val="24"/>
          <w:color w:val="auto"/>
        </w:rPr>
      </w:pPr>
    </w:p>
    <w:p>
      <w:pPr>
        <w:jc w:val="center"/>
        <w:ind w:right="-119"/>
        <w:spacing w:after="0"/>
        <w:rPr>
          <w:sz w:val="20"/>
          <w:szCs w:val="20"/>
          <w:color w:val="auto"/>
        </w:rPr>
      </w:pPr>
      <w:r>
        <w:rPr>
          <w:rFonts w:ascii="Arial" w:cs="Arial" w:eastAsia="Arial" w:hAnsi="Arial"/>
          <w:sz w:val="32"/>
          <w:szCs w:val="32"/>
          <w:i w:val="1"/>
          <w:iCs w:val="1"/>
          <w:color w:val="32406B"/>
        </w:rPr>
        <w:t>18,200,000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173355</wp:posOffset>
            </wp:positionV>
            <wp:extent cx="138874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43"/>
          <w:szCs w:val="43"/>
          <w:i w:val="1"/>
          <w:iCs w:val="1"/>
          <w:color w:val="32406B"/>
        </w:rPr>
        <w:t>Adagio Therapeutics, Inc.</w:t>
      </w:r>
    </w:p>
    <w:p>
      <w:pPr>
        <w:spacing w:after="0" w:line="231" w:lineRule="exact"/>
        <w:rPr>
          <w:sz w:val="24"/>
          <w:szCs w:val="24"/>
          <w:color w:val="auto"/>
        </w:rPr>
      </w:pPr>
    </w:p>
    <w:p>
      <w:pPr>
        <w:jc w:val="center"/>
        <w:ind w:right="-119"/>
        <w:spacing w:after="0"/>
        <w:rPr>
          <w:sz w:val="20"/>
          <w:szCs w:val="20"/>
          <w:color w:val="auto"/>
        </w:rPr>
      </w:pPr>
      <w:r>
        <w:rPr>
          <w:rFonts w:ascii="Arial" w:cs="Arial" w:eastAsia="Arial" w:hAnsi="Arial"/>
          <w:sz w:val="22"/>
          <w:szCs w:val="22"/>
          <w:i w:val="1"/>
          <w:iCs w:val="1"/>
          <w:color w:val="32406B"/>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32406B"/>
        </w:rPr>
        <w:t>Adagio Therapeutics, Inc. is offering 18,200,000 shares of common stock. This is our initial public offering and no public market exists for our common stock. The initial public offering price of our common stock is $17.00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left="120"/>
        <w:spacing w:after="0"/>
        <w:rPr>
          <w:sz w:val="20"/>
          <w:szCs w:val="20"/>
          <w:color w:val="auto"/>
        </w:rPr>
      </w:pPr>
      <w:r>
        <w:rPr>
          <w:rFonts w:ascii="Arial" w:cs="Arial" w:eastAsia="Arial" w:hAnsi="Arial"/>
          <w:sz w:val="18"/>
          <w:szCs w:val="18"/>
          <w:b w:val="1"/>
          <w:bCs w:val="1"/>
          <w:i w:val="1"/>
          <w:iCs w:val="1"/>
          <w:color w:val="32406B"/>
        </w:rPr>
        <w:t>Our common stock has been approved for listing on the Nasdaq Global Market under the trading symbol “ADGI.”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32406B"/>
        </w:rPr>
        <w:t>We are an “emerging growth company” and a “smaller reporting company” as defined under U.S. federal securities laws and, as such, will be subject to reduced public company reporting requirements for this prospectus and future filings. See “Prospectus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left="120"/>
        <w:spacing w:after="0"/>
        <w:rPr>
          <w:rFonts w:ascii="Arial" w:cs="Arial" w:eastAsia="Arial" w:hAnsi="Arial"/>
          <w:sz w:val="21"/>
          <w:szCs w:val="21"/>
          <w:b w:val="1"/>
          <w:bCs w:val="1"/>
          <w:i w:val="1"/>
          <w:iCs w:val="1"/>
          <w:color w:val="32406B"/>
        </w:rPr>
      </w:pPr>
      <w:r>
        <w:rPr>
          <w:rFonts w:ascii="Arial" w:cs="Arial" w:eastAsia="Arial" w:hAnsi="Arial"/>
          <w:sz w:val="21"/>
          <w:szCs w:val="21"/>
          <w:b w:val="1"/>
          <w:bCs w:val="1"/>
          <w:i w:val="1"/>
          <w:iCs w:val="1"/>
          <w:color w:val="32406B"/>
        </w:rPr>
        <w:t>Investing in our common stock involves risks. See “</w:t>
      </w:r>
      <w:hyperlink w:anchor="page15">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i w:val="1"/>
          <w:iCs w:val="1"/>
          <w:color w:val="32406B"/>
        </w:rPr>
        <w:t>” beginning on page 13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tbl>
      <w:tblPr>
        <w:tblLayout w:type="fixed"/>
        <w:tblInd w:w="120" w:type="dxa"/>
        <w:tblCellMar>
          <w:top w:w="0" w:type="dxa"/>
          <w:left w:w="0" w:type="dxa"/>
          <w:bottom w:w="0" w:type="dxa"/>
          <w:right w:w="0" w:type="dxa"/>
        </w:tblCellMar>
      </w:tblPr>
      <w:tr>
        <w:trPr>
          <w:trHeight w:val="167"/>
        </w:trPr>
        <w:tc>
          <w:tcPr>
            <w:tcW w:w="8200" w:type="dxa"/>
            <w:vAlign w:val="bottom"/>
          </w:tcPr>
          <w:p>
            <w:pPr>
              <w:spacing w:after="0"/>
              <w:rPr>
                <w:sz w:val="14"/>
                <w:szCs w:val="14"/>
                <w:color w:val="auto"/>
              </w:rPr>
            </w:pPr>
          </w:p>
        </w:tc>
        <w:tc>
          <w:tcPr>
            <w:tcW w:w="600" w:type="dxa"/>
            <w:vAlign w:val="bottom"/>
            <w:tcBorders>
              <w:bottom w:val="single" w:sz="8" w:color="32406B"/>
            </w:tcBorders>
          </w:tcPr>
          <w:p>
            <w:pPr>
              <w:jc w:val="right"/>
              <w:spacing w:after="0"/>
              <w:rPr>
                <w:sz w:val="20"/>
                <w:szCs w:val="20"/>
                <w:color w:val="auto"/>
              </w:rPr>
            </w:pPr>
            <w:r>
              <w:rPr>
                <w:rFonts w:ascii="Arial" w:cs="Arial" w:eastAsia="Arial" w:hAnsi="Arial"/>
                <w:sz w:val="14"/>
                <w:szCs w:val="14"/>
                <w:b w:val="1"/>
                <w:bCs w:val="1"/>
                <w:i w:val="1"/>
                <w:iCs w:val="1"/>
                <w:color w:val="32406B"/>
                <w:w w:val="88"/>
              </w:rPr>
              <w:t>Per Share</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Borders>
              <w:bottom w:val="single" w:sz="8" w:color="32406B"/>
            </w:tcBorders>
          </w:tcPr>
          <w:p>
            <w:pPr>
              <w:spacing w:after="0"/>
              <w:rPr>
                <w:sz w:val="20"/>
                <w:szCs w:val="20"/>
                <w:color w:val="auto"/>
              </w:rPr>
            </w:pPr>
            <w:r>
              <w:rPr>
                <w:rFonts w:ascii="Arial" w:cs="Arial" w:eastAsia="Arial" w:hAnsi="Arial"/>
                <w:sz w:val="14"/>
                <w:szCs w:val="14"/>
                <w:b w:val="1"/>
                <w:bCs w:val="1"/>
                <w:i w:val="1"/>
                <w:iCs w:val="1"/>
                <w:color w:val="32406B"/>
                <w:w w:val="89"/>
              </w:rPr>
              <w:t>Total</w:t>
            </w:r>
          </w:p>
        </w:tc>
        <w:tc>
          <w:tcPr>
            <w:tcW w:w="460" w:type="dxa"/>
            <w:vAlign w:val="bottom"/>
          </w:tcPr>
          <w:p>
            <w:pPr>
              <w:spacing w:after="0"/>
              <w:rPr>
                <w:sz w:val="14"/>
                <w:szCs w:val="14"/>
                <w:color w:val="auto"/>
              </w:rPr>
            </w:pPr>
          </w:p>
        </w:tc>
      </w:tr>
      <w:tr>
        <w:trPr>
          <w:trHeight w:val="195"/>
        </w:trPr>
        <w:tc>
          <w:tcPr>
            <w:tcW w:w="8200" w:type="dxa"/>
            <w:vAlign w:val="bottom"/>
          </w:tcPr>
          <w:p>
            <w:pPr>
              <w:spacing w:after="0" w:line="195" w:lineRule="exact"/>
              <w:rPr>
                <w:sz w:val="20"/>
                <w:szCs w:val="20"/>
                <w:color w:val="auto"/>
              </w:rPr>
            </w:pPr>
            <w:r>
              <w:rPr>
                <w:rFonts w:ascii="Arial" w:cs="Arial" w:eastAsia="Arial" w:hAnsi="Arial"/>
                <w:sz w:val="18"/>
                <w:szCs w:val="18"/>
                <w:i w:val="1"/>
                <w:iCs w:val="1"/>
                <w:color w:val="32406B"/>
              </w:rPr>
              <w:t>Initial Public Offering Price</w:t>
            </w:r>
          </w:p>
        </w:tc>
        <w:tc>
          <w:tcPr>
            <w:tcW w:w="600" w:type="dxa"/>
            <w:vAlign w:val="bottom"/>
          </w:tcPr>
          <w:p>
            <w:pPr>
              <w:jc w:val="right"/>
              <w:spacing w:after="0" w:line="195" w:lineRule="exact"/>
              <w:rPr>
                <w:sz w:val="20"/>
                <w:szCs w:val="20"/>
                <w:color w:val="auto"/>
              </w:rPr>
            </w:pPr>
            <w:r>
              <w:rPr>
                <w:rFonts w:ascii="Arial" w:cs="Arial" w:eastAsia="Arial" w:hAnsi="Arial"/>
                <w:sz w:val="18"/>
                <w:szCs w:val="18"/>
                <w:i w:val="1"/>
                <w:iCs w:val="1"/>
                <w:color w:val="32406B"/>
              </w:rPr>
              <w:t>$17.00</w:t>
            </w:r>
          </w:p>
        </w:tc>
        <w:tc>
          <w:tcPr>
            <w:tcW w:w="600" w:type="dxa"/>
            <w:vAlign w:val="bottom"/>
          </w:tcPr>
          <w:p>
            <w:pPr>
              <w:spacing w:after="0"/>
              <w:rPr>
                <w:sz w:val="16"/>
                <w:szCs w:val="16"/>
                <w:color w:val="auto"/>
              </w:rPr>
            </w:pPr>
          </w:p>
        </w:tc>
        <w:tc>
          <w:tcPr>
            <w:tcW w:w="760" w:type="dxa"/>
            <w:vAlign w:val="bottom"/>
          </w:tcPr>
          <w:p>
            <w:pPr>
              <w:jc w:val="right"/>
              <w:ind w:right="30"/>
              <w:spacing w:after="0" w:line="195" w:lineRule="exact"/>
              <w:rPr>
                <w:sz w:val="20"/>
                <w:szCs w:val="20"/>
                <w:color w:val="auto"/>
              </w:rPr>
            </w:pPr>
            <w:r>
              <w:rPr>
                <w:rFonts w:ascii="Arial" w:cs="Arial" w:eastAsia="Arial" w:hAnsi="Arial"/>
                <w:sz w:val="18"/>
                <w:szCs w:val="18"/>
                <w:i w:val="1"/>
                <w:iCs w:val="1"/>
                <w:color w:val="32406B"/>
              </w:rPr>
              <w:t>$</w:t>
            </w:r>
          </w:p>
        </w:tc>
        <w:tc>
          <w:tcPr>
            <w:tcW w:w="780" w:type="dxa"/>
            <w:vAlign w:val="bottom"/>
            <w:gridSpan w:val="2"/>
          </w:tcPr>
          <w:p>
            <w:pPr>
              <w:jc w:val="right"/>
              <w:spacing w:after="0" w:line="195" w:lineRule="exact"/>
              <w:rPr>
                <w:sz w:val="20"/>
                <w:szCs w:val="20"/>
                <w:color w:val="auto"/>
              </w:rPr>
            </w:pPr>
            <w:r>
              <w:rPr>
                <w:rFonts w:ascii="Arial" w:cs="Arial" w:eastAsia="Arial" w:hAnsi="Arial"/>
                <w:sz w:val="18"/>
                <w:szCs w:val="18"/>
                <w:i w:val="1"/>
                <w:iCs w:val="1"/>
                <w:color w:val="32406B"/>
                <w:w w:val="75"/>
              </w:rPr>
              <w:t>309,400,000</w:t>
            </w:r>
          </w:p>
        </w:tc>
      </w:tr>
      <w:tr>
        <w:trPr>
          <w:trHeight w:val="216"/>
        </w:trPr>
        <w:tc>
          <w:tcPr>
            <w:tcW w:w="8200" w:type="dxa"/>
            <w:vAlign w:val="bottom"/>
          </w:tcPr>
          <w:p>
            <w:pPr>
              <w:spacing w:after="0"/>
              <w:rPr>
                <w:sz w:val="20"/>
                <w:szCs w:val="20"/>
                <w:color w:val="auto"/>
              </w:rPr>
            </w:pPr>
            <w:r>
              <w:rPr>
                <w:rFonts w:ascii="Arial" w:cs="Arial" w:eastAsia="Arial" w:hAnsi="Arial"/>
                <w:sz w:val="18"/>
                <w:szCs w:val="18"/>
                <w:i w:val="1"/>
                <w:iCs w:val="1"/>
                <w:color w:val="32406B"/>
              </w:rPr>
              <w:t>Underwriting Discounts and Commissions (1)</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32406B"/>
              </w:rPr>
              <w:t>$1.19</w:t>
            </w:r>
          </w:p>
        </w:tc>
        <w:tc>
          <w:tcPr>
            <w:tcW w:w="1540" w:type="dxa"/>
            <w:vAlign w:val="bottom"/>
            <w:gridSpan w:val="3"/>
          </w:tcPr>
          <w:p>
            <w:pPr>
              <w:jc w:val="right"/>
              <w:spacing w:after="0"/>
              <w:rPr>
                <w:sz w:val="20"/>
                <w:szCs w:val="20"/>
                <w:color w:val="auto"/>
              </w:rPr>
            </w:pPr>
            <w:r>
              <w:rPr>
                <w:rFonts w:ascii="Arial" w:cs="Arial" w:eastAsia="Arial" w:hAnsi="Arial"/>
                <w:sz w:val="18"/>
                <w:szCs w:val="18"/>
                <w:i w:val="1"/>
                <w:iCs w:val="1"/>
                <w:color w:val="32406B"/>
              </w:rPr>
              <w:t>$21,658,000</w:t>
            </w:r>
          </w:p>
        </w:tc>
      </w:tr>
      <w:tr>
        <w:trPr>
          <w:trHeight w:val="230"/>
        </w:trPr>
        <w:tc>
          <w:tcPr>
            <w:tcW w:w="8200" w:type="dxa"/>
            <w:vAlign w:val="bottom"/>
          </w:tcPr>
          <w:p>
            <w:pPr>
              <w:spacing w:after="0"/>
              <w:rPr>
                <w:sz w:val="20"/>
                <w:szCs w:val="20"/>
                <w:color w:val="auto"/>
              </w:rPr>
            </w:pPr>
            <w:r>
              <w:rPr>
                <w:rFonts w:ascii="Arial" w:cs="Arial" w:eastAsia="Arial" w:hAnsi="Arial"/>
                <w:sz w:val="18"/>
                <w:szCs w:val="18"/>
                <w:i w:val="1"/>
                <w:iCs w:val="1"/>
                <w:color w:val="32406B"/>
              </w:rPr>
              <w:t>Proceeds, before expenses, to us</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32406B"/>
              </w:rPr>
              <w:t>$15.81</w:t>
            </w:r>
          </w:p>
        </w:tc>
        <w:tc>
          <w:tcPr>
            <w:tcW w:w="1540" w:type="dxa"/>
            <w:vAlign w:val="bottom"/>
            <w:gridSpan w:val="3"/>
          </w:tcPr>
          <w:p>
            <w:pPr>
              <w:jc w:val="right"/>
              <w:spacing w:after="0"/>
              <w:rPr>
                <w:sz w:val="20"/>
                <w:szCs w:val="20"/>
                <w:color w:val="auto"/>
              </w:rPr>
            </w:pPr>
            <w:r>
              <w:rPr>
                <w:rFonts w:ascii="Arial" w:cs="Arial" w:eastAsia="Arial" w:hAnsi="Arial"/>
                <w:sz w:val="18"/>
                <w:szCs w:val="18"/>
                <w:i w:val="1"/>
                <w:iCs w:val="1"/>
                <w:color w:val="32406B"/>
              </w:rPr>
              <w:t>$287,742,000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8"/>
          <w:szCs w:val="18"/>
          <w:color w:val="32406B"/>
        </w:rPr>
      </w:pPr>
      <w:r>
        <w:rPr>
          <w:rFonts w:ascii="Arial" w:cs="Arial" w:eastAsia="Arial" w:hAnsi="Arial"/>
          <w:sz w:val="18"/>
          <w:szCs w:val="18"/>
          <w:color w:val="32406B"/>
        </w:rPr>
        <w:t>We refer you to “Underwriting” for additional information regarding total underwriter compensation.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120"/>
        <w:spacing w:after="0"/>
        <w:rPr>
          <w:sz w:val="20"/>
          <w:szCs w:val="20"/>
          <w:color w:val="auto"/>
        </w:rPr>
      </w:pPr>
      <w:r>
        <w:rPr>
          <w:rFonts w:ascii="Arial" w:cs="Arial" w:eastAsia="Arial" w:hAnsi="Arial"/>
          <w:sz w:val="17"/>
          <w:szCs w:val="17"/>
          <w:i w:val="1"/>
          <w:iCs w:val="1"/>
          <w:color w:val="32406B"/>
        </w:rPr>
        <w:t>We have granted the underwriters an option for a period of 30 days to purchase up to an additional 2,730,000 shares of our common stock.</w:t>
      </w:r>
    </w:p>
    <w:p>
      <w:pPr>
        <w:spacing w:after="0" w:line="237" w:lineRule="exact"/>
        <w:rPr>
          <w:sz w:val="24"/>
          <w:szCs w:val="24"/>
          <w:color w:val="auto"/>
        </w:rPr>
      </w:pPr>
    </w:p>
    <w:p>
      <w:pPr>
        <w:ind w:left="120" w:right="20"/>
        <w:spacing w:after="0" w:line="277" w:lineRule="auto"/>
        <w:rPr>
          <w:sz w:val="20"/>
          <w:szCs w:val="20"/>
          <w:color w:val="auto"/>
        </w:rPr>
      </w:pPr>
      <w:r>
        <w:rPr>
          <w:rFonts w:ascii="Arial" w:cs="Arial" w:eastAsia="Arial" w:hAnsi="Arial"/>
          <w:sz w:val="18"/>
          <w:szCs w:val="18"/>
          <w:i w:val="1"/>
          <w:iCs w:val="1"/>
          <w:color w:val="32406B"/>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4"/>
          <w:szCs w:val="24"/>
          <w:color w:val="auto"/>
        </w:rPr>
      </w:pPr>
    </w:p>
    <w:p>
      <w:pPr>
        <w:ind w:left="120"/>
        <w:spacing w:after="0"/>
        <w:rPr>
          <w:sz w:val="20"/>
          <w:szCs w:val="20"/>
          <w:color w:val="auto"/>
        </w:rPr>
      </w:pPr>
      <w:r>
        <w:rPr>
          <w:rFonts w:ascii="Arial" w:cs="Arial" w:eastAsia="Arial" w:hAnsi="Arial"/>
          <w:sz w:val="18"/>
          <w:szCs w:val="18"/>
          <w:i w:val="1"/>
          <w:iCs w:val="1"/>
          <w:color w:val="32406B"/>
        </w:rPr>
        <w:t>The underwriters expect to deliver the shares of common stock against payment in New York, New York on or about 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32406B"/>
        </w:rPr>
        <w:t>Joint Book-Running Managers</w:t>
      </w:r>
    </w:p>
    <w:p>
      <w:pPr>
        <w:spacing w:after="0" w:line="253" w:lineRule="exact"/>
        <w:rPr>
          <w:sz w:val="24"/>
          <w:szCs w:val="24"/>
          <w:color w:val="auto"/>
        </w:rPr>
      </w:pPr>
    </w:p>
    <w:p>
      <w:pPr>
        <w:ind w:left="120"/>
        <w:spacing w:after="0"/>
        <w:tabs>
          <w:tab w:leader="none" w:pos="3680" w:val="left"/>
          <w:tab w:leader="none" w:pos="6060" w:val="left"/>
          <w:tab w:leader="none" w:pos="8560" w:val="left"/>
        </w:tabs>
        <w:rPr>
          <w:sz w:val="20"/>
          <w:szCs w:val="20"/>
          <w:color w:val="auto"/>
        </w:rPr>
      </w:pPr>
      <w:r>
        <w:rPr>
          <w:rFonts w:ascii="Arial" w:cs="Arial" w:eastAsia="Arial" w:hAnsi="Arial"/>
          <w:sz w:val="21"/>
          <w:szCs w:val="21"/>
          <w:i w:val="1"/>
          <w:iCs w:val="1"/>
          <w:color w:val="32406B"/>
        </w:rPr>
        <w:t>MORGAN STANLEY</w:t>
      </w:r>
      <w:r>
        <w:rPr>
          <w:sz w:val="20"/>
          <w:szCs w:val="20"/>
          <w:color w:val="auto"/>
        </w:rPr>
        <w:tab/>
      </w:r>
      <w:r>
        <w:rPr>
          <w:rFonts w:ascii="Arial" w:cs="Arial" w:eastAsia="Arial" w:hAnsi="Arial"/>
          <w:sz w:val="21"/>
          <w:szCs w:val="21"/>
          <w:i w:val="1"/>
          <w:iCs w:val="1"/>
          <w:color w:val="32406B"/>
        </w:rPr>
        <w:t>JEFFERIES</w:t>
      </w:r>
      <w:r>
        <w:rPr>
          <w:sz w:val="20"/>
          <w:szCs w:val="20"/>
          <w:color w:val="auto"/>
        </w:rPr>
        <w:tab/>
      </w:r>
      <w:r>
        <w:rPr>
          <w:rFonts w:ascii="Arial" w:cs="Arial" w:eastAsia="Arial" w:hAnsi="Arial"/>
          <w:sz w:val="21"/>
          <w:szCs w:val="21"/>
          <w:i w:val="1"/>
          <w:iCs w:val="1"/>
          <w:color w:val="32406B"/>
        </w:rPr>
        <w:t>STIFEL</w:t>
      </w:r>
      <w:r>
        <w:rPr>
          <w:sz w:val="20"/>
          <w:szCs w:val="20"/>
          <w:color w:val="auto"/>
        </w:rPr>
        <w:tab/>
      </w:r>
      <w:r>
        <w:rPr>
          <w:rFonts w:ascii="Arial" w:cs="Arial" w:eastAsia="Arial" w:hAnsi="Arial"/>
          <w:sz w:val="19"/>
          <w:szCs w:val="19"/>
          <w:i w:val="1"/>
          <w:iCs w:val="1"/>
          <w:color w:val="32406B"/>
        </w:rPr>
        <w:t>GUGGENHEIM SECURITIES</w:t>
      </w:r>
    </w:p>
    <w:p>
      <w:pPr>
        <w:sectPr>
          <w:pgSz w:w="11900" w:h="16838" w:orient="portrait"/>
          <w:cols w:equalWidth="0" w:num="1">
            <w:col w:w="11140"/>
          </w:cols>
          <w:pgMar w:left="320" w:top="230" w:right="439" w:bottom="1440" w:gutter="0" w:footer="0" w:header="0"/>
        </w:sectPr>
      </w:pPr>
    </w:p>
    <w:p>
      <w:pPr>
        <w:spacing w:after="0" w:line="217" w:lineRule="exact"/>
        <w:rPr>
          <w:sz w:val="24"/>
          <w:szCs w:val="24"/>
          <w:color w:val="auto"/>
        </w:rPr>
      </w:pPr>
    </w:p>
    <w:p>
      <w:pPr>
        <w:ind w:left="120"/>
        <w:spacing w:after="0"/>
        <w:rPr>
          <w:sz w:val="20"/>
          <w:szCs w:val="20"/>
          <w:color w:val="auto"/>
        </w:rPr>
      </w:pPr>
      <w:r>
        <w:rPr>
          <w:rFonts w:ascii="Arial" w:cs="Arial" w:eastAsia="Arial" w:hAnsi="Arial"/>
          <w:sz w:val="16"/>
          <w:szCs w:val="16"/>
          <w:i w:val="1"/>
          <w:iCs w:val="1"/>
          <w:color w:val="32406B"/>
        </w:rPr>
        <w:t>The date of this prospectus is August 5,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32406B"/>
                <w:w w:val="89"/>
              </w:rPr>
              <w:t>Page</w:t>
            </w:r>
          </w:p>
        </w:tc>
        <w:tc>
          <w:tcPr>
            <w:tcW w:w="5000" w:type="dxa"/>
            <w:vAlign w:val="bottom"/>
            <w:gridSpan w:val="13"/>
            <w:vMerge w:val="restart"/>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32406B"/>
                <w:w w:val="83"/>
              </w:rPr>
              <w:t>Page</w:t>
            </w:r>
          </w:p>
        </w:tc>
        <w:tc>
          <w:tcPr>
            <w:tcW w:w="0" w:type="dxa"/>
            <w:vAlign w:val="bottom"/>
          </w:tcPr>
          <w:p>
            <w:pPr>
              <w:spacing w:after="0"/>
              <w:rPr>
                <w:sz w:val="1"/>
                <w:szCs w:val="1"/>
                <w:color w:val="auto"/>
              </w:rPr>
            </w:pPr>
          </w:p>
        </w:tc>
      </w:tr>
      <w:tr>
        <w:trPr>
          <w:trHeight w:val="169"/>
        </w:trPr>
        <w:tc>
          <w:tcPr>
            <w:tcW w:w="4900" w:type="dxa"/>
            <w:vAlign w:val="bottom"/>
            <w:gridSpan w:val="14"/>
            <w:vMerge w:val="continue"/>
          </w:tcPr>
          <w:p>
            <w:pPr>
              <w:spacing w:after="0"/>
              <w:rPr>
                <w:sz w:val="14"/>
                <w:szCs w:val="14"/>
                <w:color w:val="auto"/>
              </w:rPr>
            </w:pPr>
          </w:p>
        </w:tc>
        <w:tc>
          <w:tcPr>
            <w:tcW w:w="320" w:type="dxa"/>
            <w:vAlign w:val="bottom"/>
            <w:tcBorders>
              <w:top w:val="single" w:sz="8" w:color="32406B"/>
            </w:tcBorders>
          </w:tcPr>
          <w:p>
            <w:pPr>
              <w:jc w:val="right"/>
              <w:spacing w:after="0" w:line="169" w:lineRule="exact"/>
              <w:rPr>
                <w:sz w:val="20"/>
                <w:szCs w:val="20"/>
                <w:color w:val="auto"/>
              </w:rPr>
            </w:pPr>
            <w:r>
              <w:rPr>
                <w:rFonts w:ascii="Arial" w:cs="Arial" w:eastAsia="Arial" w:hAnsi="Arial"/>
                <w:sz w:val="18"/>
                <w:szCs w:val="18"/>
                <w:color w:val="32406B"/>
              </w:rPr>
              <w:t>1</w:t>
            </w:r>
          </w:p>
        </w:tc>
        <w:tc>
          <w:tcPr>
            <w:tcW w:w="400" w:type="dxa"/>
            <w:vAlign w:val="bottom"/>
          </w:tcPr>
          <w:p>
            <w:pPr>
              <w:spacing w:after="0"/>
              <w:rPr>
                <w:sz w:val="14"/>
                <w:szCs w:val="14"/>
                <w:color w:val="auto"/>
              </w:rPr>
            </w:pPr>
          </w:p>
        </w:tc>
        <w:tc>
          <w:tcPr>
            <w:tcW w:w="5000" w:type="dxa"/>
            <w:vAlign w:val="bottom"/>
            <w:gridSpan w:val="13"/>
            <w:vMerge w:val="continue"/>
          </w:tcPr>
          <w:p>
            <w:pPr>
              <w:spacing w:after="0"/>
              <w:rPr>
                <w:sz w:val="14"/>
                <w:szCs w:val="14"/>
                <w:color w:val="auto"/>
              </w:rPr>
            </w:pPr>
          </w:p>
        </w:tc>
        <w:tc>
          <w:tcPr>
            <w:tcW w:w="320" w:type="dxa"/>
            <w:vAlign w:val="bottom"/>
            <w:tcBorders>
              <w:top w:val="single" w:sz="8" w:color="32406B"/>
            </w:tcBorders>
          </w:tcPr>
          <w:p>
            <w:pPr>
              <w:jc w:val="right"/>
              <w:spacing w:after="0" w:line="169" w:lineRule="exact"/>
              <w:rPr>
                <w:sz w:val="20"/>
                <w:szCs w:val="20"/>
                <w:color w:val="auto"/>
              </w:rPr>
            </w:pPr>
            <w:r>
              <w:rPr>
                <w:rFonts w:ascii="Arial" w:cs="Arial" w:eastAsia="Arial" w:hAnsi="Arial"/>
                <w:sz w:val="18"/>
                <w:szCs w:val="18"/>
                <w:color w:val="32406B"/>
                <w:w w:val="99"/>
              </w:rPr>
              <w:t>172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3380" w:type="dxa"/>
            <w:vAlign w:val="bottom"/>
            <w:gridSpan w:val="6"/>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13</w:t>
            </w:r>
          </w:p>
        </w:tc>
        <w:tc>
          <w:tcPr>
            <w:tcW w:w="5000" w:type="dxa"/>
            <w:vAlign w:val="bottom"/>
            <w:gridSpan w:val="13"/>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184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Special Note Regarding Forward-Looking Statements</w:t>
              </w:r>
            </w:hyperlink>
          </w:p>
        </w:tc>
        <w:tc>
          <w:tcPr>
            <w:tcW w:w="1020" w:type="dxa"/>
            <w:vAlign w:val="bottom"/>
            <w:gridSpan w:val="2"/>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83</w:t>
            </w: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Principal Stockholders</w:t>
              </w:r>
            </w:hyperlink>
          </w:p>
        </w:tc>
        <w:tc>
          <w:tcPr>
            <w:tcW w:w="33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190</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Market and Industry Data</w:t>
              </w:r>
            </w:hyperlink>
          </w:p>
        </w:tc>
        <w:tc>
          <w:tcPr>
            <w:tcW w:w="3040" w:type="dxa"/>
            <w:vAlign w:val="bottom"/>
            <w:gridSpan w:val="5"/>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85</w:t>
            </w: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97">
              <w:r>
                <w:rPr>
                  <w:rFonts w:ascii="Arial" w:cs="Arial" w:eastAsia="Arial" w:hAnsi="Arial"/>
                  <w:sz w:val="18"/>
                  <w:szCs w:val="18"/>
                  <w:color w:val="0000EE"/>
                  <w:w w:val="92"/>
                </w:rPr>
                <w:t>Description of Capital Stock</w:t>
              </w:r>
            </w:hyperlink>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195</w:t>
            </w:r>
          </w:p>
        </w:tc>
        <w:tc>
          <w:tcPr>
            <w:tcW w:w="0" w:type="dxa"/>
            <w:vAlign w:val="bottom"/>
          </w:tcPr>
          <w:p>
            <w:pPr>
              <w:spacing w:after="0"/>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Use of Proceeds</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86</w:t>
            </w:r>
          </w:p>
        </w:tc>
        <w:tc>
          <w:tcPr>
            <w:tcW w:w="5000" w:type="dxa"/>
            <w:vAlign w:val="bottom"/>
            <w:gridSpan w:val="13"/>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201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7"/>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Dividend Policy</w:t>
              </w:r>
            </w:hyperlink>
          </w:p>
        </w:tc>
        <w:tc>
          <w:tcPr>
            <w:tcW w:w="3720" w:type="dxa"/>
            <w:vAlign w:val="bottom"/>
            <w:gridSpan w:val="7"/>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87</w:t>
            </w:r>
          </w:p>
        </w:tc>
        <w:tc>
          <w:tcPr>
            <w:tcW w:w="5000" w:type="dxa"/>
            <w:vAlign w:val="bottom"/>
            <w:gridSpan w:val="13"/>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Capitalization</w:t>
              </w:r>
            </w:hyperlink>
          </w:p>
        </w:tc>
        <w:tc>
          <w:tcPr>
            <w:tcW w:w="3720" w:type="dxa"/>
            <w:vAlign w:val="bottom"/>
            <w:gridSpan w:val="7"/>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88</w:t>
            </w:r>
          </w:p>
        </w:tc>
        <w:tc>
          <w:tcPr>
            <w:tcW w:w="1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Holders</w:t>
              </w:r>
            </w:hyperlink>
          </w:p>
        </w:tc>
        <w:tc>
          <w:tcPr>
            <w:tcW w:w="5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204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Dilution</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90</w:t>
            </w:r>
          </w:p>
        </w:tc>
        <w:tc>
          <w:tcPr>
            <w:tcW w:w="5000" w:type="dxa"/>
            <w:vAlign w:val="bottom"/>
            <w:gridSpan w:val="13"/>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208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Selected Consolidated Financial Data</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93</w:t>
            </w:r>
          </w:p>
        </w:tc>
        <w:tc>
          <w:tcPr>
            <w:tcW w:w="5000" w:type="dxa"/>
            <w:vAlign w:val="bottom"/>
            <w:gridSpan w:val="13"/>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217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w w:val="98"/>
              </w:rPr>
            </w:pPr>
            <w:hyperlink w:anchor="page97">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217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gridSpan w:val="12"/>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and Results of Operations</w:t>
              </w:r>
            </w:hyperlink>
          </w:p>
        </w:tc>
        <w:tc>
          <w:tcPr>
            <w:tcW w:w="360" w:type="dxa"/>
            <w:vAlign w:val="bottom"/>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rPr>
              <w:t>95</w:t>
            </w:r>
          </w:p>
        </w:tc>
        <w:tc>
          <w:tcPr>
            <w:tcW w:w="5000" w:type="dxa"/>
            <w:vAlign w:val="bottom"/>
            <w:gridSpan w:val="13"/>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Where You Can Find 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w w:val="99"/>
              </w:rPr>
              <w:t>217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Business</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w w:val="99"/>
              </w:rPr>
              <w:t>113</w:t>
            </w:r>
          </w:p>
        </w:tc>
        <w:tc>
          <w:tcPr>
            <w:tcW w:w="5000" w:type="dxa"/>
            <w:vAlign w:val="bottom"/>
            <w:gridSpan w:val="1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32406B"/>
              </w:rPr>
              <w:t>F-1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4">
              <w:r>
                <w:rPr>
                  <w:rFonts w:ascii="Arial" w:cs="Arial" w:eastAsia="Arial" w:hAnsi="Arial"/>
                  <w:sz w:val="18"/>
                  <w:szCs w:val="18"/>
                  <w:color w:val="0000EE"/>
                  <w:w w:val="91"/>
                </w:rPr>
                <w:t>Management</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32406B"/>
                <w:w w:val="99"/>
              </w:rPr>
              <w:t>162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32406B"/>
        </w:rPr>
        <w:t>®</w:t>
      </w:r>
      <w:r>
        <w:rPr>
          <w:rFonts w:ascii="Arial" w:cs="Arial" w:eastAsia="Arial" w:hAnsi="Arial"/>
          <w:sz w:val="18"/>
          <w:szCs w:val="18"/>
          <w:color w:val="32406B"/>
        </w:rPr>
        <w:t xml:space="preserve"> and </w:t>
      </w:r>
      <w:r>
        <w:rPr>
          <w:rFonts w:ascii="Arial" w:cs="Arial" w:eastAsia="Arial" w:hAnsi="Arial"/>
          <w:sz w:val="15"/>
          <w:szCs w:val="15"/>
          <w:color w:val="32406B"/>
        </w:rPr>
        <w:t>™</w:t>
      </w:r>
      <w:r>
        <w:rPr>
          <w:rFonts w:ascii="Arial" w:cs="Arial" w:eastAsia="Arial" w:hAnsi="Arial"/>
          <w:sz w:val="18"/>
          <w:szCs w:val="18"/>
          <w:color w:val="32406B"/>
        </w:rPr>
        <w:t xml:space="preserve"> symbols, but such references should not be construed as any indicator that their respective owners will not assert their rights thereto.</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Prospectus Summary</w:t>
      </w:r>
    </w:p>
    <w:p>
      <w:pPr>
        <w:spacing w:after="0" w:line="229"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i w:val="1"/>
          <w:iCs w:val="1"/>
          <w:color w:val="32406B"/>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consolidated financial statements and the related notes appearing elsewhere in this prospectus, before making an investment decision. As used in this prospectus, unless the context otherwise requires, references to “we,” “us,” “our,” “the company,” “Adagio” and “Adagio Therapeutics” refer to Adagio Therapeutics, Inc.</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Arial" w:cs="Arial" w:eastAsia="Arial" w:hAnsi="Arial"/>
          <w:sz w:val="16"/>
          <w:szCs w:val="16"/>
          <w:color w:val="32406B"/>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66"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6"/>
          <w:szCs w:val="16"/>
          <w:color w:val="32406B"/>
        </w:rPr>
        <w:t>ADG20 is designed to be a potent, long-acting and broadly neutralizing antibody for both the treatment and prevention of COVID-19 as either a single or combination agent. Unlike other antibody-based therapies specifically targeting SARS-CoV-2, ADG20 has demonstrated in non-clinical studies an ability to neutralize SARS-CoV-2, including variants of concern, as well as a broad range of SARS-like viruses with neutralization potency at IC</w:t>
      </w:r>
      <w:r>
        <w:rPr>
          <w:rFonts w:ascii="Arial" w:cs="Arial" w:eastAsia="Arial" w:hAnsi="Arial"/>
          <w:sz w:val="13"/>
          <w:szCs w:val="13"/>
          <w:color w:val="32406B"/>
        </w:rPr>
        <w:t>50</w:t>
      </w:r>
      <w:r>
        <w:rPr>
          <w:rFonts w:ascii="Arial" w:cs="Arial" w:eastAsia="Arial" w:hAnsi="Arial"/>
          <w:sz w:val="16"/>
          <w:szCs w:val="16"/>
          <w:color w:val="32406B"/>
        </w:rPr>
        <w:t xml:space="preserve"> (half maximal inhibitory concentrations) of approximately 0.01 mcg/mL or less in live-virus cellular assays. We believe this demonstrated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the day following administration of ADG20 were similar to or exceeded peak serum neutralizing antibody titers generated after two doses of mRNA or adenovirus-based COVID-19 vaccines.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4" w:lineRule="exact"/>
        <w:rPr>
          <w:sz w:val="20"/>
          <w:szCs w:val="20"/>
          <w:color w:val="auto"/>
        </w:rPr>
      </w:pPr>
    </w:p>
    <w:p>
      <w:pPr>
        <w:jc w:val="both"/>
        <w:ind w:left="300" w:firstLine="426"/>
        <w:spacing w:after="0" w:line="291" w:lineRule="auto"/>
        <w:rPr>
          <w:sz w:val="20"/>
          <w:szCs w:val="20"/>
          <w:color w:val="auto"/>
        </w:rPr>
      </w:pPr>
      <w:r>
        <w:rPr>
          <w:rFonts w:ascii="Arial" w:cs="Arial" w:eastAsia="Arial" w:hAnsi="Arial"/>
          <w:sz w:val="16"/>
          <w:szCs w:val="16"/>
          <w:color w:val="32406B"/>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hanging="2"/>
        <w:spacing w:after="0" w:line="259" w:lineRule="auto"/>
        <w:tabs>
          <w:tab w:leader="none" w:pos="558" w:val="left"/>
        </w:tabs>
        <w:numPr>
          <w:ilvl w:val="0"/>
          <w:numId w:val="2"/>
        </w:numPr>
        <w:rPr>
          <w:rFonts w:ascii="Arial" w:cs="Arial" w:eastAsia="Arial" w:hAnsi="Arial"/>
          <w:sz w:val="18"/>
          <w:szCs w:val="18"/>
          <w:color w:val="32406B"/>
        </w:rPr>
      </w:pPr>
      <w:r>
        <w:rPr>
          <w:rFonts w:ascii="Arial" w:cs="Arial" w:eastAsia="Arial" w:hAnsi="Arial"/>
          <w:sz w:val="18"/>
          <w:szCs w:val="18"/>
          <w:color w:val="32406B"/>
        </w:rPr>
        <w:t>variable implementation of virus mitigation efforts,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87" w:lineRule="exact"/>
        <w:rPr>
          <w:sz w:val="20"/>
          <w:szCs w:val="20"/>
          <w:color w:val="auto"/>
        </w:rPr>
      </w:pPr>
    </w:p>
    <w:p>
      <w:pPr>
        <w:jc w:val="both"/>
        <w:ind w:left="300" w:firstLine="426"/>
        <w:spacing w:after="0" w:line="285" w:lineRule="auto"/>
        <w:rPr>
          <w:sz w:val="20"/>
          <w:szCs w:val="20"/>
          <w:color w:val="auto"/>
        </w:rPr>
      </w:pPr>
      <w:r>
        <w:rPr>
          <w:rFonts w:ascii="Arial" w:cs="Arial" w:eastAsia="Arial" w:hAnsi="Arial"/>
          <w:sz w:val="16"/>
          <w:szCs w:val="16"/>
          <w:color w:val="32406B"/>
        </w:rPr>
        <w:t xml:space="preserve">In response to the ongoing pandemic, multiple agents have been discovered, developed and authorized at an unprecedented speed to address COVID-19. Several vaccines have been authorized for the prevention of COVID-19 under public health emergency guidelines both in the United States and abroad. In addition, some mAb therapies, either as a monotherapy or a combination cocktail, have been granted an EUA in the United States and India and are available for use as unauthorized products in certain EU member states for the treatment of mild to moderate COVID-19 in patients at high risk of disease progression. However, we believe additional solutions are required. The recent emergence of SARS-CoV-2 variants has attenuated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neutralization activity of certain currently available mAbs. For example, the U.S. Food and Drug Administration, or the FDA, recently revoked the EUA for one of these mAbs due to its lack of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activity against key variants of concern as a single agent and distribution of a second agent, bamlanvimab/etesevimab, has been paused in the United States due to data showing increased prevalence of two variants resistant to this product, the Gamma (P.1) and Beta (B.1.351) variants. Consistent with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data showing more pronounced loss of neutralization activity for casirivimab and bamlanivimab/etesevimab against the Gamma variant compared to the Alpha variant, preliminary real-world use data from Italy suggest lower clinical efficacy for casirivimab/imdevimab and bamlanivimab/etesevimab against infections due to the Gamma variant.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Approach to COVID-19 and Development of Coronavirus mAbs</w:t>
      </w:r>
    </w:p>
    <w:p>
      <w:pPr>
        <w:spacing w:after="0" w:line="121"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32406B"/>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240" w:hanging="523"/>
        <w:spacing w:after="0" w:line="277" w:lineRule="auto"/>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High potency and broad neutralizing activity to address SARS-CoV-2, including variants of concern, and additional SARS-like viruses, or sarbecoviruses;</w:t>
      </w:r>
    </w:p>
    <w:p>
      <w:pPr>
        <w:spacing w:after="0" w:line="75"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Multiple mechanisms of action, including direct virus neutralization by blocking viral entry into the host cell and elimination of infected host cells through innate immune effector activity to clear infection;</w:t>
      </w:r>
    </w:p>
    <w:p>
      <w:pPr>
        <w:spacing w:after="0" w:line="75" w:lineRule="exact"/>
        <w:rPr>
          <w:rFonts w:ascii="Arial" w:cs="Arial" w:eastAsia="Arial" w:hAnsi="Arial"/>
          <w:sz w:val="18"/>
          <w:szCs w:val="18"/>
          <w:color w:val="32406B"/>
        </w:rPr>
      </w:pPr>
    </w:p>
    <w:p>
      <w:pPr>
        <w:ind w:left="1240" w:hanging="523"/>
        <w:spacing w:after="0"/>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Convenient outpatient administration as a single-dose IM injection; and</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3"/>
        </w:numPr>
        <w:rPr>
          <w:rFonts w:ascii="Arial" w:cs="Arial" w:eastAsia="Arial" w:hAnsi="Arial"/>
          <w:sz w:val="18"/>
          <w:szCs w:val="18"/>
          <w:color w:val="32406B"/>
        </w:rPr>
      </w:pPr>
      <w:r>
        <w:rPr>
          <w:rFonts w:ascii="Arial" w:cs="Arial" w:eastAsia="Arial" w:hAnsi="Arial"/>
          <w:sz w:val="18"/>
          <w:szCs w:val="18"/>
          <w:color w:val="32406B"/>
        </w:rPr>
        <w:t>Ability to provide both rapid and durable protection with potential protection against COVID-19 for up to one year.</w:t>
      </w:r>
    </w:p>
    <w:p>
      <w:pPr>
        <w:spacing w:after="0" w:line="225"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32406B"/>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2</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32406B"/>
        </w:rPr>
        <w:t>Fc portion binds to host cell receptors to activate the innate immune system to eliminate infected host cells and is a key determinant of serum half-life. Key elements that differentiate our approach include:</w:t>
      </w:r>
    </w:p>
    <w:p>
      <w:pPr>
        <w:spacing w:after="0" w:line="72" w:lineRule="exact"/>
        <w:rPr>
          <w:sz w:val="20"/>
          <w:szCs w:val="20"/>
          <w:color w:val="auto"/>
        </w:rPr>
      </w:pPr>
    </w:p>
    <w:p>
      <w:pPr>
        <w:jc w:val="both"/>
        <w:ind w:left="1240" w:hanging="523"/>
        <w:spacing w:after="0" w:line="266" w:lineRule="auto"/>
        <w:tabs>
          <w:tab w:leader="none" w:pos="1240" w:val="left"/>
        </w:tabs>
        <w:numPr>
          <w:ilvl w:val="0"/>
          <w:numId w:val="4"/>
        </w:numPr>
        <w:rPr>
          <w:rFonts w:ascii="Arial" w:cs="Arial" w:eastAsia="Arial" w:hAnsi="Arial"/>
          <w:sz w:val="18"/>
          <w:szCs w:val="18"/>
          <w:color w:val="32406B"/>
        </w:rPr>
      </w:pPr>
      <w:r>
        <w:rPr>
          <w:rFonts w:ascii="Arial" w:cs="Arial" w:eastAsia="Arial" w:hAnsi="Arial"/>
          <w:sz w:val="18"/>
          <w:szCs w:val="18"/>
          <w:b w:val="1"/>
          <w:bCs w:val="1"/>
          <w:color w:val="32406B"/>
        </w:rPr>
        <w:t xml:space="preserve">Recognition of the importance of broadly neutralizing antibodies: </w:t>
      </w:r>
      <w:r>
        <w:rPr>
          <w:rFonts w:ascii="Arial" w:cs="Arial" w:eastAsia="Arial" w:hAnsi="Arial"/>
          <w:sz w:val="18"/>
          <w:szCs w:val="18"/>
          <w:color w:val="32406B"/>
        </w:rPr>
        <w:t>From the outset, we chose to focus on mAbs capable of broadly</w:t>
      </w:r>
      <w:r>
        <w:rPr>
          <w:rFonts w:ascii="Arial" w:cs="Arial" w:eastAsia="Arial" w:hAnsi="Arial"/>
          <w:sz w:val="18"/>
          <w:szCs w:val="18"/>
          <w:b w:val="1"/>
          <w:bCs w:val="1"/>
          <w:color w:val="32406B"/>
        </w:rPr>
        <w:t xml:space="preserve"> </w:t>
      </w:r>
      <w:r>
        <w:rPr>
          <w:rFonts w:ascii="Arial" w:cs="Arial" w:eastAsia="Arial" w:hAnsi="Arial"/>
          <w:sz w:val="18"/>
          <w:szCs w:val="18"/>
          <w:color w:val="32406B"/>
        </w:rPr>
        <w:t>neutralizing not only SARS-CoV-2 and its variants, but also the entire viral class of sarbecoviruses that target the human angiotensin-converting enzyme 2, or hACE2, receptor.</w:t>
      </w:r>
    </w:p>
    <w:p>
      <w:pPr>
        <w:spacing w:after="0" w:line="81" w:lineRule="exact"/>
        <w:rPr>
          <w:rFonts w:ascii="Arial" w:cs="Arial" w:eastAsia="Arial" w:hAnsi="Arial"/>
          <w:sz w:val="18"/>
          <w:szCs w:val="18"/>
          <w:color w:val="32406B"/>
        </w:rPr>
      </w:pPr>
    </w:p>
    <w:p>
      <w:pPr>
        <w:jc w:val="both"/>
        <w:ind w:left="1240" w:hanging="523"/>
        <w:spacing w:after="0" w:line="255" w:lineRule="auto"/>
        <w:tabs>
          <w:tab w:leader="none" w:pos="1240" w:val="left"/>
        </w:tabs>
        <w:numPr>
          <w:ilvl w:val="0"/>
          <w:numId w:val="4"/>
        </w:numPr>
        <w:rPr>
          <w:rFonts w:ascii="Arial" w:cs="Arial" w:eastAsia="Arial" w:hAnsi="Arial"/>
          <w:sz w:val="18"/>
          <w:szCs w:val="18"/>
          <w:color w:val="32406B"/>
        </w:rPr>
      </w:pPr>
      <w:r>
        <w:rPr>
          <w:rFonts w:ascii="Arial" w:cs="Arial" w:eastAsia="Arial" w:hAnsi="Arial"/>
          <w:sz w:val="18"/>
          <w:szCs w:val="18"/>
          <w:b w:val="1"/>
          <w:bCs w:val="1"/>
          <w:color w:val="32406B"/>
        </w:rPr>
        <w:t xml:space="preserve">Industry-leading B-cell mining, protein engineering and developability screening capabilities through our partnership with Adimab: </w:t>
      </w:r>
      <w:r>
        <w:rPr>
          <w:rFonts w:ascii="Arial" w:cs="Arial" w:eastAsia="Arial" w:hAnsi="Arial"/>
          <w:sz w:val="18"/>
          <w:szCs w:val="18"/>
          <w:color w:val="32406B"/>
        </w:rPr>
        <w:t>We leverage nature’s solutions using Adimab’s deep B-cell mining capabilities to isolate broadly neutralizing antibodies</w:t>
      </w:r>
      <w:r>
        <w:rPr>
          <w:rFonts w:ascii="Arial" w:cs="Arial" w:eastAsia="Arial" w:hAnsi="Arial"/>
          <w:sz w:val="18"/>
          <w:szCs w:val="18"/>
          <w:b w:val="1"/>
          <w:bCs w:val="1"/>
          <w:color w:val="32406B"/>
        </w:rPr>
        <w:t xml:space="preserve"> </w:t>
      </w:r>
      <w:r>
        <w:rPr>
          <w:rFonts w:ascii="Arial" w:cs="Arial" w:eastAsia="Arial" w:hAnsi="Arial"/>
          <w:sz w:val="18"/>
          <w:szCs w:val="18"/>
          <w:color w:val="32406B"/>
        </w:rPr>
        <w:t>from a 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94" w:lineRule="exact"/>
        <w:rPr>
          <w:rFonts w:ascii="Arial" w:cs="Arial" w:eastAsia="Arial" w:hAnsi="Arial"/>
          <w:sz w:val="18"/>
          <w:szCs w:val="18"/>
          <w:color w:val="32406B"/>
        </w:rPr>
      </w:pPr>
    </w:p>
    <w:p>
      <w:pPr>
        <w:jc w:val="both"/>
        <w:ind w:left="1240" w:hanging="523"/>
        <w:spacing w:after="0" w:line="298" w:lineRule="auto"/>
        <w:tabs>
          <w:tab w:leader="none" w:pos="1240" w:val="left"/>
        </w:tabs>
        <w:numPr>
          <w:ilvl w:val="0"/>
          <w:numId w:val="4"/>
        </w:numPr>
        <w:rPr>
          <w:rFonts w:ascii="Arial" w:cs="Arial" w:eastAsia="Arial" w:hAnsi="Arial"/>
          <w:sz w:val="16"/>
          <w:szCs w:val="16"/>
          <w:color w:val="32406B"/>
        </w:rPr>
      </w:pPr>
      <w:r>
        <w:rPr>
          <w:rFonts w:ascii="Arial" w:cs="Arial" w:eastAsia="Arial" w:hAnsi="Arial"/>
          <w:sz w:val="16"/>
          <w:szCs w:val="16"/>
          <w:b w:val="1"/>
          <w:bCs w:val="1"/>
          <w:color w:val="32406B"/>
        </w:rPr>
        <w:t xml:space="preserve">Reduced risk of clinical resistance: </w:t>
      </w:r>
      <w:r>
        <w:rPr>
          <w:rFonts w:ascii="Arial" w:cs="Arial" w:eastAsia="Arial" w:hAnsi="Arial"/>
          <w:sz w:val="16"/>
          <w:szCs w:val="16"/>
          <w:color w:val="32406B"/>
        </w:rPr>
        <w:t>We are developing antibodies that target conserved residues in the receptor-binding domain, or</w:t>
      </w:r>
      <w:r>
        <w:rPr>
          <w:rFonts w:ascii="Arial" w:cs="Arial" w:eastAsia="Arial" w:hAnsi="Arial"/>
          <w:sz w:val="16"/>
          <w:szCs w:val="16"/>
          <w:b w:val="1"/>
          <w:bCs w:val="1"/>
          <w:color w:val="32406B"/>
        </w:rPr>
        <w:t xml:space="preserve"> </w:t>
      </w:r>
      <w:r>
        <w:rPr>
          <w:rFonts w:ascii="Arial" w:cs="Arial" w:eastAsia="Arial" w:hAnsi="Arial"/>
          <w:sz w:val="16"/>
          <w:szCs w:val="16"/>
          <w:color w:val="32406B"/>
        </w:rPr>
        <w:t>RBD, of the viral S protein. Importantly, these residues are distinct from those recognized by other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ADG20: Our Solution for the Treatment and Prevention of COVID-19</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32406B"/>
        </w:rPr>
        <w:t>ADG20, our lead product candidate, is designed to be a potent, broadly neutralizing antibody for both the treatment and prevention of COVID-19, including disease caused by variants, as either a single or combination agent. We believe ADG20 will have the following key clinical and commercial attributes:</w:t>
      </w:r>
    </w:p>
    <w:p>
      <w:pPr>
        <w:spacing w:after="0" w:line="89" w:lineRule="exact"/>
        <w:rPr>
          <w:sz w:val="20"/>
          <w:szCs w:val="20"/>
          <w:color w:val="auto"/>
        </w:rPr>
      </w:pPr>
    </w:p>
    <w:p>
      <w:pPr>
        <w:ind w:left="1240" w:hanging="523"/>
        <w:spacing w:after="0"/>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Broadly neutralizing activity across sarbecoviruses;</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Rapid onset of protection;</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Differentiated durability;</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Convenient, single-dose IM injection for use in the outpatient setting;</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5"/>
        </w:numPr>
        <w:rPr>
          <w:rFonts w:ascii="Arial" w:cs="Arial" w:eastAsia="Arial" w:hAnsi="Arial"/>
          <w:sz w:val="16"/>
          <w:szCs w:val="16"/>
          <w:color w:val="32406B"/>
        </w:rPr>
      </w:pPr>
      <w:r>
        <w:rPr>
          <w:rFonts w:ascii="Arial" w:cs="Arial" w:eastAsia="Arial" w:hAnsi="Arial"/>
          <w:sz w:val="16"/>
          <w:szCs w:val="16"/>
          <w:color w:val="32406B"/>
        </w:rPr>
        <w:t>Ability to both complement and supplement currently available COVID-19 vaccines, including for immunocompromised individuals;</w:t>
      </w:r>
    </w:p>
    <w:p>
      <w:pPr>
        <w:spacing w:after="0" w:line="153" w:lineRule="exact"/>
        <w:rPr>
          <w:rFonts w:ascii="Arial" w:cs="Arial" w:eastAsia="Arial" w:hAnsi="Arial"/>
          <w:sz w:val="16"/>
          <w:szCs w:val="16"/>
          <w:color w:val="32406B"/>
        </w:rPr>
      </w:pPr>
    </w:p>
    <w:p>
      <w:pPr>
        <w:ind w:left="1240" w:hanging="523"/>
        <w:spacing w:after="0"/>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High titer, high yield manufacturing process;</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Standard refrigeration requirements to facilitate worldwide distribution and storage; and</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5"/>
        </w:numPr>
        <w:rPr>
          <w:rFonts w:ascii="Arial" w:cs="Arial" w:eastAsia="Arial" w:hAnsi="Arial"/>
          <w:sz w:val="18"/>
          <w:szCs w:val="18"/>
          <w:color w:val="32406B"/>
        </w:rPr>
      </w:pPr>
      <w:r>
        <w:rPr>
          <w:rFonts w:ascii="Arial" w:cs="Arial" w:eastAsia="Arial" w:hAnsi="Arial"/>
          <w:sz w:val="18"/>
          <w:szCs w:val="18"/>
          <w:color w:val="32406B"/>
        </w:rPr>
        <w:t>Long shelf life to enable stockpiling.</w:t>
      </w:r>
    </w:p>
    <w:p>
      <w:pPr>
        <w:spacing w:after="0" w:line="225" w:lineRule="exact"/>
        <w:rPr>
          <w:sz w:val="20"/>
          <w:szCs w:val="20"/>
          <w:color w:val="auto"/>
        </w:rPr>
      </w:pPr>
    </w:p>
    <w:p>
      <w:pPr>
        <w:jc w:val="both"/>
        <w:ind w:left="300" w:firstLine="426"/>
        <w:spacing w:after="0" w:line="273" w:lineRule="auto"/>
        <w:rPr>
          <w:sz w:val="20"/>
          <w:szCs w:val="20"/>
          <w:color w:val="auto"/>
        </w:rPr>
      </w:pPr>
      <w:r>
        <w:rPr>
          <w:rFonts w:ascii="Arial" w:cs="Arial" w:eastAsia="Arial" w:hAnsi="Arial"/>
          <w:sz w:val="17"/>
          <w:szCs w:val="17"/>
          <w:color w:val="32406B"/>
        </w:rPr>
        <w:t xml:space="preserve">ADG20 has been evaluated in a series of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and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studies to demonstrate its breadth as well as safety and efficacy in various animal models.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binding studies have demonstrated that ADG20 binds with high affinity to a diverse set of RBD subdomain 1, or RBD SD1, molecules from naturally circulating SARS-CoV-2 variants and related sarbecoviruses. In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studies, ADG20 has demonstrated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models, ADG20 demonstrated an ability to prevent and treat SARS-CoV-2 infection and associated disease as well as a prolonged serum half-life.</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3</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87" w:lineRule="auto"/>
        <w:rPr>
          <w:sz w:val="20"/>
          <w:szCs w:val="20"/>
          <w:color w:val="auto"/>
        </w:rPr>
      </w:pPr>
      <w:r>
        <w:rPr>
          <w:rFonts w:ascii="Arial" w:cs="Arial" w:eastAsia="Arial" w:hAnsi="Arial"/>
          <w:sz w:val="16"/>
          <w:szCs w:val="16"/>
          <w:color w:val="32406B"/>
        </w:rPr>
        <w:t>We have completed enrollment in our first-in-human Phase 1 clinical trial in healthy volunteers. Interim data demonstrated that ADG20 was well tolerated and displayed a pharmacokinetic profile consistent with an extended half-life mAb. Serum virus neutralizing antibody titers measured the day following administration of ADG20 were similar to or exceeded peak serum neutralizing antibody titers generated after two doses of mRNA or adenovirus-based COVID-19 vaccines. For the treatment of mild to moderate COVID-19 in patients at high risk of disease progression, we are conducting our STAMP trial, a combined Phase 2/3 global clinical trial designed to provide a path to applying for EUA and/or filing a BLA for marketing approval in 2022, and commercial launch thereafter, if ADG20 is approved. We may not meet our time frames for submission for an EUA or BLA, and if we do meet such timelines, there is no guarantee the FDA would approve our submission, or on the time frame we have indicated. For the prevention of COVID-19, we are conducting our EVADE trial, a combined Phase 2/3 global clinical trial, in both post-exposure and pre-exposure populations. As shown in the graphic below, we believe that intervention with an antiviral neutralizing antibody before exposure to SARS-CoV-2, post-exposure but prior to the onset of symptoms, or early in the course of symptomatic disease when viral replication is high but prior to the onset of significant immune pathology is likely to provide the greatest benefit to patients.</w:t>
      </w:r>
    </w:p>
    <w:p>
      <w:pPr>
        <w:spacing w:after="0" w:line="38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32406B"/>
        </w:rPr>
        <w:t>ADG20 for Treatment and Prevention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32406B"/>
        </w:rPr>
        <w:t>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Additional Broadly Neutralizing Antibodies and Discovery Programs Beyond ADG20</w:t>
      </w:r>
    </w:p>
    <w:p>
      <w:pPr>
        <w:spacing w:after="0" w:line="121" w:lineRule="exact"/>
        <w:rPr>
          <w:sz w:val="20"/>
          <w:szCs w:val="20"/>
          <w:color w:val="auto"/>
        </w:rPr>
      </w:pPr>
    </w:p>
    <w:p>
      <w:pPr>
        <w:jc w:val="both"/>
        <w:ind w:left="300" w:firstLine="426"/>
        <w:spacing w:after="0" w:line="271" w:lineRule="auto"/>
        <w:rPr>
          <w:sz w:val="20"/>
          <w:szCs w:val="20"/>
          <w:color w:val="auto"/>
        </w:rPr>
      </w:pPr>
      <w:r>
        <w:rPr>
          <w:rFonts w:ascii="Arial" w:cs="Arial" w:eastAsia="Arial" w:hAnsi="Arial"/>
          <w:sz w:val="17"/>
          <w:szCs w:val="17"/>
          <w:color w:val="32406B"/>
        </w:rPr>
        <w:t>We are currently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against COVID-19 as new variants of SARS-CoV-2 emerge, as well as against future potential outbreaks of disease that may arise from additional SARS-like viruses with pandemic potential. In addition, we plan to leverage the robust antibody discovery and development capabilities that have enabled our expedited advancement of ADG20 into clinical trials to develop therapeutic or preventative options for other respiratory viral infections, such as additional coronaviruses and seasonal and pandemic influenza. In addition to building a portfolio of broadly neutralizing antibodies, we are leveraging our knowledge around broadly neutralizing antibody responses to inform the rational design of coronavirus vaccine antigens.</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4</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Strategy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32406B"/>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9" w:lineRule="exact"/>
        <w:rPr>
          <w:sz w:val="20"/>
          <w:szCs w:val="20"/>
          <w:color w:val="auto"/>
        </w:rPr>
      </w:pPr>
    </w:p>
    <w:p>
      <w:pPr>
        <w:ind w:left="1240" w:hanging="523"/>
        <w:spacing w:after="0" w:line="277" w:lineRule="auto"/>
        <w:tabs>
          <w:tab w:leader="none" w:pos="124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Leverage our team’s collective expertise in development, manufacturing and commercialization to efficiently bring ADG20 to patients.</w:t>
      </w:r>
    </w:p>
    <w:p>
      <w:pPr>
        <w:spacing w:after="0" w:line="75"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Complete development and obtain global approval for our lead product candidate, ADG20, for both the treatment and prevention of COVID-19.</w:t>
      </w:r>
    </w:p>
    <w:p>
      <w:pPr>
        <w:spacing w:after="0" w:line="75"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Successfully commercialize ADG20, if approved, through our own organization in the United States and Europe, and partners in the rest of the world.</w:t>
      </w:r>
    </w:p>
    <w:p>
      <w:pPr>
        <w:spacing w:after="0" w:line="75"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Continue to secure additional manufacturing capacity with trusted contract development and manufacturing organization, or CDMO, partners to enable a worldwide commercial launch.</w:t>
      </w:r>
    </w:p>
    <w:p>
      <w:pPr>
        <w:spacing w:after="0" w:line="75"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Develop additional antibodies for use in potential combination with ADG20 to address future potential variants of SARS-CoV-2 and other sarbecovirus outbreaks.</w:t>
      </w:r>
    </w:p>
    <w:p>
      <w:pPr>
        <w:spacing w:after="0" w:line="75"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6"/>
        </w:numPr>
        <w:rPr>
          <w:rFonts w:ascii="Arial" w:cs="Arial" w:eastAsia="Arial" w:hAnsi="Arial"/>
          <w:sz w:val="18"/>
          <w:szCs w:val="18"/>
          <w:color w:val="32406B"/>
        </w:rPr>
      </w:pPr>
      <w:r>
        <w:rPr>
          <w:rFonts w:ascii="Arial" w:cs="Arial" w:eastAsia="Arial" w:hAnsi="Arial"/>
          <w:sz w:val="18"/>
          <w:szCs w:val="18"/>
          <w:color w:val="32406B"/>
        </w:rPr>
        <w:t>Leverage relationships with Adimab and academic institutions to discover additional antibody-based solutions to address coronavirus and influenza infections.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Our History and Team</w:t>
      </w:r>
    </w:p>
    <w:p>
      <w:pPr>
        <w:spacing w:after="0" w:line="121"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32406B"/>
        </w:rPr>
        <w:t>We were founded in June 2020 to develop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with appropriate infectious disease resources and development expertise,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 Our leadership team has more than 100 years of combined development and commercialization experience with small and large molecules in infectious disease, as well as decades of domain expertise in B-cell immunology of viral diseases.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6"/>
          <w:szCs w:val="16"/>
          <w:color w:val="32406B"/>
        </w:rPr>
        <w:t>Since our inception, we have raised approximately $470 million of capital from leading institutional healthcare investors and our partners.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Risks Associated with Our Business</w:t>
      </w:r>
    </w:p>
    <w:p>
      <w:pPr>
        <w:spacing w:after="0" w:line="121"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32406B"/>
        </w:rPr>
        <w:t>Our business is subject to numerous risks that you should be aware of before making an investment decision. These risks are described more fully in the section titled “Risk Factors” and include, among others:</w:t>
      </w:r>
    </w:p>
    <w:p>
      <w:pPr>
        <w:spacing w:after="0" w:line="76" w:lineRule="exact"/>
        <w:rPr>
          <w:sz w:val="20"/>
          <w:szCs w:val="20"/>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32406B"/>
        </w:rPr>
      </w:pPr>
      <w:r>
        <w:rPr>
          <w:rFonts w:ascii="Arial" w:cs="Arial" w:eastAsia="Arial" w:hAnsi="Arial"/>
          <w:sz w:val="18"/>
          <w:szCs w:val="18"/>
          <w:color w:val="32406B"/>
        </w:rPr>
        <w:t>We have incurred significant losses since our inception. We expect to incur losses over the next several years and may never achieve or maintain profitability.</w:t>
      </w:r>
    </w:p>
    <w:p>
      <w:pPr>
        <w:spacing w:after="0" w:line="75"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7"/>
        </w:numPr>
        <w:rPr>
          <w:rFonts w:ascii="Arial" w:cs="Arial" w:eastAsia="Arial" w:hAnsi="Arial"/>
          <w:sz w:val="18"/>
          <w:szCs w:val="18"/>
          <w:color w:val="32406B"/>
        </w:rPr>
      </w:pPr>
      <w:r>
        <w:rPr>
          <w:rFonts w:ascii="Arial" w:cs="Arial" w:eastAsia="Arial" w:hAnsi="Arial"/>
          <w:sz w:val="18"/>
          <w:szCs w:val="18"/>
          <w:color w:val="32406B"/>
        </w:rPr>
        <w:t>We have a limited operating history and no history of commercializing products, which may make it difficult for an investor to evaluate the success of our business to date and to assess our future viability.</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5</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89" w:lineRule="exact"/>
        <w:rPr>
          <w:rFonts w:ascii="Arial" w:cs="Arial" w:eastAsia="Arial" w:hAnsi="Arial"/>
          <w:sz w:val="18"/>
          <w:szCs w:val="18"/>
          <w:color w:val="32406B"/>
        </w:rPr>
      </w:pPr>
    </w:p>
    <w:p>
      <w:pPr>
        <w:ind w:left="1240" w:hanging="523"/>
        <w:spacing w:after="0"/>
        <w:tabs>
          <w:tab w:leader="none" w:pos="1240" w:val="left"/>
        </w:tabs>
        <w:numPr>
          <w:ilvl w:val="0"/>
          <w:numId w:val="8"/>
        </w:numPr>
        <w:rPr>
          <w:rFonts w:ascii="Arial" w:cs="Arial" w:eastAsia="Arial" w:hAnsi="Arial"/>
          <w:sz w:val="16"/>
          <w:szCs w:val="16"/>
          <w:color w:val="32406B"/>
        </w:rPr>
      </w:pPr>
      <w:r>
        <w:rPr>
          <w:rFonts w:ascii="Arial" w:cs="Arial" w:eastAsia="Arial" w:hAnsi="Arial"/>
          <w:sz w:val="16"/>
          <w:szCs w:val="16"/>
          <w:color w:val="32406B"/>
        </w:rPr>
        <w:t>Our recurring losses from operations and financial condition raise substantial doubt about our ability to continue as a going concern.</w:t>
      </w:r>
    </w:p>
    <w:p>
      <w:pPr>
        <w:spacing w:after="0" w:line="153" w:lineRule="exact"/>
        <w:rPr>
          <w:rFonts w:ascii="Arial" w:cs="Arial" w:eastAsia="Arial" w:hAnsi="Arial"/>
          <w:sz w:val="16"/>
          <w:szCs w:val="16"/>
          <w:color w:val="32406B"/>
        </w:rPr>
      </w:pPr>
    </w:p>
    <w:p>
      <w:pPr>
        <w:jc w:val="both"/>
        <w:ind w:left="1240" w:right="20" w:hanging="523"/>
        <w:spacing w:after="0" w:line="286" w:lineRule="auto"/>
        <w:tabs>
          <w:tab w:leader="none" w:pos="1240" w:val="left"/>
        </w:tabs>
        <w:numPr>
          <w:ilvl w:val="0"/>
          <w:numId w:val="8"/>
        </w:numPr>
        <w:rPr>
          <w:rFonts w:ascii="Arial" w:cs="Arial" w:eastAsia="Arial" w:hAnsi="Arial"/>
          <w:sz w:val="17"/>
          <w:szCs w:val="17"/>
          <w:color w:val="32406B"/>
        </w:rPr>
      </w:pPr>
      <w:r>
        <w:rPr>
          <w:rFonts w:ascii="Arial" w:cs="Arial" w:eastAsia="Arial" w:hAnsi="Arial"/>
          <w:sz w:val="17"/>
          <w:szCs w:val="17"/>
          <w:color w:val="32406B"/>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0" w:lineRule="exact"/>
        <w:rPr>
          <w:rFonts w:ascii="Arial" w:cs="Arial" w:eastAsia="Arial" w:hAnsi="Arial"/>
          <w:sz w:val="17"/>
          <w:szCs w:val="17"/>
          <w:color w:val="32406B"/>
        </w:rPr>
      </w:pPr>
    </w:p>
    <w:p>
      <w:pPr>
        <w:jc w:val="both"/>
        <w:ind w:left="1240" w:hanging="523"/>
        <w:spacing w:after="0" w:line="263"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89" w:lineRule="exact"/>
        <w:rPr>
          <w:rFonts w:ascii="Arial" w:cs="Arial" w:eastAsia="Arial" w:hAnsi="Arial"/>
          <w:sz w:val="18"/>
          <w:szCs w:val="18"/>
          <w:color w:val="32406B"/>
        </w:rPr>
      </w:pPr>
    </w:p>
    <w:p>
      <w:pPr>
        <w:jc w:val="both"/>
        <w:ind w:left="1240" w:hanging="523"/>
        <w:spacing w:after="0" w:line="273" w:lineRule="auto"/>
        <w:tabs>
          <w:tab w:leader="none" w:pos="1240" w:val="left"/>
        </w:tabs>
        <w:numPr>
          <w:ilvl w:val="0"/>
          <w:numId w:val="8"/>
        </w:numPr>
        <w:rPr>
          <w:rFonts w:ascii="Arial" w:cs="Arial" w:eastAsia="Arial" w:hAnsi="Arial"/>
          <w:sz w:val="17"/>
          <w:szCs w:val="17"/>
          <w:color w:val="32406B"/>
        </w:rPr>
      </w:pPr>
      <w:r>
        <w:rPr>
          <w:rFonts w:ascii="Arial" w:cs="Arial" w:eastAsia="Arial" w:hAnsi="Arial"/>
          <w:sz w:val="17"/>
          <w:szCs w:val="17"/>
          <w:color w:val="32406B"/>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83" w:lineRule="exact"/>
        <w:rPr>
          <w:rFonts w:ascii="Arial" w:cs="Arial" w:eastAsia="Arial" w:hAnsi="Arial"/>
          <w:sz w:val="17"/>
          <w:szCs w:val="17"/>
          <w:color w:val="32406B"/>
        </w:rPr>
      </w:pPr>
    </w:p>
    <w:p>
      <w:pPr>
        <w:ind w:left="1240" w:hanging="523"/>
        <w:spacing w:after="0" w:line="277"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75" w:lineRule="exact"/>
        <w:rPr>
          <w:rFonts w:ascii="Arial" w:cs="Arial" w:eastAsia="Arial" w:hAnsi="Arial"/>
          <w:sz w:val="18"/>
          <w:szCs w:val="18"/>
          <w:color w:val="32406B"/>
        </w:rPr>
      </w:pPr>
    </w:p>
    <w:p>
      <w:pPr>
        <w:jc w:val="both"/>
        <w:ind w:left="1240" w:right="20" w:hanging="523"/>
        <w:spacing w:after="0" w:line="263"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89" w:lineRule="exact"/>
        <w:rPr>
          <w:rFonts w:ascii="Arial" w:cs="Arial" w:eastAsia="Arial" w:hAnsi="Arial"/>
          <w:sz w:val="18"/>
          <w:szCs w:val="18"/>
          <w:color w:val="32406B"/>
        </w:rPr>
      </w:pPr>
    </w:p>
    <w:p>
      <w:pPr>
        <w:ind w:left="1240" w:hanging="523"/>
        <w:spacing w:after="0"/>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We may not be successful in our efforts to build a pipeline of additional product candidates.</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Our business and operations may be adversely affected by the evolving and ongoing COVID-19 global pandemic.</w:t>
      </w:r>
    </w:p>
    <w:p>
      <w:pPr>
        <w:spacing w:after="0" w:line="130" w:lineRule="exact"/>
        <w:rPr>
          <w:rFonts w:ascii="Arial" w:cs="Arial" w:eastAsia="Arial" w:hAnsi="Arial"/>
          <w:sz w:val="18"/>
          <w:szCs w:val="18"/>
          <w:color w:val="32406B"/>
        </w:rPr>
      </w:pPr>
    </w:p>
    <w:p>
      <w:pPr>
        <w:jc w:val="both"/>
        <w:ind w:left="1240" w:hanging="523"/>
        <w:spacing w:after="0" w:line="263"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89"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75"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ADG20 and our other monoclonal antibody product candidates may face significant competition from vaccines and other treatments for COVID-19 that are currently available or in development.</w:t>
      </w:r>
    </w:p>
    <w:p>
      <w:pPr>
        <w:spacing w:after="0" w:line="75" w:lineRule="exact"/>
        <w:rPr>
          <w:rFonts w:ascii="Arial" w:cs="Arial" w:eastAsia="Arial" w:hAnsi="Arial"/>
          <w:sz w:val="18"/>
          <w:szCs w:val="18"/>
          <w:color w:val="32406B"/>
        </w:rPr>
      </w:pPr>
    </w:p>
    <w:p>
      <w:pPr>
        <w:jc w:val="both"/>
        <w:ind w:left="1240" w:hanging="523"/>
        <w:spacing w:after="0" w:line="259"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92"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32406B"/>
        </w:rPr>
      </w:pPr>
      <w:r>
        <w:rPr>
          <w:rFonts w:ascii="Arial" w:cs="Arial" w:eastAsia="Arial" w:hAnsi="Arial"/>
          <w:sz w:val="18"/>
          <w:szCs w:val="18"/>
          <w:color w:val="32406B"/>
        </w:rPr>
        <w:t>Third parties may initiate legal proceedings alleging that we are infringing, misappropriating or otherwise violating their intellectual property rights, the outcome of which would be uncertain.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6</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7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89" w:lineRule="exact"/>
        <w:rPr>
          <w:rFonts w:ascii="Arial" w:cs="Arial" w:eastAsia="Arial" w:hAnsi="Arial"/>
          <w:sz w:val="18"/>
          <w:szCs w:val="18"/>
          <w:color w:val="32406B"/>
        </w:rPr>
      </w:pPr>
    </w:p>
    <w:p>
      <w:pPr>
        <w:jc w:val="both"/>
        <w:ind w:left="1240" w:hanging="523"/>
        <w:spacing w:after="0" w:line="259" w:lineRule="auto"/>
        <w:tabs>
          <w:tab w:leader="none" w:pos="1240" w:val="left"/>
        </w:tabs>
        <w:numPr>
          <w:ilvl w:val="0"/>
          <w:numId w:val="9"/>
        </w:numPr>
        <w:rPr>
          <w:rFonts w:ascii="Arial" w:cs="Arial" w:eastAsia="Arial" w:hAnsi="Arial"/>
          <w:sz w:val="18"/>
          <w:szCs w:val="18"/>
          <w:color w:val="32406B"/>
        </w:rPr>
      </w:pPr>
      <w:r>
        <w:rPr>
          <w:rFonts w:ascii="Arial" w:cs="Arial" w:eastAsia="Arial" w:hAnsi="Arial"/>
          <w:sz w:val="18"/>
          <w:szCs w:val="18"/>
          <w:color w:val="32406B"/>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Implications of Being an Emerging Growth Company and a Smaller Reporting Company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32406B"/>
        </w:rPr>
        <w:t>We are an “emerging growth company” as defined in the Jumpstart Our Business Startups Act of 2012, as amended, or the JOBS Act. As such, we may take advantage of certain exemptions from various reporting requirements that are otherwise applicable to public companies. These exemptions include, but are not limited to:</w:t>
      </w:r>
    </w:p>
    <w:p>
      <w:pPr>
        <w:spacing w:after="0" w:line="89" w:lineRule="exact"/>
        <w:rPr>
          <w:sz w:val="20"/>
          <w:szCs w:val="20"/>
          <w:color w:val="auto"/>
        </w:rPr>
      </w:pPr>
    </w:p>
    <w:p>
      <w:pPr>
        <w:jc w:val="both"/>
        <w:ind w:left="1240" w:hanging="523"/>
        <w:spacing w:after="0" w:line="263" w:lineRule="auto"/>
        <w:tabs>
          <w:tab w:leader="none" w:pos="124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an exemption from compliance with the auditor attestation requirement in the assessment of our internal control over financial reporting;</w:t>
      </w:r>
    </w:p>
    <w:p>
      <w:pPr>
        <w:spacing w:after="0" w:line="75" w:lineRule="exact"/>
        <w:rPr>
          <w:rFonts w:ascii="Arial" w:cs="Arial" w:eastAsia="Arial" w:hAnsi="Arial"/>
          <w:sz w:val="18"/>
          <w:szCs w:val="18"/>
          <w:color w:val="32406B"/>
        </w:rPr>
      </w:pPr>
    </w:p>
    <w:p>
      <w:pPr>
        <w:ind w:left="1240" w:hanging="523"/>
        <w:spacing w:after="0"/>
        <w:tabs>
          <w:tab w:leader="none" w:pos="124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reduced disclosure obligations regarding executive compensation;</w:t>
      </w:r>
    </w:p>
    <w:p>
      <w:pPr>
        <w:spacing w:after="0" w:line="130" w:lineRule="exact"/>
        <w:rPr>
          <w:rFonts w:ascii="Arial" w:cs="Arial" w:eastAsia="Arial" w:hAnsi="Arial"/>
          <w:sz w:val="18"/>
          <w:szCs w:val="18"/>
          <w:color w:val="32406B"/>
        </w:rPr>
      </w:pPr>
    </w:p>
    <w:p>
      <w:pPr>
        <w:ind w:left="1240" w:right="20" w:hanging="523"/>
        <w:spacing w:after="0" w:line="277" w:lineRule="auto"/>
        <w:tabs>
          <w:tab w:leader="none" w:pos="124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10"/>
        </w:numPr>
        <w:rPr>
          <w:rFonts w:ascii="Arial" w:cs="Arial" w:eastAsia="Arial" w:hAnsi="Arial"/>
          <w:sz w:val="18"/>
          <w:szCs w:val="18"/>
          <w:color w:val="32406B"/>
        </w:rPr>
      </w:pPr>
      <w:r>
        <w:rPr>
          <w:rFonts w:ascii="Arial" w:cs="Arial" w:eastAsia="Arial" w:hAnsi="Arial"/>
          <w:sz w:val="18"/>
          <w:szCs w:val="18"/>
          <w:color w:val="32406B"/>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300" w:firstLine="426"/>
        <w:spacing w:after="0" w:line="284" w:lineRule="auto"/>
        <w:rPr>
          <w:sz w:val="20"/>
          <w:szCs w:val="20"/>
          <w:color w:val="auto"/>
        </w:rPr>
      </w:pPr>
      <w:r>
        <w:rPr>
          <w:rFonts w:ascii="Arial" w:cs="Arial" w:eastAsia="Arial" w:hAnsi="Arial"/>
          <w:sz w:val="16"/>
          <w:szCs w:val="16"/>
          <w:color w:val="32406B"/>
        </w:rPr>
        <w:t>We may take advantage of these provisions until the last day of our fiscal year following the fifth anniversary of the completion of this offering. However, if prior to the end of such five-year period, (i) our annual gross revenue exceeds $1.07 billion, (ii) we issue more than $1.0 billion of non-convertible debt in the previous three-year period or (iii) we become a “large accelerated filer” (as defined in Rule 12b-2 under the Securities Exchange Act of 1934, as amended, or the Exchange Act), we will cease to be an emerging growth company prior to the end of such five-year period. We will be deemed to be a “large accelerated filer” at such time that we (a) have an aggregate worldwide market value of our common stock held by non-affiliates of $700.0 million or more as of the last business day of our most recently completed second fiscal quarter,</w:t>
      </w:r>
    </w:p>
    <w:p>
      <w:pPr>
        <w:spacing w:after="0" w:line="4" w:lineRule="exact"/>
        <w:rPr>
          <w:sz w:val="20"/>
          <w:szCs w:val="20"/>
          <w:color w:val="auto"/>
        </w:rPr>
      </w:pPr>
    </w:p>
    <w:p>
      <w:pPr>
        <w:ind w:left="300" w:hanging="2"/>
        <w:spacing w:after="0" w:line="260" w:lineRule="auto"/>
        <w:tabs>
          <w:tab w:leader="none" w:pos="559" w:val="left"/>
        </w:tabs>
        <w:numPr>
          <w:ilvl w:val="0"/>
          <w:numId w:val="11"/>
        </w:numPr>
        <w:rPr>
          <w:rFonts w:ascii="Arial" w:cs="Arial" w:eastAsia="Arial" w:hAnsi="Arial"/>
          <w:sz w:val="18"/>
          <w:szCs w:val="18"/>
          <w:color w:val="32406B"/>
        </w:rPr>
      </w:pPr>
      <w:r>
        <w:rPr>
          <w:rFonts w:ascii="Arial" w:cs="Arial" w:eastAsia="Arial" w:hAnsi="Arial"/>
          <w:sz w:val="18"/>
          <w:szCs w:val="18"/>
          <w:color w:val="32406B"/>
        </w:rPr>
        <w:t>have been required to file annual and quarterly reports under the Exchange Act for a period of at least 12 months and (c) have filed at least one annual report pursuant to the Exchange Act.</w:t>
      </w:r>
    </w:p>
    <w:p>
      <w:pPr>
        <w:spacing w:after="0" w:line="185"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32406B"/>
        </w:rPr>
        <w:t>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32406B"/>
        </w:rPr>
        <w:t>In addition, the JOBS Act provides that an emerging growth company can take advantage of an extended transition period for complying with new or revised accounting standards. We have elected not to “opt out” of the exemption for the delayed adoption of certain accounting standards, and, therefore, we will adopt new or revised accounting standards at the time private companies adopt the new or revised accounting standards and will do so until such time that we either (i) irrevocably elect to “opt out” of such extended transition period or (ii) no longer</w:t>
      </w:r>
    </w:p>
    <w:p>
      <w:pPr>
        <w:spacing w:after="0" w:line="3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7</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67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32406B"/>
        </w:rPr>
        <w:t>qualify as an emerging growth company. We may choose to early adopt any new or revised accounting standards whenever such early adoption is permitted for private companies.</w:t>
      </w:r>
    </w:p>
    <w:p>
      <w:pPr>
        <w:spacing w:after="0" w:line="170"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32406B"/>
        </w:rPr>
        <w:t>We are also a “smaller reporting company” as defined under the Securities Exchange Act. We may continue to be a smaller reporting company for so long as either (i) the market value of our common stock held by non-affiliates is less than $250 million as of the last business day of our most recently completed second fiscal quarter or (ii) our annual revenue was less than $100 million during the most recently completed fiscal year and the market value of our common stock held by non-affiliates is less than $700 million as of the last business day of our most recently completed second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32406B"/>
        </w:rPr>
        <w:t>Corporate Information</w:t>
      </w:r>
    </w:p>
    <w:p>
      <w:pPr>
        <w:spacing w:after="0" w:line="121"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32406B"/>
        </w:rPr>
        <w:t>We were incorporated under the laws of the State of Delaware in June of 2020. Our principal executive offices are located at 303 Wyman Street, Suite 300, Waltham, MA 02451 and our telephone number is (781) 819-0080. Our website address is adagiotx.com.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 We have included our website in this prospectus solely as an inactive textual reference.</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32406B"/>
              </w:rPr>
              <w:t>THE OFFERING</w:t>
            </w: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color w:val="32406B"/>
              </w:rPr>
              <w:t>Common stock offered by us</w:t>
            </w:r>
          </w:p>
        </w:tc>
        <w:tc>
          <w:tcPr>
            <w:tcW w:w="6000" w:type="dxa"/>
            <w:vAlign w:val="bottom"/>
          </w:tcPr>
          <w:p>
            <w:pPr>
              <w:ind w:left="900"/>
              <w:spacing w:after="0"/>
              <w:rPr>
                <w:sz w:val="20"/>
                <w:szCs w:val="20"/>
                <w:color w:val="auto"/>
              </w:rPr>
            </w:pPr>
            <w:r>
              <w:rPr>
                <w:rFonts w:ascii="Arial" w:cs="Arial" w:eastAsia="Arial" w:hAnsi="Arial"/>
                <w:sz w:val="18"/>
                <w:szCs w:val="18"/>
                <w:color w:val="32406B"/>
              </w:rPr>
              <w:t>18,200,000 shares.</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32406B"/>
                <w:w w:val="91"/>
              </w:rPr>
              <w:t>Common stock to be outstanding immediately after this offering</w:t>
            </w:r>
          </w:p>
        </w:tc>
        <w:tc>
          <w:tcPr>
            <w:tcW w:w="6000" w:type="dxa"/>
            <w:vAlign w:val="bottom"/>
            <w:vMerge w:val="restart"/>
          </w:tcPr>
          <w:p>
            <w:pPr>
              <w:ind w:left="900"/>
              <w:spacing w:after="0"/>
              <w:rPr>
                <w:sz w:val="20"/>
                <w:szCs w:val="20"/>
                <w:color w:val="auto"/>
              </w:rPr>
            </w:pPr>
            <w:r>
              <w:rPr>
                <w:rFonts w:ascii="Arial" w:cs="Arial" w:eastAsia="Arial" w:hAnsi="Arial"/>
                <w:sz w:val="18"/>
                <w:szCs w:val="18"/>
                <w:color w:val="32406B"/>
                <w:w w:val="89"/>
              </w:rPr>
              <w:t>108,515,660 shares (or 111,245,660 shares if the underwriters exercise</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8"/>
              </w:rPr>
              <w:t>in full their option to purchase up to 2,730,000 additional shares).</w:t>
            </w: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32406B"/>
              </w:rPr>
              <w:t>Option to purchase additional shares offered by us</w:t>
            </w:r>
          </w:p>
        </w:tc>
        <w:tc>
          <w:tcPr>
            <w:tcW w:w="6000" w:type="dxa"/>
            <w:vAlign w:val="bottom"/>
          </w:tcPr>
          <w:p>
            <w:pPr>
              <w:ind w:left="900"/>
              <w:spacing w:after="0"/>
              <w:rPr>
                <w:sz w:val="20"/>
                <w:szCs w:val="20"/>
                <w:color w:val="auto"/>
              </w:rPr>
            </w:pPr>
            <w:r>
              <w:rPr>
                <w:rFonts w:ascii="Arial" w:cs="Arial" w:eastAsia="Arial" w:hAnsi="Arial"/>
                <w:sz w:val="18"/>
                <w:szCs w:val="18"/>
                <w:color w:val="32406B"/>
                <w:w w:val="91"/>
              </w:rPr>
              <w:t>We have granted the underwriters an option for a period of 30 days to</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rPr>
              <w:t>purchase up to 2,730,000 additional shares of common stock.</w:t>
            </w: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32406B"/>
              </w:rPr>
              <w:t>Use of proceeds</w:t>
            </w:r>
          </w:p>
        </w:tc>
        <w:tc>
          <w:tcPr>
            <w:tcW w:w="6000" w:type="dxa"/>
            <w:vAlign w:val="bottom"/>
          </w:tcPr>
          <w:p>
            <w:pPr>
              <w:ind w:left="900"/>
              <w:spacing w:after="0"/>
              <w:rPr>
                <w:sz w:val="20"/>
                <w:szCs w:val="20"/>
                <w:color w:val="auto"/>
              </w:rPr>
            </w:pPr>
            <w:r>
              <w:rPr>
                <w:rFonts w:ascii="Arial" w:cs="Arial" w:eastAsia="Arial" w:hAnsi="Arial"/>
                <w:sz w:val="18"/>
                <w:szCs w:val="18"/>
                <w:color w:val="32406B"/>
                <w:w w:val="98"/>
              </w:rPr>
              <w:t>We  estimate  that  the  net  proceeds  from  this  offering  will  be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5"/>
              </w:rPr>
              <w:t>approximately $283.9 million, or approximately $327.1 million if the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3"/>
              </w:rPr>
              <w:t>underwriters exercise in full their option to purchase up to 2,730,000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1"/>
              </w:rPr>
              <w:t>additional shares of common stock, based on the initial public offering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3"/>
              </w:rPr>
              <w:t>price of $17.00 per share and after deducting underwriting discounts</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6"/>
              </w:rPr>
              <w:t>and commissions and estimated offering expenses payable by us.</w:t>
            </w: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4"/>
                <w:szCs w:val="24"/>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1"/>
              </w:rPr>
              <w:t>We intend to use the net proceeds from this offering, together with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8"/>
              </w:rPr>
              <w:t>existing cash and cash equivalents, to fund clinical development,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3"/>
              </w:rPr>
              <w:t>manufacturing supply and initial commercialization costs for ADG20,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7"/>
              </w:rPr>
              <w:t>and the remainder for working capital and other general corporate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5"/>
              </w:rPr>
              <w:t>purposes,  including  development  of  additional  programs  in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rPr>
              <w:t>pipeline. See the section titled “Use of Proceeds” for additional</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rPr>
              <w:t>information.</w:t>
            </w: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0"/>
                <w:szCs w:val="20"/>
                <w:color w:val="auto"/>
              </w:rPr>
            </w:pPr>
            <w:r>
              <w:rPr>
                <w:rFonts w:ascii="Arial" w:cs="Arial" w:eastAsia="Arial" w:hAnsi="Arial"/>
                <w:sz w:val="18"/>
                <w:szCs w:val="18"/>
                <w:color w:val="32406B"/>
              </w:rPr>
              <w:t>Risk factors</w:t>
            </w:r>
          </w:p>
        </w:tc>
        <w:tc>
          <w:tcPr>
            <w:tcW w:w="6000" w:type="dxa"/>
            <w:vAlign w:val="bottom"/>
          </w:tcPr>
          <w:p>
            <w:pPr>
              <w:ind w:left="900"/>
              <w:spacing w:after="0"/>
              <w:rPr>
                <w:sz w:val="20"/>
                <w:szCs w:val="20"/>
                <w:color w:val="auto"/>
              </w:rPr>
            </w:pPr>
            <w:r>
              <w:rPr>
                <w:rFonts w:ascii="Arial" w:cs="Arial" w:eastAsia="Arial" w:hAnsi="Arial"/>
                <w:sz w:val="18"/>
                <w:szCs w:val="18"/>
                <w:color w:val="32406B"/>
                <w:w w:val="95"/>
              </w:rPr>
              <w:t>You should read the section titled “Risk Factors” for a discussion of</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rPr>
              <w:t>factors you should consider carefully, together with all the other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w w:val="95"/>
              </w:rPr>
              <w:t>information included in this prospectus, before deciding to invest in</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6000" w:type="dxa"/>
            <w:vAlign w:val="bottom"/>
          </w:tcPr>
          <w:p>
            <w:pPr>
              <w:ind w:left="900"/>
              <w:spacing w:after="0"/>
              <w:rPr>
                <w:sz w:val="20"/>
                <w:szCs w:val="20"/>
                <w:color w:val="auto"/>
              </w:rPr>
            </w:pPr>
            <w:r>
              <w:rPr>
                <w:rFonts w:ascii="Arial" w:cs="Arial" w:eastAsia="Arial" w:hAnsi="Arial"/>
                <w:sz w:val="18"/>
                <w:szCs w:val="18"/>
                <w:color w:val="32406B"/>
              </w:rPr>
              <w:t>our common stock.</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32406B"/>
              </w:rPr>
              <w:t>Nasdaq Global Market symbol</w:t>
            </w:r>
          </w:p>
        </w:tc>
        <w:tc>
          <w:tcPr>
            <w:tcW w:w="6000" w:type="dxa"/>
            <w:vAlign w:val="bottom"/>
          </w:tcPr>
          <w:p>
            <w:pPr>
              <w:ind w:left="900"/>
              <w:spacing w:after="0"/>
              <w:rPr>
                <w:sz w:val="20"/>
                <w:szCs w:val="20"/>
                <w:color w:val="auto"/>
              </w:rPr>
            </w:pPr>
            <w:r>
              <w:rPr>
                <w:rFonts w:ascii="Arial" w:cs="Arial" w:eastAsia="Arial" w:hAnsi="Arial"/>
                <w:sz w:val="18"/>
                <w:szCs w:val="18"/>
                <w:color w:val="32406B"/>
              </w:rPr>
              <w:t>“ADGI”</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32406B"/>
        </w:rPr>
        <w:t>The number of shares of our common stock to be outstanding after this offering is based on 90,315,660 shares of our common stock outstanding as of March 31, 2021, assuming the automatic conversion of all outstanding shares of our preferred stock, including 4,296,550 shares of Series C preferred stock issued in April 2021, into an aggregate of 84,722,420 shares of common stock upon the closing of this offering, and excludes:</w:t>
      </w:r>
    </w:p>
    <w:p>
      <w:pPr>
        <w:spacing w:after="0" w:line="92" w:lineRule="exact"/>
        <w:rPr>
          <w:sz w:val="20"/>
          <w:szCs w:val="20"/>
          <w:color w:val="auto"/>
        </w:rPr>
      </w:pPr>
    </w:p>
    <w:p>
      <w:pPr>
        <w:ind w:left="1240" w:hanging="523"/>
        <w:spacing w:after="0"/>
        <w:tabs>
          <w:tab w:leader="none" w:pos="124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6,000 shares of our common stock issued subsequent to March 31, 2021;</w:t>
      </w:r>
    </w:p>
    <w:p>
      <w:pPr>
        <w:spacing w:after="0" w:line="130" w:lineRule="exact"/>
        <w:rPr>
          <w:rFonts w:ascii="Arial" w:cs="Arial" w:eastAsia="Arial" w:hAnsi="Arial"/>
          <w:sz w:val="18"/>
          <w:szCs w:val="18"/>
          <w:color w:val="32406B"/>
        </w:rPr>
      </w:pPr>
    </w:p>
    <w:p>
      <w:pPr>
        <w:jc w:val="both"/>
        <w:ind w:left="1240" w:hanging="523"/>
        <w:spacing w:after="0" w:line="259" w:lineRule="auto"/>
        <w:tabs>
          <w:tab w:leader="none" w:pos="1240" w:val="left"/>
        </w:tabs>
        <w:numPr>
          <w:ilvl w:val="0"/>
          <w:numId w:val="12"/>
        </w:numPr>
        <w:rPr>
          <w:rFonts w:ascii="Arial" w:cs="Arial" w:eastAsia="Arial" w:hAnsi="Arial"/>
          <w:sz w:val="18"/>
          <w:szCs w:val="18"/>
          <w:color w:val="32406B"/>
        </w:rPr>
      </w:pPr>
      <w:r>
        <w:rPr>
          <w:rFonts w:ascii="Arial" w:cs="Arial" w:eastAsia="Arial" w:hAnsi="Arial"/>
          <w:sz w:val="18"/>
          <w:szCs w:val="18"/>
          <w:color w:val="32406B"/>
        </w:rPr>
        <w:t>5,366,070 shares of our common stock issuable upon the exercise of options outstanding as of March 31, 2021 under our 2020 Equity Incentive Plan, or the 2020 Plan, at a weighted-average exercise price of $2.49 per share (which does not include options to purchase an aggregate of 11,427,020 shares of our common stock, at a weighted-average exercise price of $10.86 per share, that were granted subsequent to March 31, 2021);</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9</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5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4058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hanging="523"/>
        <w:spacing w:after="0" w:line="263" w:lineRule="auto"/>
        <w:tabs>
          <w:tab w:leader="none" w:pos="124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11,860,995 shares of our common stock available for future issuance as of March 31, 2021 under the 2020 Plan, which such shares ceased to be available for issuance under the 2020 Plan at the time our 2021 Equity Incentive Plan, or the 2021 Plan, became effective and became available for issuance under the 2021 Plan;</w:t>
      </w:r>
    </w:p>
    <w:p>
      <w:pPr>
        <w:spacing w:after="0" w:line="89" w:lineRule="exact"/>
        <w:rPr>
          <w:rFonts w:ascii="Arial" w:cs="Arial" w:eastAsia="Arial" w:hAnsi="Arial"/>
          <w:sz w:val="18"/>
          <w:szCs w:val="18"/>
          <w:color w:val="32406B"/>
        </w:rPr>
      </w:pPr>
    </w:p>
    <w:p>
      <w:pPr>
        <w:jc w:val="both"/>
        <w:ind w:left="1240" w:hanging="523"/>
        <w:spacing w:after="0" w:line="311" w:lineRule="auto"/>
        <w:tabs>
          <w:tab w:leader="none" w:pos="1240" w:val="left"/>
        </w:tabs>
        <w:numPr>
          <w:ilvl w:val="0"/>
          <w:numId w:val="13"/>
        </w:numPr>
        <w:rPr>
          <w:rFonts w:ascii="Arial" w:cs="Arial" w:eastAsia="Arial" w:hAnsi="Arial"/>
          <w:sz w:val="16"/>
          <w:szCs w:val="16"/>
          <w:color w:val="32406B"/>
        </w:rPr>
      </w:pPr>
      <w:r>
        <w:rPr>
          <w:rFonts w:ascii="Arial" w:cs="Arial" w:eastAsia="Arial" w:hAnsi="Arial"/>
          <w:sz w:val="16"/>
          <w:szCs w:val="16"/>
          <w:color w:val="32406B"/>
        </w:rPr>
        <w:t>6,434,485 additional shares of our common stock available for future issuance under our 2020 Plan, which was amended subsequent to March 31, 2021 to increase the shares available under the plan, which such shares ceased to be available for issuance under the 2020 Plan at the time our 2021 Plan became effective and became available for issuance under the 2021 Plan;</w:t>
      </w:r>
    </w:p>
    <w:p>
      <w:pPr>
        <w:spacing w:after="0" w:line="54" w:lineRule="exact"/>
        <w:rPr>
          <w:rFonts w:ascii="Arial" w:cs="Arial" w:eastAsia="Arial" w:hAnsi="Arial"/>
          <w:sz w:val="16"/>
          <w:szCs w:val="16"/>
          <w:color w:val="32406B"/>
        </w:rPr>
      </w:pPr>
    </w:p>
    <w:p>
      <w:pPr>
        <w:jc w:val="both"/>
        <w:ind w:left="1240" w:hanging="523"/>
        <w:spacing w:after="0" w:line="286" w:lineRule="auto"/>
        <w:tabs>
          <w:tab w:leader="none" w:pos="1240" w:val="left"/>
        </w:tabs>
        <w:numPr>
          <w:ilvl w:val="0"/>
          <w:numId w:val="13"/>
        </w:numPr>
        <w:rPr>
          <w:rFonts w:ascii="Arial" w:cs="Arial" w:eastAsia="Arial" w:hAnsi="Arial"/>
          <w:sz w:val="17"/>
          <w:szCs w:val="17"/>
          <w:color w:val="32406B"/>
        </w:rPr>
      </w:pPr>
      <w:r>
        <w:rPr>
          <w:rFonts w:ascii="Arial" w:cs="Arial" w:eastAsia="Arial" w:hAnsi="Arial"/>
          <w:sz w:val="17"/>
          <w:szCs w:val="17"/>
          <w:color w:val="32406B"/>
        </w:rPr>
        <w:t>11,413,572 shares of our common stock that became available for future issuance under the 2021 Plan, which became effective immediately prior to and contingent upon the execution of the underwriting agreement related to this offering, as well as any automatic increases in the number of shares of common stock reserved for future issuance under the 2021 Plan; and</w:t>
      </w:r>
    </w:p>
    <w:p>
      <w:pPr>
        <w:spacing w:after="0" w:line="70" w:lineRule="exact"/>
        <w:rPr>
          <w:rFonts w:ascii="Arial" w:cs="Arial" w:eastAsia="Arial" w:hAnsi="Arial"/>
          <w:sz w:val="17"/>
          <w:szCs w:val="17"/>
          <w:color w:val="32406B"/>
        </w:rPr>
      </w:pPr>
    </w:p>
    <w:p>
      <w:pPr>
        <w:jc w:val="both"/>
        <w:ind w:left="1240" w:hanging="523"/>
        <w:spacing w:after="0" w:line="259" w:lineRule="auto"/>
        <w:tabs>
          <w:tab w:leader="none" w:pos="1240" w:val="left"/>
        </w:tabs>
        <w:numPr>
          <w:ilvl w:val="0"/>
          <w:numId w:val="13"/>
        </w:numPr>
        <w:rPr>
          <w:rFonts w:ascii="Arial" w:cs="Arial" w:eastAsia="Arial" w:hAnsi="Arial"/>
          <w:sz w:val="18"/>
          <w:szCs w:val="18"/>
          <w:color w:val="32406B"/>
        </w:rPr>
      </w:pPr>
      <w:r>
        <w:rPr>
          <w:rFonts w:ascii="Arial" w:cs="Arial" w:eastAsia="Arial" w:hAnsi="Arial"/>
          <w:sz w:val="18"/>
          <w:szCs w:val="18"/>
          <w:color w:val="32406B"/>
        </w:rPr>
        <w:t>1,342,773 shares of our common stock that became available for future issuance under our 2021 Employee Stock Purchase Plan, or the 2021 ESPP, which became effective immediately prior to and contingent upon the execution of the underwriting agreement related to this offering, as well as any automatic increases in the number of shares of common stock reserved for future issuance under the 2021 ESPP.</w:t>
      </w:r>
    </w:p>
    <w:p>
      <w:pPr>
        <w:spacing w:after="0" w:line="18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32406B"/>
        </w:rPr>
        <w:t>Unless otherwise indicated, all information contained in this prospectus, including the number of shares of common stock that will be outstanding after this offering, assumes or gives effect to:</w:t>
      </w:r>
    </w:p>
    <w:p>
      <w:pPr>
        <w:spacing w:after="0" w:line="76" w:lineRule="exact"/>
        <w:rPr>
          <w:sz w:val="20"/>
          <w:szCs w:val="20"/>
          <w:color w:val="auto"/>
        </w:rPr>
      </w:pPr>
    </w:p>
    <w:p>
      <w:pPr>
        <w:ind w:left="1240" w:right="20" w:hanging="523"/>
        <w:spacing w:after="0" w:line="277" w:lineRule="auto"/>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the automatic conversion of all outstanding shares of our preferred stock into an aggregate of 84,722,420 shares of our common stock, which will occur upon the closing of this offering;</w:t>
      </w:r>
    </w:p>
    <w:p>
      <w:pPr>
        <w:spacing w:after="0" w:line="75" w:lineRule="exact"/>
        <w:rPr>
          <w:rFonts w:ascii="Arial" w:cs="Arial" w:eastAsia="Arial" w:hAnsi="Arial"/>
          <w:sz w:val="18"/>
          <w:szCs w:val="18"/>
          <w:color w:val="32406B"/>
        </w:rPr>
      </w:pPr>
    </w:p>
    <w:p>
      <w:pPr>
        <w:ind w:left="1240" w:hanging="523"/>
        <w:spacing w:after="0"/>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a five-for-one split of our common stock effected on July 30, 2021;</w:t>
      </w:r>
    </w:p>
    <w:p>
      <w:pPr>
        <w:spacing w:after="0" w:line="130" w:lineRule="exact"/>
        <w:rPr>
          <w:rFonts w:ascii="Arial" w:cs="Arial" w:eastAsia="Arial" w:hAnsi="Arial"/>
          <w:sz w:val="18"/>
          <w:szCs w:val="18"/>
          <w:color w:val="32406B"/>
        </w:rPr>
      </w:pPr>
    </w:p>
    <w:p>
      <w:pPr>
        <w:ind w:left="1240" w:hanging="523"/>
        <w:spacing w:after="0" w:line="277" w:lineRule="auto"/>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the filing and effectiveness of our amended and restated certificate of incorporation and the adoption of our amended and restated bylaws immediately prior to the completion of this offering;</w:t>
      </w:r>
    </w:p>
    <w:p>
      <w:pPr>
        <w:spacing w:after="0" w:line="75" w:lineRule="exact"/>
        <w:rPr>
          <w:rFonts w:ascii="Arial" w:cs="Arial" w:eastAsia="Arial" w:hAnsi="Arial"/>
          <w:sz w:val="18"/>
          <w:szCs w:val="18"/>
          <w:color w:val="32406B"/>
        </w:rPr>
      </w:pPr>
    </w:p>
    <w:p>
      <w:pPr>
        <w:ind w:left="1240" w:hanging="523"/>
        <w:spacing w:after="0"/>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no exercise of the outstanding options referred to above after March 31, 2021; and</w:t>
      </w:r>
    </w:p>
    <w:p>
      <w:pPr>
        <w:spacing w:after="0" w:line="130" w:lineRule="exact"/>
        <w:rPr>
          <w:rFonts w:ascii="Arial" w:cs="Arial" w:eastAsia="Arial" w:hAnsi="Arial"/>
          <w:sz w:val="18"/>
          <w:szCs w:val="18"/>
          <w:color w:val="32406B"/>
        </w:rPr>
      </w:pPr>
    </w:p>
    <w:p>
      <w:pPr>
        <w:ind w:left="1240" w:hanging="523"/>
        <w:spacing w:after="0"/>
        <w:tabs>
          <w:tab w:leader="none" w:pos="1240" w:val="left"/>
        </w:tabs>
        <w:numPr>
          <w:ilvl w:val="0"/>
          <w:numId w:val="14"/>
        </w:numPr>
        <w:rPr>
          <w:rFonts w:ascii="Arial" w:cs="Arial" w:eastAsia="Arial" w:hAnsi="Arial"/>
          <w:sz w:val="18"/>
          <w:szCs w:val="18"/>
          <w:color w:val="32406B"/>
        </w:rPr>
      </w:pPr>
      <w:r>
        <w:rPr>
          <w:rFonts w:ascii="Arial" w:cs="Arial" w:eastAsia="Arial" w:hAnsi="Arial"/>
          <w:sz w:val="18"/>
          <w:szCs w:val="18"/>
          <w:color w:val="32406B"/>
        </w:rPr>
        <w:t>no exercise by the underwriters of their option to purchase additional shares of our common stock.</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32406B"/>
        </w:rPr>
        <w:t>10</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32406B"/>
        </w:rPr>
        <w:t>SUMMARY CONSOLIDATED FINANCIAL DATA</w:t>
      </w:r>
    </w:p>
    <w:p>
      <w:pPr>
        <w:spacing w:after="0" w:line="229" w:lineRule="exact"/>
        <w:rPr>
          <w:sz w:val="20"/>
          <w:szCs w:val="20"/>
          <w:color w:val="auto"/>
        </w:rPr>
      </w:pPr>
    </w:p>
    <w:p>
      <w:pPr>
        <w:jc w:val="both"/>
        <w:ind w:left="300" w:firstLine="426"/>
        <w:spacing w:after="0" w:line="270" w:lineRule="auto"/>
        <w:rPr>
          <w:sz w:val="20"/>
          <w:szCs w:val="20"/>
          <w:color w:val="auto"/>
        </w:rPr>
      </w:pPr>
      <w:r>
        <w:rPr>
          <w:rFonts w:ascii="Arial" w:cs="Arial" w:eastAsia="Arial" w:hAnsi="Arial"/>
          <w:sz w:val="17"/>
          <w:szCs w:val="17"/>
          <w:color w:val="32406B"/>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period from June 3, 2020 (inception) to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32406B"/>
                <w:w w:val="94"/>
              </w:rPr>
              <w:t>Period from</w:t>
            </w:r>
          </w:p>
        </w:tc>
        <w:tc>
          <w:tcPr>
            <w:tcW w:w="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32406B"/>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93"/>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32406B"/>
                <w:w w:val="94"/>
              </w:rPr>
              <w:t>(Inception) to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9"/>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32406B"/>
              </w:rPr>
              <w:t>December 31, 2020</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32406B"/>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5"/>
          </w:tcPr>
          <w:p>
            <w:pPr>
              <w:jc w:val="right"/>
              <w:ind w:right="194"/>
              <w:spacing w:after="0" w:line="142" w:lineRule="exact"/>
              <w:rPr>
                <w:sz w:val="20"/>
                <w:szCs w:val="20"/>
                <w:color w:val="auto"/>
              </w:rPr>
            </w:pPr>
            <w:r>
              <w:rPr>
                <w:rFonts w:ascii="Arial" w:cs="Arial" w:eastAsia="Arial" w:hAnsi="Arial"/>
                <w:sz w:val="14"/>
                <w:szCs w:val="14"/>
                <w:b w:val="1"/>
                <w:bCs w:val="1"/>
                <w:color w:val="32406B"/>
                <w:w w:val="96"/>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Consolidated Statement of Operations Data:</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32406B"/>
              </w:rPr>
              <w:t>Operating 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Research and development</w:t>
            </w:r>
            <w:r>
              <w:rPr>
                <w:rFonts w:ascii="Arial" w:cs="Arial" w:eastAsia="Arial" w:hAnsi="Arial"/>
                <w:sz w:val="15"/>
                <w:szCs w:val="15"/>
                <w:color w:val="32406B"/>
              </w:rPr>
              <w:t>(1)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21,992</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34,032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340"/>
              <w:spacing w:after="0"/>
              <w:rPr>
                <w:sz w:val="20"/>
                <w:szCs w:val="20"/>
                <w:color w:val="auto"/>
              </w:rPr>
            </w:pPr>
            <w:r>
              <w:rPr>
                <w:rFonts w:ascii="Arial" w:cs="Arial" w:eastAsia="Arial" w:hAnsi="Arial"/>
                <w:sz w:val="18"/>
                <w:szCs w:val="18"/>
                <w:color w:val="32406B"/>
              </w:rPr>
              <w:t>Acquired in-process research and development</w:t>
            </w:r>
            <w:r>
              <w:rPr>
                <w:rFonts w:ascii="Arial" w:cs="Arial" w:eastAsia="Arial" w:hAnsi="Arial"/>
                <w:sz w:val="15"/>
                <w:szCs w:val="15"/>
                <w:color w:val="32406B"/>
              </w:rPr>
              <w:t>(2)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2406B"/>
              </w:rPr>
              <w:t>40,125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2406B"/>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Selling, general and administrative</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3,210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3,677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32406B"/>
              </w:rPr>
              <w:t>Total operating expenses</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65,327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38,709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Loss from operations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(65,327)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(38,709)</w:t>
            </w:r>
          </w:p>
        </w:tc>
        <w:tc>
          <w:tcPr>
            <w:tcW w:w="0" w:type="dxa"/>
            <w:vAlign w:val="bottom"/>
          </w:tcPr>
          <w:p>
            <w:pPr>
              <w:spacing w:after="0"/>
              <w:rPr>
                <w:sz w:val="1"/>
                <w:szCs w:val="1"/>
                <w:color w:val="auto"/>
              </w:rPr>
            </w:pPr>
          </w:p>
        </w:tc>
      </w:tr>
      <w:tr>
        <w:trPr>
          <w:trHeight w:val="223"/>
        </w:trPr>
        <w:tc>
          <w:tcPr>
            <w:tcW w:w="7300" w:type="dxa"/>
            <w:vAlign w:val="bottom"/>
            <w:gridSpan w:val="3"/>
          </w:tcPr>
          <w:p>
            <w:pPr>
              <w:spacing w:after="0"/>
              <w:rPr>
                <w:sz w:val="20"/>
                <w:szCs w:val="20"/>
                <w:color w:val="auto"/>
              </w:rPr>
            </w:pPr>
            <w:r>
              <w:rPr>
                <w:rFonts w:ascii="Arial" w:cs="Arial" w:eastAsia="Arial" w:hAnsi="Arial"/>
                <w:sz w:val="18"/>
                <w:szCs w:val="18"/>
                <w:color w:val="32406B"/>
              </w:rPr>
              <w:t>Other income:</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Interest income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32406B"/>
              </w:rPr>
              <w:t>Total other income</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Net loss</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w w:val="99"/>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(65,319)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2406B"/>
              </w:rPr>
              <w:t>(38,700)</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32406B"/>
              </w:rPr>
              <w:t>Net loss per share attributable to common stockholders, basic and diluted</w:t>
            </w:r>
            <w:r>
              <w:rPr>
                <w:rFonts w:ascii="Arial" w:cs="Arial" w:eastAsia="Arial" w:hAnsi="Arial"/>
                <w:sz w:val="15"/>
                <w:szCs w:val="15"/>
                <w:color w:val="32406B"/>
              </w:rPr>
              <w:t>(3)</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(18.10)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Weighted-average common shares outstanding, basic and diluted</w:t>
            </w:r>
            <w:r>
              <w:rPr>
                <w:rFonts w:ascii="Arial" w:cs="Arial" w:eastAsia="Arial" w:hAnsi="Arial"/>
                <w:sz w:val="15"/>
                <w:szCs w:val="15"/>
                <w:color w:val="32406B"/>
              </w:rPr>
              <w:t>(3)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3,608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32406B"/>
                <w:w w:val="95"/>
              </w:rPr>
              <w:t>Pro forma net loss per share attributable to common stockholders, basic and diluted (unaudited)</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00" w:type="dxa"/>
            <w:vAlign w:val="bottom"/>
            <w:gridSpan w:val="3"/>
            <w:vMerge w:val="continue"/>
          </w:tcPr>
          <w:p>
            <w:pPr>
              <w:spacing w:after="0"/>
              <w:rPr>
                <w:sz w:val="17"/>
                <w:szCs w:val="17"/>
                <w:color w:val="auto"/>
              </w:rPr>
            </w:pPr>
          </w:p>
        </w:tc>
        <w:tc>
          <w:tcPr>
            <w:tcW w:w="540" w:type="dxa"/>
            <w:vAlign w:val="bottom"/>
            <w:gridSpan w:val="2"/>
            <w:vMerge w:val="restart"/>
          </w:tcPr>
          <w:p>
            <w:pPr>
              <w:ind w:left="420"/>
              <w:spacing w:after="0"/>
              <w:rPr>
                <w:sz w:val="20"/>
                <w:szCs w:val="20"/>
                <w:color w:val="auto"/>
              </w:rPr>
            </w:pPr>
            <w:r>
              <w:rPr>
                <w:rFonts w:ascii="Arial" w:cs="Arial" w:eastAsia="Arial" w:hAnsi="Arial"/>
                <w:sz w:val="18"/>
                <w:szCs w:val="18"/>
                <w:color w:val="32406B"/>
                <w:w w:val="99"/>
              </w:rPr>
              <w:t>$</w:t>
            </w: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32406B"/>
              </w:rPr>
              <w:t>(1.25)</w:t>
            </w:r>
          </w:p>
        </w:tc>
        <w:tc>
          <w:tcPr>
            <w:tcW w:w="460" w:type="dxa"/>
            <w:vAlign w:val="bottom"/>
            <w:gridSpan w:val="2"/>
            <w:vMerge w:val="restart"/>
          </w:tcPr>
          <w:p>
            <w:pPr>
              <w:ind w:left="360"/>
              <w:spacing w:after="0"/>
              <w:rPr>
                <w:sz w:val="20"/>
                <w:szCs w:val="20"/>
                <w:color w:val="auto"/>
              </w:rPr>
            </w:pPr>
            <w:r>
              <w:rPr>
                <w:rFonts w:ascii="Arial" w:cs="Arial" w:eastAsia="Arial" w:hAnsi="Arial"/>
                <w:sz w:val="18"/>
                <w:szCs w:val="18"/>
                <w:color w:val="32406B"/>
                <w:w w:val="79"/>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32406B"/>
              </w:rPr>
              <w:t>(0.61)</w:t>
            </w:r>
          </w:p>
        </w:tc>
        <w:tc>
          <w:tcPr>
            <w:tcW w:w="0" w:type="dxa"/>
            <w:vAlign w:val="bottom"/>
          </w:tcPr>
          <w:p>
            <w:pPr>
              <w:spacing w:after="0"/>
              <w:rPr>
                <w:sz w:val="1"/>
                <w:szCs w:val="1"/>
                <w:color w:val="auto"/>
              </w:rPr>
            </w:pPr>
          </w:p>
        </w:tc>
      </w:tr>
      <w:tr>
        <w:trPr>
          <w:trHeight w:val="175"/>
        </w:trPr>
        <w:tc>
          <w:tcPr>
            <w:tcW w:w="1160" w:type="dxa"/>
            <w:vAlign w:val="bottom"/>
            <w:gridSpan w:val="2"/>
          </w:tcPr>
          <w:p>
            <w:pPr>
              <w:ind w:left="180"/>
              <w:spacing w:after="0"/>
              <w:rPr>
                <w:sz w:val="20"/>
                <w:szCs w:val="20"/>
                <w:color w:val="auto"/>
              </w:rPr>
            </w:pPr>
            <w:r>
              <w:rPr>
                <w:rFonts w:ascii="Arial" w:cs="Arial" w:eastAsia="Arial" w:hAnsi="Arial"/>
                <w:sz w:val="15"/>
                <w:szCs w:val="15"/>
                <w:color w:val="32406B"/>
              </w:rPr>
              <w:t>(3)</w:t>
            </w:r>
          </w:p>
        </w:tc>
        <w:tc>
          <w:tcPr>
            <w:tcW w:w="614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32406B"/>
              </w:rPr>
              <w:t>Pro forma weighted-average common shares outstanding, basic and diluted</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2406B"/>
              </w:rPr>
              <w:t>(unaudited)</w:t>
            </w:r>
            <w:r>
              <w:rPr>
                <w:rFonts w:ascii="Arial" w:cs="Arial" w:eastAsia="Arial" w:hAnsi="Arial"/>
                <w:sz w:val="15"/>
                <w:szCs w:val="15"/>
                <w:color w:val="32406B"/>
              </w:rPr>
              <w:t>(3)</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52,167</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2406B"/>
              </w:rPr>
              <w:t>63,240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32406B"/>
            </w:tcBorders>
          </w:tcPr>
          <w:p>
            <w:pPr>
              <w:spacing w:after="0"/>
              <w:rPr>
                <w:sz w:val="11"/>
                <w:szCs w:val="11"/>
                <w:color w:val="auto"/>
              </w:rPr>
            </w:pPr>
          </w:p>
        </w:tc>
        <w:tc>
          <w:tcPr>
            <w:tcW w:w="6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0" w:hanging="422"/>
        <w:spacing w:after="0" w:line="274" w:lineRule="auto"/>
        <w:tabs>
          <w:tab w:leader="none" w:pos="720" w:val="left"/>
        </w:tabs>
        <w:numPr>
          <w:ilvl w:val="0"/>
          <w:numId w:val="15"/>
        </w:numPr>
        <w:rPr>
          <w:rFonts w:ascii="Arial" w:cs="Arial" w:eastAsia="Arial" w:hAnsi="Arial"/>
          <w:sz w:val="17"/>
          <w:szCs w:val="17"/>
          <w:color w:val="32406B"/>
        </w:rPr>
      </w:pPr>
      <w:r>
        <w:rPr>
          <w:rFonts w:ascii="Arial" w:cs="Arial" w:eastAsia="Arial" w:hAnsi="Arial"/>
          <w:sz w:val="17"/>
          <w:szCs w:val="17"/>
          <w:color w:val="32406B"/>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720" w:hanging="422"/>
        <w:spacing w:after="0" w:line="265" w:lineRule="auto"/>
        <w:tabs>
          <w:tab w:leader="none" w:pos="720" w:val="left"/>
        </w:tabs>
        <w:numPr>
          <w:ilvl w:val="0"/>
          <w:numId w:val="15"/>
        </w:numPr>
        <w:rPr>
          <w:rFonts w:ascii="Arial" w:cs="Arial" w:eastAsia="Arial" w:hAnsi="Arial"/>
          <w:sz w:val="17"/>
          <w:szCs w:val="17"/>
          <w:color w:val="32406B"/>
        </w:rPr>
      </w:pPr>
      <w:r>
        <w:rPr>
          <w:rFonts w:ascii="Arial" w:cs="Arial" w:eastAsia="Arial" w:hAnsi="Arial"/>
          <w:sz w:val="17"/>
          <w:szCs w:val="17"/>
          <w:color w:val="32406B"/>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jc w:val="both"/>
        <w:ind w:left="720" w:hanging="422"/>
        <w:spacing w:after="0" w:line="302" w:lineRule="auto"/>
        <w:tabs>
          <w:tab w:leader="none" w:pos="720" w:val="left"/>
        </w:tabs>
        <w:numPr>
          <w:ilvl w:val="0"/>
          <w:numId w:val="15"/>
        </w:numPr>
        <w:rPr>
          <w:rFonts w:ascii="Arial" w:cs="Arial" w:eastAsia="Arial" w:hAnsi="Arial"/>
          <w:sz w:val="16"/>
          <w:szCs w:val="16"/>
          <w:color w:val="32406B"/>
        </w:rPr>
      </w:pPr>
      <w:r>
        <w:rPr>
          <w:rFonts w:ascii="Arial" w:cs="Arial" w:eastAsia="Arial" w:hAnsi="Arial"/>
          <w:sz w:val="16"/>
          <w:szCs w:val="16"/>
          <w:color w:val="32406B"/>
        </w:rPr>
        <w:t>See Note 13 to our consolidated financial statements appearing at the end of this prospectus for details on the calculation of basic and diluted net loss per share attributable to common stockholders and the “Selected Consolidated Financial Data” section of this prospectus for details on the calculation of unaudited basic and diluted pro forma net loss per share attributable to common stockholders.</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11</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78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26784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32406B"/>
                <w:w w:val="98"/>
              </w:rPr>
              <w:t>As of March 31, 2021</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40" w:type="dxa"/>
            <w:vAlign w:val="bottom"/>
          </w:tcPr>
          <w:p>
            <w:pPr>
              <w:jc w:val="center"/>
              <w:ind w:left="77"/>
              <w:spacing w:after="0" w:line="119" w:lineRule="exact"/>
              <w:rPr>
                <w:sz w:val="20"/>
                <w:szCs w:val="20"/>
                <w:color w:val="auto"/>
              </w:rPr>
            </w:pPr>
            <w:r>
              <w:rPr>
                <w:rFonts w:ascii="Arial" w:cs="Arial" w:eastAsia="Arial" w:hAnsi="Arial"/>
                <w:sz w:val="13"/>
                <w:szCs w:val="13"/>
                <w:b w:val="1"/>
                <w:bCs w:val="1"/>
                <w:color w:val="32406B"/>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32406B"/>
              </w:rPr>
              <w:t>Actual</w:t>
            </w:r>
          </w:p>
        </w:tc>
        <w:tc>
          <w:tcPr>
            <w:tcW w:w="15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32406B"/>
              </w:rPr>
              <w:t>Pro Forma</w:t>
            </w:r>
            <w:r>
              <w:rPr>
                <w:rFonts w:ascii="Arial" w:cs="Arial" w:eastAsia="Arial" w:hAnsi="Arial"/>
                <w:sz w:val="12"/>
                <w:szCs w:val="12"/>
                <w:b w:val="1"/>
                <w:bCs w:val="1"/>
                <w:color w:val="32406B"/>
              </w:rPr>
              <w:t>(2)</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2406B"/>
                <w:w w:val="89"/>
              </w:rPr>
              <w:t>As</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32406B"/>
                <w:w w:val="93"/>
              </w:rPr>
              <w:t>Adjusted</w:t>
            </w:r>
            <w:r>
              <w:rPr>
                <w:rFonts w:ascii="Arial" w:cs="Arial" w:eastAsia="Arial" w:hAnsi="Arial"/>
                <w:sz w:val="12"/>
                <w:szCs w:val="12"/>
                <w:b w:val="1"/>
                <w:bCs w:val="1"/>
                <w:color w:val="32406B"/>
                <w:w w:val="93"/>
              </w:rPr>
              <w:t>(3)</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32406B"/>
              </w:rPr>
              <w:t>(in thousands)</w:t>
            </w: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Consolidated Balance Sheet Data:</w:t>
            </w:r>
          </w:p>
        </w:tc>
        <w:tc>
          <w:tcPr>
            <w:tcW w:w="2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Cash and cash equivalents</w:t>
            </w:r>
          </w:p>
        </w:tc>
        <w:tc>
          <w:tcPr>
            <w:tcW w:w="3260" w:type="dxa"/>
            <w:vAlign w:val="bottom"/>
            <w:gridSpan w:val="2"/>
          </w:tcPr>
          <w:p>
            <w:pPr>
              <w:jc w:val="right"/>
              <w:ind w:right="88"/>
              <w:spacing w:after="0"/>
              <w:rPr>
                <w:sz w:val="20"/>
                <w:szCs w:val="20"/>
                <w:color w:val="auto"/>
              </w:rPr>
            </w:pPr>
            <w:r>
              <w:rPr>
                <w:rFonts w:ascii="Arial" w:cs="Arial" w:eastAsia="Arial" w:hAnsi="Arial"/>
                <w:sz w:val="18"/>
                <w:szCs w:val="18"/>
                <w:color w:val="32406B"/>
              </w:rPr>
              <w:t>$  91,247</w:t>
            </w:r>
          </w:p>
        </w:tc>
        <w:tc>
          <w:tcPr>
            <w:tcW w:w="1520" w:type="dxa"/>
            <w:vAlign w:val="bottom"/>
          </w:tcPr>
          <w:p>
            <w:pPr>
              <w:jc w:val="right"/>
              <w:ind w:right="237"/>
              <w:spacing w:after="0"/>
              <w:rPr>
                <w:sz w:val="20"/>
                <w:szCs w:val="20"/>
                <w:color w:val="auto"/>
              </w:rPr>
            </w:pPr>
            <w:r>
              <w:rPr>
                <w:rFonts w:ascii="Arial" w:cs="Arial" w:eastAsia="Arial" w:hAnsi="Arial"/>
                <w:sz w:val="18"/>
                <w:szCs w:val="18"/>
                <w:color w:val="32406B"/>
              </w:rPr>
              <w:t>$  426,746</w:t>
            </w:r>
          </w:p>
        </w:tc>
        <w:tc>
          <w:tcPr>
            <w:tcW w:w="840" w:type="dxa"/>
            <w:vAlign w:val="bottom"/>
          </w:tcPr>
          <w:p>
            <w:pPr>
              <w:jc w:val="right"/>
              <w:spacing w:after="0"/>
              <w:rPr>
                <w:sz w:val="20"/>
                <w:szCs w:val="20"/>
                <w:color w:val="auto"/>
              </w:rPr>
            </w:pPr>
            <w:r>
              <w:rPr>
                <w:rFonts w:ascii="Arial" w:cs="Arial" w:eastAsia="Arial" w:hAnsi="Arial"/>
                <w:sz w:val="18"/>
                <w:szCs w:val="18"/>
                <w:color w:val="32406B"/>
              </w:rPr>
              <w:t>$ 710,738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Working capital</w:t>
            </w:r>
            <w:r>
              <w:rPr>
                <w:rFonts w:ascii="Arial" w:cs="Arial" w:eastAsia="Arial" w:hAnsi="Arial"/>
                <w:sz w:val="15"/>
                <w:szCs w:val="15"/>
                <w:color w:val="32406B"/>
              </w:rPr>
              <w:t>(1)</w:t>
            </w:r>
          </w:p>
        </w:tc>
        <w:tc>
          <w:tcPr>
            <w:tcW w:w="3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32406B"/>
              </w:rPr>
              <w:t>66,197</w:t>
            </w:r>
          </w:p>
        </w:tc>
        <w:tc>
          <w:tcPr>
            <w:tcW w:w="15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32406B"/>
              </w:rPr>
              <w:t>401,696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685,638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32406B"/>
              </w:rPr>
              <w:t>Total assets</w:t>
            </w:r>
          </w:p>
        </w:tc>
        <w:tc>
          <w:tcPr>
            <w:tcW w:w="3260" w:type="dxa"/>
            <w:vAlign w:val="bottom"/>
            <w:gridSpan w:val="2"/>
          </w:tcPr>
          <w:p>
            <w:pPr>
              <w:jc w:val="right"/>
              <w:ind w:right="88"/>
              <w:spacing w:after="0"/>
              <w:rPr>
                <w:sz w:val="20"/>
                <w:szCs w:val="20"/>
                <w:color w:val="auto"/>
              </w:rPr>
            </w:pPr>
            <w:r>
              <w:rPr>
                <w:rFonts w:ascii="Arial" w:cs="Arial" w:eastAsia="Arial" w:hAnsi="Arial"/>
                <w:sz w:val="18"/>
                <w:szCs w:val="18"/>
                <w:color w:val="32406B"/>
              </w:rPr>
              <w:t>94,874</w:t>
            </w:r>
          </w:p>
        </w:tc>
        <w:tc>
          <w:tcPr>
            <w:tcW w:w="1520" w:type="dxa"/>
            <w:vAlign w:val="bottom"/>
          </w:tcPr>
          <w:p>
            <w:pPr>
              <w:jc w:val="right"/>
              <w:ind w:right="237"/>
              <w:spacing w:after="0"/>
              <w:rPr>
                <w:sz w:val="20"/>
                <w:szCs w:val="20"/>
                <w:color w:val="auto"/>
              </w:rPr>
            </w:pPr>
            <w:r>
              <w:rPr>
                <w:rFonts w:ascii="Arial" w:cs="Arial" w:eastAsia="Arial" w:hAnsi="Arial"/>
                <w:sz w:val="18"/>
                <w:szCs w:val="18"/>
                <w:color w:val="32406B"/>
              </w:rPr>
              <w:t>430,373</w:t>
            </w:r>
          </w:p>
        </w:tc>
        <w:tc>
          <w:tcPr>
            <w:tcW w:w="840" w:type="dxa"/>
            <w:vAlign w:val="bottom"/>
          </w:tcPr>
          <w:p>
            <w:pPr>
              <w:jc w:val="right"/>
              <w:spacing w:after="0"/>
              <w:rPr>
                <w:sz w:val="20"/>
                <w:szCs w:val="20"/>
                <w:color w:val="auto"/>
              </w:rPr>
            </w:pPr>
            <w:r>
              <w:rPr>
                <w:rFonts w:ascii="Arial" w:cs="Arial" w:eastAsia="Arial" w:hAnsi="Arial"/>
                <w:sz w:val="18"/>
                <w:szCs w:val="18"/>
                <w:color w:val="32406B"/>
              </w:rPr>
              <w:t>714,260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32406B"/>
              </w:rPr>
              <w:t>Convertible preferred stock</w:t>
            </w:r>
          </w:p>
        </w:tc>
        <w:tc>
          <w:tcPr>
            <w:tcW w:w="32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32406B"/>
              </w:rPr>
              <w:t>169,548</w:t>
            </w:r>
          </w:p>
        </w:tc>
        <w:tc>
          <w:tcPr>
            <w:tcW w:w="15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32406B"/>
              </w:rPr>
              <w:t>Total stockholders’ equity (deficit)</w:t>
            </w:r>
          </w:p>
        </w:tc>
        <w:tc>
          <w:tcPr>
            <w:tcW w:w="3260" w:type="dxa"/>
            <w:vAlign w:val="bottom"/>
            <w:gridSpan w:val="2"/>
          </w:tcPr>
          <w:p>
            <w:pPr>
              <w:jc w:val="right"/>
              <w:ind w:right="28"/>
              <w:spacing w:after="0"/>
              <w:rPr>
                <w:sz w:val="20"/>
                <w:szCs w:val="20"/>
                <w:color w:val="auto"/>
              </w:rPr>
            </w:pPr>
            <w:r>
              <w:rPr>
                <w:rFonts w:ascii="Arial" w:cs="Arial" w:eastAsia="Arial" w:hAnsi="Arial"/>
                <w:sz w:val="18"/>
                <w:szCs w:val="18"/>
                <w:color w:val="32406B"/>
              </w:rPr>
              <w:t>(103,362)</w:t>
            </w:r>
          </w:p>
        </w:tc>
        <w:tc>
          <w:tcPr>
            <w:tcW w:w="1520" w:type="dxa"/>
            <w:vAlign w:val="bottom"/>
          </w:tcPr>
          <w:p>
            <w:pPr>
              <w:jc w:val="right"/>
              <w:ind w:right="237"/>
              <w:spacing w:after="0"/>
              <w:rPr>
                <w:sz w:val="20"/>
                <w:szCs w:val="20"/>
                <w:color w:val="auto"/>
              </w:rPr>
            </w:pPr>
            <w:r>
              <w:rPr>
                <w:rFonts w:ascii="Arial" w:cs="Arial" w:eastAsia="Arial" w:hAnsi="Arial"/>
                <w:sz w:val="18"/>
                <w:szCs w:val="18"/>
                <w:color w:val="32406B"/>
              </w:rPr>
              <w:t>401,685</w:t>
            </w:r>
          </w:p>
        </w:tc>
        <w:tc>
          <w:tcPr>
            <w:tcW w:w="840" w:type="dxa"/>
            <w:vAlign w:val="bottom"/>
          </w:tcPr>
          <w:p>
            <w:pPr>
              <w:jc w:val="right"/>
              <w:spacing w:after="0"/>
              <w:rPr>
                <w:sz w:val="20"/>
                <w:szCs w:val="20"/>
                <w:color w:val="auto"/>
              </w:rPr>
            </w:pPr>
            <w:r>
              <w:rPr>
                <w:rFonts w:ascii="Arial" w:cs="Arial" w:eastAsia="Arial" w:hAnsi="Arial"/>
                <w:sz w:val="18"/>
                <w:szCs w:val="18"/>
                <w:color w:val="32406B"/>
              </w:rPr>
              <w:t>685,627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hanging="422"/>
        <w:spacing w:after="0"/>
        <w:tabs>
          <w:tab w:leader="none" w:pos="72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We define working capital as current assets less current liabilities.</w:t>
      </w:r>
    </w:p>
    <w:p>
      <w:pPr>
        <w:spacing w:after="0" w:line="23" w:lineRule="exact"/>
        <w:rPr>
          <w:rFonts w:ascii="Arial" w:cs="Arial" w:eastAsia="Arial" w:hAnsi="Arial"/>
          <w:sz w:val="18"/>
          <w:szCs w:val="18"/>
          <w:color w:val="32406B"/>
        </w:rPr>
      </w:pPr>
    </w:p>
    <w:p>
      <w:pPr>
        <w:jc w:val="both"/>
        <w:ind w:left="720" w:hanging="422"/>
        <w:spacing w:after="0" w:line="265" w:lineRule="auto"/>
        <w:tabs>
          <w:tab w:leader="none" w:pos="720" w:val="left"/>
        </w:tabs>
        <w:numPr>
          <w:ilvl w:val="0"/>
          <w:numId w:val="16"/>
        </w:numPr>
        <w:rPr>
          <w:rFonts w:ascii="Arial" w:cs="Arial" w:eastAsia="Arial" w:hAnsi="Arial"/>
          <w:sz w:val="17"/>
          <w:szCs w:val="17"/>
          <w:color w:val="32406B"/>
        </w:rPr>
      </w:pPr>
      <w:r>
        <w:rPr>
          <w:rFonts w:ascii="Arial" w:cs="Arial" w:eastAsia="Arial" w:hAnsi="Arial"/>
          <w:sz w:val="17"/>
          <w:szCs w:val="17"/>
          <w:color w:val="32406B"/>
        </w:rPr>
        <w:t>The pro forma consolidated balance sheet data give effect to (i) our issuance and sale in April 2021 of 4,296,550 shares of our Series C preferred stock for gross proceeds of $335.5 million and (ii) the automatic conversion of all outstanding shares of our preferred stock, including our Series C preferred stock, into an aggregate of 84,722,420 shares of common stock upon the closing of this offering.</w:t>
      </w:r>
    </w:p>
    <w:p>
      <w:pPr>
        <w:jc w:val="both"/>
        <w:ind w:left="720" w:right="20" w:hanging="422"/>
        <w:spacing w:after="0" w:line="255" w:lineRule="auto"/>
        <w:tabs>
          <w:tab w:leader="none" w:pos="720" w:val="left"/>
        </w:tabs>
        <w:numPr>
          <w:ilvl w:val="0"/>
          <w:numId w:val="16"/>
        </w:numPr>
        <w:rPr>
          <w:rFonts w:ascii="Arial" w:cs="Arial" w:eastAsia="Arial" w:hAnsi="Arial"/>
          <w:sz w:val="18"/>
          <w:szCs w:val="18"/>
          <w:color w:val="32406B"/>
        </w:rPr>
      </w:pPr>
      <w:r>
        <w:rPr>
          <w:rFonts w:ascii="Arial" w:cs="Arial" w:eastAsia="Arial" w:hAnsi="Arial"/>
          <w:sz w:val="18"/>
          <w:szCs w:val="18"/>
          <w:color w:val="32406B"/>
        </w:rPr>
        <w:t>The pro forma as adjusted consolidated balance sheet data give further effect to our issuance and sale of 18,200,000 shares of our common stock in this offering at the initial public offering price of $17.00 per share, after deducting underwriting discounts and commissions and estimated offering expenses payable by us.</w:t>
      </w:r>
    </w:p>
    <w:p>
      <w:pPr>
        <w:spacing w:after="0" w:line="3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32406B"/>
        </w:rPr>
        <w:t>12</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RISK FACTORS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32406B"/>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our Financial Position and Capital Needs</w:t>
      </w:r>
    </w:p>
    <w:p>
      <w:pPr>
        <w:spacing w:after="0" w:line="121"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b w:val="1"/>
          <w:bCs w:val="1"/>
          <w:i w:val="1"/>
          <w:iCs w:val="1"/>
          <w:color w:val="32406B"/>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Since our inception, we have incurred significant losses, and we expect to continue to incur significant expenses and operating losses for the foreseeable future. Our net losses were $65.3 million for the period from June 3, 2020 (inception) to December 31, 2020 and $38.7 million for the three months ended March 31, 2021. As of March 31, 2021, we had an accumulated deficit of $104.0 million. Since our inception, we have financed our operations with gross proceeds of $465.4 million raised in our private placements of preferred stock, including the sale of our Series C preferred stock in April 2021. We have no products approved for commercialization and have never generated any revenue from product sales.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All of our product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9" w:lineRule="exact"/>
        <w:rPr>
          <w:sz w:val="20"/>
          <w:szCs w:val="20"/>
          <w:color w:val="auto"/>
        </w:rPr>
      </w:pPr>
    </w:p>
    <w:p>
      <w:pPr>
        <w:ind w:left="1080" w:hanging="532"/>
        <w:spacing w:after="0" w:line="342" w:lineRule="auto"/>
        <w:tabs>
          <w:tab w:leader="none" w:pos="1080" w:val="left"/>
        </w:tabs>
        <w:numPr>
          <w:ilvl w:val="0"/>
          <w:numId w:val="17"/>
        </w:numPr>
        <w:rPr>
          <w:rFonts w:ascii="Arial" w:cs="Arial" w:eastAsia="Arial" w:hAnsi="Arial"/>
          <w:sz w:val="16"/>
          <w:szCs w:val="16"/>
          <w:color w:val="32406B"/>
        </w:rPr>
      </w:pPr>
      <w:r>
        <w:rPr>
          <w:rFonts w:ascii="Arial" w:cs="Arial" w:eastAsia="Arial" w:hAnsi="Arial"/>
          <w:sz w:val="16"/>
          <w:szCs w:val="16"/>
          <w:color w:val="32406B"/>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32406B"/>
        </w:rPr>
      </w:pPr>
    </w:p>
    <w:p>
      <w:pPr>
        <w:ind w:left="1080" w:hanging="532"/>
        <w:spacing w:after="0"/>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seek regulatory approval for any product candidates that successfully complete clinical trials;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pursue marketing approvals or Emergency Use Authorization, or EUA, and reimbursement for our product candidates;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acquire or in-license other product candidates, intellectual property and/or technologies;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develop, establish and validate our commercial-scale cGMP manufacturing process;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maintain, expand, enforce, defend and protect our intellectual property portfolio;</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comply with regulatory requirements established by the applicable regulatory authorities;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develop, establish and validate our commercial-scale cGMP manufacturing process;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17"/>
        </w:numPr>
        <w:rPr>
          <w:rFonts w:ascii="Arial" w:cs="Arial" w:eastAsia="Arial" w:hAnsi="Arial"/>
          <w:sz w:val="18"/>
          <w:szCs w:val="18"/>
          <w:color w:val="32406B"/>
        </w:rPr>
      </w:pPr>
      <w:r>
        <w:rPr>
          <w:rFonts w:ascii="Arial" w:cs="Arial" w:eastAsia="Arial" w:hAnsi="Arial"/>
          <w:sz w:val="18"/>
          <w:szCs w:val="18"/>
          <w:color w:val="32406B"/>
        </w:rPr>
        <w:t>hire and retain additional personnel, including research, clinical, development, manufacturing quality control, quality assurance, regulatory and scientific personnel;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8"/>
        </w:numPr>
        <w:rPr>
          <w:rFonts w:ascii="Arial" w:cs="Arial" w:eastAsia="Arial" w:hAnsi="Arial"/>
          <w:sz w:val="18"/>
          <w:szCs w:val="18"/>
          <w:color w:val="32406B"/>
        </w:rPr>
      </w:pPr>
      <w:r>
        <w:rPr>
          <w:rFonts w:ascii="Arial" w:cs="Arial" w:eastAsia="Arial" w:hAnsi="Arial"/>
          <w:sz w:val="18"/>
          <w:szCs w:val="18"/>
          <w:color w:val="32406B"/>
        </w:rPr>
        <w:t>incur additional legal, accounting and other expenses in operating as a public company.</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16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95"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32406B"/>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developing our manufacturing capabilities and developing our clinical and preclinical product candidates, including undertaking preclinical studies and conducting clinical trials. To date, we have not yet demonstrated our ability to successfully complete pivotal clinical trials, obtain regulatory approvals or EUA, manufacture a product on a commercial scale, or conduct sales and marketing activities necessary for successful commercialization, and we may not be successful in doing so. Consequently, any predictions you make about our future success or viability may not be as accurate as they could be if we had a longer operating history or a history of successfully developing and commercializing products.</w:t>
      </w:r>
    </w:p>
    <w:p>
      <w:pPr>
        <w:spacing w:after="0" w:line="16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273"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b w:val="1"/>
          <w:bCs w:val="1"/>
          <w:i w:val="1"/>
          <w:iCs w:val="1"/>
          <w:color w:val="32406B"/>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Our operations have consumed substantial amounts of cash since inception, and we expect to continue to incur significant expenses and operating losses over the next several years as we continue to develop our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32406B"/>
        </w:rPr>
        <w:t>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16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As of March 31, 2021, we had cash and cash equivalents of $91.2 million. In addition, in April 2021, we received gross proceeds of $335.5 million from sales of our Series C preferred stock. We believe that the anticipated net proceeds from this offering, together with our existing cash and cash equivalents, will be sufficient to fund our operating expenses and capital expenditure requirements into the first quarter of 2023. This estimate is based on assumptions that may prove to be wrong, and we could exhaust our available capital resources sooner than we expect. We plan to use the net proceeds from this offering to fund clinical development, manufacturing supply and initial commercialization costs for ADG20, and the remainder for working capital and other general corporate purposes, including development of additional programs in our pipeline. The net proceeds from this offering, together with our existing cash and cash equivalents, 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9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rate of progress in the development of AGD20 and our other product candidates;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extent to which we develop, in-license or acquire other product candidates and technologies in our pipeline;</w:t>
      </w:r>
    </w:p>
    <w:p>
      <w:pPr>
        <w:spacing w:after="0" w:line="130"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number and development requirements of product candidates that we may pursue;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costs, timing and outcome of regulatory review of our product candidates;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9"/>
        </w:numPr>
        <w:rPr>
          <w:rFonts w:ascii="Arial" w:cs="Arial" w:eastAsia="Arial" w:hAnsi="Arial"/>
          <w:sz w:val="18"/>
          <w:szCs w:val="18"/>
          <w:color w:val="32406B"/>
        </w:rPr>
      </w:pPr>
      <w:r>
        <w:rPr>
          <w:rFonts w:ascii="Arial" w:cs="Arial" w:eastAsia="Arial" w:hAnsi="Arial"/>
          <w:sz w:val="18"/>
          <w:szCs w:val="18"/>
          <w:color w:val="32406B"/>
        </w:rPr>
        <w:t>the need and ability to hire additional research, clinical, development, scientific and manufacturing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costs we incur in maintaining business operations;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need to implement additional internal systems and infrastructure;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effect of competing technological, product and market developments;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revenue, if any, received from commercial sales of our product candidates for which we receive marketing approval;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costs of operating as a public company; and</w:t>
      </w:r>
    </w:p>
    <w:p>
      <w:pPr>
        <w:spacing w:after="0" w:line="130"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20"/>
        </w:numPr>
        <w:rPr>
          <w:rFonts w:ascii="Arial" w:cs="Arial" w:eastAsia="Arial" w:hAnsi="Arial"/>
          <w:sz w:val="18"/>
          <w:szCs w:val="18"/>
          <w:color w:val="32406B"/>
        </w:rPr>
      </w:pPr>
      <w:r>
        <w:rPr>
          <w:rFonts w:ascii="Arial" w:cs="Arial" w:eastAsia="Arial" w:hAnsi="Arial"/>
          <w:sz w:val="18"/>
          <w:szCs w:val="18"/>
          <w:color w:val="32406B"/>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30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32406B"/>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32406B"/>
        </w:rPr>
        <w:t>Our recurring losses from operations and financial condition raise substantial doubt about our ability to continue as a going concern.</w:t>
      </w:r>
    </w:p>
    <w:p>
      <w:pPr>
        <w:spacing w:after="0" w:line="14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Our recurring losses from operations and financial condition raise substantial doubt about our ability to continue as a going concern. In our financial statements for the period from June 3, 2020 (inception) to December 31, 2020, we concluded that our recurring losses from operations and need for additional financing to fund future operations raise substantial doubt about our ability to continue as a going concern. Similarly, our independent registered public accounting firm included an explanatory paragraph in its report on our financial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32406B"/>
        </w:rPr>
        <w:t>statements for the period from June 3, 2020 (inception) to December 31, 2020 with respect to this uncertainty. Our ability to continue as a going concern will require us to obtain additional funding. If we are unable to obtain sufficient funding, our business, prospects, financial condition and results of operations will be materially and adversely affected, and we may be unable to continue as a going concern. If we are unable to raise capital when needed or on acceptable terms, we would be forced to delay, limit, reduce or terminate our product development or future commercialization efforts of one or more of our product candidates, or may be forced to reduce or terminate our operations. If we are unable to continue as a going concern, we may have to liquidate our assets and may receive less than the value at which those assets are carried on our audited financial statements, and it is likely that investors will lose all or a part of their investment. After this offering, in our own required quarterly assessments, we may again conclude that there is substantial doubt about our ability to continue as a going concern, and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if at all.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the Development of our Product Candidates</w:t>
      </w:r>
    </w:p>
    <w:p>
      <w:pPr>
        <w:spacing w:after="0" w:line="121"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b w:val="1"/>
          <w:bCs w:val="1"/>
          <w:i w:val="1"/>
          <w:iCs w:val="1"/>
          <w:color w:val="32406B"/>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5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We currently have no products approved for commercial sale, and all of our product candidates are currently in clinical and preclinical development. In February 2021, we initiated a Phase 1 clinical trial evaluating ADG20, our lead monoclonal antibody product candidate. We have also advanced ADG20 into global pivotal trials for the treatment and prevention of COVID-19, including in countries with high rates of resistant variants. We have initiated conduct of our first prospective, randomized, multi-center clinical trials, have not previously conducted any later stage or pivotal clinical trials, have limited experience in preparing, submitting and prosecuting regulatory filings and have not previously submitted a biologics license application, or BLA, for any product candidate.</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Our ability to generate revenue from our product candidates, which may not occur for several years, if ever, will depend heavily on the successful development, regulatory approval or granting of EUA, obtaining of manufacturing supply, capacity and expertise and eventual commercialization of our product candidates. In the absence of a public health emergency, we will not be able to receive an EUA. The success of ADG20 or any other product candidates that we develop or otherwise may acquire will depend on several factors, including:</w:t>
      </w:r>
    </w:p>
    <w:p>
      <w:pPr>
        <w:spacing w:after="0" w:line="77"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the timing and progress of preclinical and clinical development activities;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the number and scope of preclinical and clinical programs we decide to pursue;</w:t>
      </w:r>
    </w:p>
    <w:p>
      <w:pPr>
        <w:spacing w:after="0" w:line="130" w:lineRule="exact"/>
        <w:rPr>
          <w:rFonts w:ascii="Arial" w:cs="Arial" w:eastAsia="Arial" w:hAnsi="Arial"/>
          <w:sz w:val="18"/>
          <w:szCs w:val="18"/>
          <w:color w:val="32406B"/>
        </w:rPr>
      </w:pPr>
    </w:p>
    <w:p>
      <w:pPr>
        <w:ind w:left="1080" w:hanging="532"/>
        <w:spacing w:after="0" w:line="342" w:lineRule="auto"/>
        <w:tabs>
          <w:tab w:leader="none" w:pos="1080" w:val="left"/>
        </w:tabs>
        <w:numPr>
          <w:ilvl w:val="0"/>
          <w:numId w:val="21"/>
        </w:numPr>
        <w:rPr>
          <w:rFonts w:ascii="Arial" w:cs="Arial" w:eastAsia="Arial" w:hAnsi="Arial"/>
          <w:sz w:val="16"/>
          <w:szCs w:val="16"/>
          <w:color w:val="32406B"/>
        </w:rPr>
      </w:pPr>
      <w:r>
        <w:rPr>
          <w:rFonts w:ascii="Arial" w:cs="Arial" w:eastAsia="Arial" w:hAnsi="Arial"/>
          <w:sz w:val="16"/>
          <w:szCs w:val="16"/>
          <w:color w:val="32406B"/>
        </w:rPr>
        <w:t>filing acceptable investigational new drug applications, or INDs, with the U.S. Food and Drug Administration, or the FDA, or comparable foreign applications that allow commencement of our planned clinical trials or future clinical trials for our product candidates;</w:t>
      </w:r>
    </w:p>
    <w:p>
      <w:pPr>
        <w:spacing w:after="0" w:line="29" w:lineRule="exact"/>
        <w:rPr>
          <w:rFonts w:ascii="Arial" w:cs="Arial" w:eastAsia="Arial" w:hAnsi="Arial"/>
          <w:sz w:val="16"/>
          <w:szCs w:val="16"/>
          <w:color w:val="32406B"/>
        </w:rPr>
      </w:pPr>
    </w:p>
    <w:p>
      <w:pPr>
        <w:ind w:left="1080" w:hanging="532"/>
        <w:spacing w:after="0" w:line="277" w:lineRule="auto"/>
        <w:tabs>
          <w:tab w:leader="none" w:pos="10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89" w:lineRule="exact"/>
        <w:rPr>
          <w:rFonts w:ascii="Arial" w:cs="Arial" w:eastAsia="Arial" w:hAnsi="Arial"/>
          <w:sz w:val="18"/>
          <w:szCs w:val="18"/>
          <w:color w:val="32406B"/>
        </w:rPr>
      </w:pPr>
    </w:p>
    <w:p>
      <w:pPr>
        <w:ind w:left="5540" w:right="180" w:hanging="4992"/>
        <w:spacing w:after="0" w:line="449" w:lineRule="auto"/>
        <w:tabs>
          <w:tab w:leader="none" w:pos="1094" w:val="left"/>
        </w:tabs>
        <w:numPr>
          <w:ilvl w:val="0"/>
          <w:numId w:val="21"/>
        </w:numPr>
        <w:rPr>
          <w:rFonts w:ascii="Arial" w:cs="Arial" w:eastAsia="Arial" w:hAnsi="Arial"/>
          <w:sz w:val="18"/>
          <w:szCs w:val="18"/>
          <w:color w:val="32406B"/>
        </w:rPr>
      </w:pPr>
      <w:r>
        <w:rPr>
          <w:rFonts w:ascii="Arial" w:cs="Arial" w:eastAsia="Arial" w:hAnsi="Arial"/>
          <w:sz w:val="18"/>
          <w:szCs w:val="18"/>
          <w:color w:val="32406B"/>
        </w:rPr>
        <w:t>successful enrollment and timely completion of clinical trials, including our ability to generate positive data from any such clinical trials; 17</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the costs associated with the development of any additional development programs and product candidates we identify in-house or acquire through collaborations;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receipt of timely marketing approvals from applicable regulatory authorities;</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developing and expanding sales, marketing and distribution capabilities and launching commercial sales of products, if approved, whether alone or in collaboration with others;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acceptance of the benefits and use of our products, including method of administration, if approved, by patients, the medical community and third-party payors, for their approved indications;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the prevalence and severity of adverse events experienced with ADG20 or any other product candidates;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the availability, perceived advantages, cost, safety and efficacy of alternative therapies for any product candidate that we develop;</w:t>
      </w:r>
    </w:p>
    <w:p>
      <w:pPr>
        <w:spacing w:after="0" w:line="142" w:lineRule="exact"/>
        <w:rPr>
          <w:rFonts w:ascii="Arial" w:cs="Arial" w:eastAsia="Arial" w:hAnsi="Arial"/>
          <w:sz w:val="17"/>
          <w:szCs w:val="17"/>
          <w:color w:val="32406B"/>
        </w:rPr>
      </w:pPr>
    </w:p>
    <w:p>
      <w:pPr>
        <w:ind w:left="1080" w:right="20" w:hanging="532"/>
        <w:spacing w:after="0" w:line="308" w:lineRule="auto"/>
        <w:tabs>
          <w:tab w:leader="none" w:pos="108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the continuing need for therapies for the treatment and prevention of COVID-19, including due to the continuation of the pandemic, the development of SARS-CoV-2 into an endemic disease or the inability of other available therapies to address COVID-19;</w:t>
      </w:r>
    </w:p>
    <w:p>
      <w:pPr>
        <w:spacing w:after="0" w:line="51"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potential significant and changing government regulation, regulatory guidance and requirements and evolving treatment guidelines;</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obtaining and maintaining third-party coverage and adequate reimbursement and patients’ willingness to pay out-of-pocket in the absence of such coverage and adequate reimbursement;</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our ability to maintain a continued acceptable safety, tolerability and efficacy profile of the products following approval; and</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32406B"/>
        </w:rPr>
      </w:pPr>
      <w:r>
        <w:rPr>
          <w:rFonts w:ascii="Arial" w:cs="Arial" w:eastAsia="Arial" w:hAnsi="Arial"/>
          <w:sz w:val="18"/>
          <w:szCs w:val="18"/>
          <w:color w:val="32406B"/>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92" w:lineRule="exact"/>
        <w:rPr>
          <w:sz w:val="20"/>
          <w:szCs w:val="20"/>
          <w:color w:val="auto"/>
        </w:rPr>
      </w:pPr>
    </w:p>
    <w:p>
      <w:pPr>
        <w:jc w:val="both"/>
        <w:ind w:left="560" w:right="440"/>
        <w:spacing w:after="0" w:line="375" w:lineRule="auto"/>
        <w:rPr>
          <w:sz w:val="20"/>
          <w:szCs w:val="20"/>
          <w:color w:val="auto"/>
        </w:rPr>
      </w:pPr>
      <w:r>
        <w:rPr>
          <w:rFonts w:ascii="Arial" w:cs="Arial" w:eastAsia="Arial" w:hAnsi="Arial"/>
          <w:sz w:val="15"/>
          <w:szCs w:val="15"/>
          <w:b w:val="1"/>
          <w:bCs w:val="1"/>
          <w:i w:val="1"/>
          <w:iCs w:val="1"/>
          <w:color w:val="32406B"/>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COVID-19 is a new disease, the treatment and prevention of which is not yet well understood. Although monoclonal antibody products have been used in the treatment of many indications, to date, the FDA has not yet approved the use of any monoclonal antibodies to treat COVID-19, although the FDA has issued an EUA for several monoclonal antibody products for the treatment of COVID-19 in patients at high risk of disease progression, including bamlanivimab, casirivimab/imdevimab, bamlanvimab/etesevimab and sotrovimab. Because this is a relatively new and expanding area of novel therapeutic interventions, there are many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32406B"/>
        </w:rPr>
        <w:t>uncertainties related to development, marketing, reimbursement and the commercial potential for our product candidates. There can be no assurance as to the length of the clinical trials, the number of patients the FDA will require to be enrolled in the trials in order to establish the safety, efficacy, purity and potency of antibody products or that the design of or data generated in these trials will be acceptable to the FDA to support marketing approval.</w:t>
      </w:r>
    </w:p>
    <w:p>
      <w:pPr>
        <w:spacing w:after="0" w:line="14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In addition, the FDA may take longer than usual to come to a decision on any BLA that we submit and may ultimately determine that there is insufficient data, information or experience with our product candidates to support an approval decision. The FDA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The success of our business depends in part upon our ability to develop engineered monoclonal antibodies that can broadly neutralize SARS-CoV-2, SARS-CoV and additional pre-emergent coronaviruses. We may fail to deliver monoclonal antibodies that are effective in the treatment or prevention of symptomatic COVID-19. Even if we are able to identify and develop such antibodies, we cannot ensure that such product candidates will achieve marketing approval to safely and effectively treat or prevent symptomatic COVID-19 or other future coronavirus diseases.</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292"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b w:val="1"/>
          <w:bCs w:val="1"/>
          <w:i w:val="1"/>
          <w:iCs w:val="1"/>
          <w:color w:val="32406B"/>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p>
    <w:p>
      <w:pPr>
        <w:spacing w:after="0" w:line="7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All of our product candidates are in clinical and preclinical development and their risk of failure is high. The clinical trials and manufacturing of our product candidates are, and the manufacturing and marketing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32406B"/>
        </w:rPr>
        <w:t>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9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19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295" w:lineRule="exact"/>
        <w:rPr>
          <w:sz w:val="20"/>
          <w:szCs w:val="20"/>
          <w:color w:val="auto"/>
        </w:rPr>
      </w:pPr>
    </w:p>
    <w:p>
      <w:pPr>
        <w:jc w:val="both"/>
        <w:ind w:left="560" w:right="240"/>
        <w:spacing w:after="0" w:line="375" w:lineRule="auto"/>
        <w:rPr>
          <w:sz w:val="20"/>
          <w:szCs w:val="20"/>
          <w:color w:val="auto"/>
        </w:rPr>
      </w:pPr>
      <w:r>
        <w:rPr>
          <w:rFonts w:ascii="Arial" w:cs="Arial" w:eastAsia="Arial" w:hAnsi="Arial"/>
          <w:sz w:val="15"/>
          <w:szCs w:val="15"/>
          <w:b w:val="1"/>
          <w:bCs w:val="1"/>
          <w:i w:val="1"/>
          <w:iCs w:val="1"/>
          <w:color w:val="32406B"/>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We may experience delays in conducting any clinical trials, and we do not know whether our clinical trials will begin on time, need to be redesigned, recruit and enroll patients on time or be completed on schedule, or 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32406B"/>
        </w:rPr>
        <w:t>all. We may experience numerous unforeseen events before, during or as a result of clinical trials that could delay or prevent our ability to complete such trials or receive marketing approval for or commercialize our product candidates, or that could significantly increase the cost of such trials, including:</w:t>
      </w:r>
    </w:p>
    <w:p>
      <w:pPr>
        <w:spacing w:after="0" w:line="2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 xml:space="preserve">inability to generate sufficient preclinical, toxicology, or other </w:t>
      </w:r>
      <w:r>
        <w:rPr>
          <w:rFonts w:ascii="Arial" w:cs="Arial" w:eastAsia="Arial" w:hAnsi="Arial"/>
          <w:sz w:val="18"/>
          <w:szCs w:val="18"/>
          <w:i w:val="1"/>
          <w:iCs w:val="1"/>
          <w:color w:val="32406B"/>
        </w:rPr>
        <w:t>in vivo</w:t>
      </w:r>
      <w:r>
        <w:rPr>
          <w:rFonts w:ascii="Arial" w:cs="Arial" w:eastAsia="Arial" w:hAnsi="Arial"/>
          <w:sz w:val="18"/>
          <w:szCs w:val="18"/>
          <w:color w:val="32406B"/>
        </w:rPr>
        <w:t xml:space="preserve"> or </w:t>
      </w:r>
      <w:r>
        <w:rPr>
          <w:rFonts w:ascii="Arial" w:cs="Arial" w:eastAsia="Arial" w:hAnsi="Arial"/>
          <w:sz w:val="18"/>
          <w:szCs w:val="18"/>
          <w:i w:val="1"/>
          <w:iCs w:val="1"/>
          <w:color w:val="32406B"/>
        </w:rPr>
        <w:t>in vitro</w:t>
      </w:r>
      <w:r>
        <w:rPr>
          <w:rFonts w:ascii="Arial" w:cs="Arial" w:eastAsia="Arial" w:hAnsi="Arial"/>
          <w:sz w:val="18"/>
          <w:szCs w:val="18"/>
          <w:color w:val="32406B"/>
        </w:rPr>
        <w:t xml:space="preserve"> data to support the initiation of clinical trials;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delays in sufficiently developing, characterizing or controlling a manufacturing process suitable for advanced clinical trials;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delays in developing suitable assays for screening patients for eligibility for trials with respect to certain product candidates;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6"/>
          <w:szCs w:val="16"/>
          <w:color w:val="32406B"/>
        </w:rPr>
      </w:pPr>
      <w:r>
        <w:rPr>
          <w:rFonts w:ascii="Arial" w:cs="Arial" w:eastAsia="Arial" w:hAnsi="Arial"/>
          <w:sz w:val="16"/>
          <w:szCs w:val="16"/>
          <w:color w:val="32406B"/>
        </w:rPr>
        <w:t>delays in reaching agreement with the FDA, EMA or other regulatory authorities as to the design or implementation of our clinical trials;</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delays in obtaining regulatory authorization to commence a clinical trial;</w:t>
      </w:r>
    </w:p>
    <w:p>
      <w:pPr>
        <w:spacing w:after="0" w:line="130" w:lineRule="exact"/>
        <w:rPr>
          <w:rFonts w:ascii="Arial" w:cs="Arial" w:eastAsia="Arial" w:hAnsi="Arial"/>
          <w:sz w:val="18"/>
          <w:szCs w:val="18"/>
          <w:color w:val="32406B"/>
        </w:rPr>
      </w:pPr>
    </w:p>
    <w:p>
      <w:pPr>
        <w:ind w:left="1080" w:right="20" w:hanging="532"/>
        <w:spacing w:after="0" w:line="308" w:lineRule="auto"/>
        <w:tabs>
          <w:tab w:leader="none" w:pos="1080" w:val="left"/>
        </w:tabs>
        <w:numPr>
          <w:ilvl w:val="0"/>
          <w:numId w:val="23"/>
        </w:numPr>
        <w:rPr>
          <w:rFonts w:ascii="Arial" w:cs="Arial" w:eastAsia="Arial" w:hAnsi="Arial"/>
          <w:sz w:val="17"/>
          <w:szCs w:val="17"/>
          <w:color w:val="32406B"/>
        </w:rPr>
      </w:pPr>
      <w:r>
        <w:rPr>
          <w:rFonts w:ascii="Arial" w:cs="Arial" w:eastAsia="Arial" w:hAnsi="Arial"/>
          <w:sz w:val="17"/>
          <w:szCs w:val="17"/>
          <w:color w:val="32406B"/>
        </w:rPr>
        <w:t>challenges in 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delays in obtaining institutional review board, or IRB, approval at each trial site;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challenges in recruiting suitable patients to participate in a clinical trial;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having patients complete a clinical trial or return for post-treatment follow-up;</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inspections of clinical trial sites or operations by applicable regulatory authorities, or the imposition of a clinical hold;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clinical sites, CROs or other third parties deviating from trial protocol or dropping out of a trial;</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failure to perform in accordance with the applicable regulatory requirements, including the FDA’s regulations and GCP requirements, or applicable regulatory requirements in other countries;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addressing patient safety concerns that arise during the course of a trial, including the occurrence of adverse events associated with the product candidate that are viewed to outweigh its potential benefits;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having an insufficient number of clinical trial sites;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difficulties in manufacturing sufficient quantities of product candidate for use in clinical trials;</w:t>
      </w:r>
    </w:p>
    <w:p>
      <w:pPr>
        <w:spacing w:after="0" w:line="130" w:lineRule="exact"/>
        <w:rPr>
          <w:rFonts w:ascii="Arial" w:cs="Arial" w:eastAsia="Arial" w:hAnsi="Arial"/>
          <w:sz w:val="18"/>
          <w:szCs w:val="18"/>
          <w:color w:val="32406B"/>
        </w:rPr>
      </w:pPr>
    </w:p>
    <w:p>
      <w:pPr>
        <w:ind w:left="1080" w:hanging="532"/>
        <w:spacing w:after="0" w:line="308" w:lineRule="auto"/>
        <w:tabs>
          <w:tab w:leader="none" w:pos="1080" w:val="left"/>
        </w:tabs>
        <w:numPr>
          <w:ilvl w:val="0"/>
          <w:numId w:val="23"/>
        </w:numPr>
        <w:rPr>
          <w:rFonts w:ascii="Arial" w:cs="Arial" w:eastAsia="Arial" w:hAnsi="Arial"/>
          <w:sz w:val="17"/>
          <w:szCs w:val="17"/>
          <w:color w:val="32406B"/>
        </w:rPr>
      </w:pPr>
      <w:r>
        <w:rPr>
          <w:rFonts w:ascii="Arial" w:cs="Arial" w:eastAsia="Arial" w:hAnsi="Arial"/>
          <w:sz w:val="17"/>
          <w:szCs w:val="17"/>
          <w:color w:val="32406B"/>
        </w:rPr>
        <w:t>suspensions or terminations by IRBs of the institutions at which such trials are being conducted, by the independent Data Monitoring Committee for such trial or by the FDA or other regulatory authorities due to a number of factors, including those described above;</w:t>
      </w:r>
    </w:p>
    <w:p>
      <w:pPr>
        <w:spacing w:after="0" w:line="51" w:lineRule="exact"/>
        <w:rPr>
          <w:rFonts w:ascii="Arial" w:cs="Arial" w:eastAsia="Arial" w:hAnsi="Arial"/>
          <w:sz w:val="17"/>
          <w:szCs w:val="17"/>
          <w:color w:val="32406B"/>
        </w:rPr>
      </w:pPr>
    </w:p>
    <w:p>
      <w:pPr>
        <w:jc w:val="both"/>
        <w:ind w:left="1080" w:right="20" w:hanging="532"/>
        <w:spacing w:after="0" w:line="259" w:lineRule="auto"/>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w:t>
      </w:r>
    </w:p>
    <w:p>
      <w:pPr>
        <w:spacing w:after="0" w:line="92"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clinical trials of our product candidates may produce negative or inconclusive results, and we may decide, or regulators may require us, to conduct additional clinical trials or abandon development programs;</w:t>
      </w:r>
    </w:p>
    <w:p>
      <w:pPr>
        <w:spacing w:after="0" w:line="75"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23"/>
        </w:numPr>
        <w:rPr>
          <w:rFonts w:ascii="Arial" w:cs="Arial" w:eastAsia="Arial" w:hAnsi="Arial"/>
          <w:sz w:val="18"/>
          <w:szCs w:val="18"/>
          <w:color w:val="32406B"/>
        </w:rPr>
      </w:pPr>
      <w:r>
        <w:rPr>
          <w:rFonts w:ascii="Arial" w:cs="Arial" w:eastAsia="Arial" w:hAnsi="Arial"/>
          <w:sz w:val="18"/>
          <w:szCs w:val="18"/>
          <w:color w:val="32406B"/>
        </w:rPr>
        <w:t>the number of patients required for clinical trials of our product candidates may be larger than we anticipate, especially if regulatory bodies require the completion of non-inferiority trials, enrollment in these clinical trials may be slower than we anticipate or participants may drop out of these clinical trials at a higher rate than we anticipate;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our 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32406B"/>
        </w:rPr>
      </w:pPr>
    </w:p>
    <w:p>
      <w:pPr>
        <w:jc w:val="both"/>
        <w:ind w:left="1080" w:right="20" w:hanging="532"/>
        <w:spacing w:after="0" w:line="254"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intend to conduct our STAMP treatment trial at sites outside of the United States, and the applicable foreign regulatory authorities may determine that a placebo-controlled trial would expose patients to unacceptable health risks (for example, if alternative effective therapies become available in these regions during the conduct of the trial), which could delay enrollment of our trial and the authorization or approval of ADG20;</w:t>
      </w:r>
    </w:p>
    <w:p>
      <w:pPr>
        <w:spacing w:after="0" w:line="100"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the cost of clinical trials of our product candidates may be greater than we anticipate and we may not have funds to cover the costs;</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the supply or quality of our product candidates or other materials necessary to conduct clinical trials of our product candidates may be insufficient or inadequate or may not be able to be procured or distributed as needed;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regulators may revise the requirements for approving our product candidates, or such requirements may not be as we anticipate; and</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32406B"/>
        </w:rPr>
      </w:pPr>
      <w:r>
        <w:rPr>
          <w:rFonts w:ascii="Arial" w:cs="Arial" w:eastAsia="Arial" w:hAnsi="Arial"/>
          <w:sz w:val="18"/>
          <w:szCs w:val="18"/>
          <w:color w:val="32406B"/>
        </w:rPr>
        <w:t>any future collaborators that conduct clinical trials may face any of the above issues, and may conduct clinical trials in ways they view as advantageous to them but that are suboptimal for us.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8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incur unplanned costs;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be delayed in obtaining marketing approval for our product candidates or not obtain marketing approval at all;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obtain marketing approval in some countries and not in others;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obtain marketing approval for indications or patient populations that are not as broad as intended or desired;</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obtain marketing approval with labeling that includes significant use or distribution restrictions or safety warnings, including boxed warnings or REMS;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be subject to additional post-marketing testing requirements;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be subject to changes in the way the product is administered; or</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32406B"/>
        </w:rPr>
      </w:pPr>
      <w:r>
        <w:rPr>
          <w:rFonts w:ascii="Arial" w:cs="Arial" w:eastAsia="Arial" w:hAnsi="Arial"/>
          <w:sz w:val="18"/>
          <w:szCs w:val="18"/>
          <w:color w:val="32406B"/>
        </w:rPr>
        <w:t>have regulatory authorities withdraw or suspend their approval of the product or to impose restrictions on its distribution after obtaining marketing approval.</w:t>
      </w:r>
    </w:p>
    <w:p>
      <w:pPr>
        <w:spacing w:after="0" w:line="170"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22</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72"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b w:val="1"/>
          <w:bCs w:val="1"/>
          <w:i w:val="1"/>
          <w:iCs w:val="1"/>
          <w:color w:val="32406B"/>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0"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7"/>
          <w:szCs w:val="17"/>
          <w:color w:val="32406B"/>
        </w:rPr>
        <w:t>We may seek an EUA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 There is no guarantee that we will apply for an EUA or other similar authorization or, if we do apply, that we will be able to obtain such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arise or if we fail to comply with the conditions of authorization. 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and the Medicines and Healthcare products Regulatory Agency regarding clinical development programs or regulatory approval for any product candidate within the United States and United Kingdom, respectively. In addition, we have had no discussions with other comparable foreign authorities regarding clinical development programs or regulatory approval for any product candidate outside of those jurisdictions.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23</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product candidates could fail to receive regulatory approval for many reasons, including the following:</w:t>
      </w:r>
    </w:p>
    <w:p>
      <w:pPr>
        <w:spacing w:after="0" w:line="131" w:lineRule="exact"/>
        <w:rPr>
          <w:sz w:val="20"/>
          <w:szCs w:val="20"/>
          <w:color w:val="auto"/>
        </w:rPr>
      </w:pPr>
    </w:p>
    <w:p>
      <w:pPr>
        <w:ind w:left="10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FDA or comparable foreign regulatory authorities may disagree with the design or implementation of our clinical trials or with our interpretation of data from preclinical studies or clinical trials;</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we may be unable to demonstrate that a product candidate’s clinical and other benefits outweigh its safety risks;</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we may be unable to collect sufficient data from clinical trials of our product candidates to support the submission and filing of a BLA with the FDA, MAA with the EMA or other submission;</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FDA or comparable foreign regulatory authorities may fail to approve the manufacturing processes or facilities of third-party manufacturers and testing laboratories with which we contract for clinical and commercial supplies; and</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26"/>
        </w:numPr>
        <w:rPr>
          <w:rFonts w:ascii="Arial" w:cs="Arial" w:eastAsia="Arial" w:hAnsi="Arial"/>
          <w:sz w:val="18"/>
          <w:szCs w:val="18"/>
          <w:color w:val="32406B"/>
        </w:rPr>
      </w:pPr>
      <w:r>
        <w:rPr>
          <w:rFonts w:ascii="Arial" w:cs="Arial" w:eastAsia="Arial" w:hAnsi="Arial"/>
          <w:sz w:val="18"/>
          <w:szCs w:val="18"/>
          <w:color w:val="32406B"/>
        </w:rPr>
        <w:t>the approval policies or regulations of the FDA or comparable foreign authorities may significantly change in a manner rendering our clinical data insufficient for approval.</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95"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32406B"/>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17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Many companies in the pharmaceutical and biotechnology industries have suffered significant setbacks in late-stage clinical trials even after achieving promising results in preclinical testing and earlier-stage clinical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32406B"/>
        </w:rPr>
        <w:t>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57" w:lineRule="exact"/>
        <w:rPr>
          <w:sz w:val="20"/>
          <w:szCs w:val="20"/>
          <w:color w:val="auto"/>
        </w:rPr>
      </w:pPr>
    </w:p>
    <w:p>
      <w:pPr>
        <w:ind w:left="560" w:right="260"/>
        <w:spacing w:after="0" w:line="342" w:lineRule="auto"/>
        <w:rPr>
          <w:sz w:val="20"/>
          <w:szCs w:val="20"/>
          <w:color w:val="auto"/>
        </w:rPr>
      </w:pPr>
      <w:r>
        <w:rPr>
          <w:rFonts w:ascii="Arial" w:cs="Arial" w:eastAsia="Arial" w:hAnsi="Arial"/>
          <w:sz w:val="16"/>
          <w:szCs w:val="16"/>
          <w:b w:val="1"/>
          <w:bCs w:val="1"/>
          <w:i w:val="1"/>
          <w:iCs w:val="1"/>
          <w:color w:val="32406B"/>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1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96"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32406B"/>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304"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b w:val="1"/>
          <w:bCs w:val="1"/>
          <w:i w:val="1"/>
          <w:iCs w:val="1"/>
          <w:color w:val="32406B"/>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63"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We may fail to demonstrate with substantial evidence from adequate and well-controlled trials, and to the satisfaction of the FDA or comparable foreign regulatory authorities, that our product candidates are safe and potent for their intended uses. In addition, the FDA may determine that antibody monotherapy products are not sufficient and that combination antibody therapies should become the standard of care.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25</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These side effects may not be appropriately recognized or managed by the treating medical staff, as toxicities resulting from monoclonal antibody therapy, as with our ADG20 product candidate, are not normally encountered in the general patient population and by medical personnel.</w:t>
      </w:r>
    </w:p>
    <w:p>
      <w:pPr>
        <w:spacing w:after="0" w:line="1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76" w:lineRule="exact"/>
        <w:rPr>
          <w:sz w:val="20"/>
          <w:szCs w:val="20"/>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regulatory authorities may suspend, withdraw or limit approvals of such product, or seek an injunction against its manufacture or distribution;</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regulatory authorities may require additional warnings on the label;</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we may be required to create a medication guide outlining the risks of such side effects for distribution to patients or other requirements subject to a REMS;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we may be required to change the way a product is administered or conduct additional trials;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we could be sued and held liable for harm caused to patients;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we may decide to remove the product from the market;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we may not be able to achieve or maintain third-party payor coverage and adequate reimbursement;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we may be subject to fines, injunctions or the imposition of civil or criminal penalties;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7"/>
        </w:numPr>
        <w:rPr>
          <w:rFonts w:ascii="Arial" w:cs="Arial" w:eastAsia="Arial" w:hAnsi="Arial"/>
          <w:sz w:val="18"/>
          <w:szCs w:val="18"/>
          <w:color w:val="32406B"/>
        </w:rPr>
      </w:pPr>
      <w:r>
        <w:rPr>
          <w:rFonts w:ascii="Arial" w:cs="Arial" w:eastAsia="Arial" w:hAnsi="Arial"/>
          <w:sz w:val="18"/>
          <w:szCs w:val="18"/>
          <w:color w:val="32406B"/>
        </w:rPr>
        <w:t>our reputation and physician or patient acceptance of our products may suffer.</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73" w:lineRule="exact"/>
        <w:rPr>
          <w:sz w:val="20"/>
          <w:szCs w:val="20"/>
          <w:color w:val="auto"/>
        </w:rPr>
      </w:pPr>
    </w:p>
    <w:p>
      <w:pPr>
        <w:jc w:val="both"/>
        <w:ind w:left="560" w:right="340"/>
        <w:spacing w:after="0" w:line="263" w:lineRule="auto"/>
        <w:rPr>
          <w:sz w:val="20"/>
          <w:szCs w:val="20"/>
          <w:color w:val="auto"/>
        </w:rPr>
      </w:pPr>
      <w:r>
        <w:rPr>
          <w:rFonts w:ascii="Arial" w:cs="Arial" w:eastAsia="Arial" w:hAnsi="Arial"/>
          <w:sz w:val="18"/>
          <w:szCs w:val="18"/>
          <w:b w:val="1"/>
          <w:bCs w:val="1"/>
          <w:i w:val="1"/>
          <w:iCs w:val="1"/>
          <w:color w:val="32406B"/>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clinical and commercial success of our monoclonal antibody therapies will depend in part on public acceptance of the use of monoclonal antibody therapies to treat symptomatic COVID-19. To date, the FDA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26</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32406B"/>
        </w:rPr>
        <w:t>not yet approved any monoclonal antibodies to treat or prevent COVID-19, although the FDA has issued an EUA for several monoclonal antibody products for the treatment of COVID-19 in patients at high risk of disease progression, including bamlanivimab, casirivimab/imdevimab, bamlanvimab/etesevimab and sotrovimab.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300"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32406B"/>
        </w:rPr>
        <w:t>We may experience delays or difficulties in the enrollment and/or retention of patients in clinical trials, which could delay or prevent our receipt of necessary regulatory approvals.</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9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severity and difficulty of diagnosing the disease under investigation;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contraction of the public health crisis caused by COVID-19;</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eligibility and exclusion criteria for the trial in question;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size of the patient population and process for identifying patients;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our ability to recruit clinical trial investigators with the appropriate competencies and experience;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design of the trial protocol, including but not limited to the use of a placebo control or active comparator;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perceived risks and benefits of the product candidate in the trial, including relating to monoclonal antibody approaches;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availability of competing commercially available therapies and other competing therapeutic candidates’ clinical trials for the disease or condition under investigation;</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willingness of patients to be enrolled in our clinical trials;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the efforts to facilitate timely enrollment in clinical trials;</w:t>
      </w:r>
    </w:p>
    <w:p>
      <w:pPr>
        <w:spacing w:after="0" w:line="130"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28"/>
        </w:numPr>
        <w:rPr>
          <w:rFonts w:ascii="Arial" w:cs="Arial" w:eastAsia="Arial" w:hAnsi="Arial"/>
          <w:sz w:val="18"/>
          <w:szCs w:val="18"/>
          <w:color w:val="32406B"/>
        </w:rPr>
      </w:pPr>
      <w:r>
        <w:rPr>
          <w:rFonts w:ascii="Arial" w:cs="Arial" w:eastAsia="Arial" w:hAnsi="Arial"/>
          <w:sz w:val="18"/>
          <w:szCs w:val="18"/>
          <w:color w:val="32406B"/>
        </w:rPr>
        <w:t>potential disruptions caused by the COVID-19 pandemic, including difficulties in initiating clinical sites, enrolling and retaining participants, diversion of healthcare resources away from clinical trials, travel or quarantine policies that may be implemented, our ability to import and export clinical trial supplies, raw materials and commercial supply and other factors;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27</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the patient referral practices of physicians;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the ability to monitor patients adequately during and after treatment;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29"/>
        </w:numPr>
        <w:rPr>
          <w:rFonts w:ascii="Arial" w:cs="Arial" w:eastAsia="Arial" w:hAnsi="Arial"/>
          <w:sz w:val="18"/>
          <w:szCs w:val="18"/>
          <w:color w:val="32406B"/>
        </w:rPr>
      </w:pPr>
      <w:r>
        <w:rPr>
          <w:rFonts w:ascii="Arial" w:cs="Arial" w:eastAsia="Arial" w:hAnsi="Arial"/>
          <w:sz w:val="18"/>
          <w:szCs w:val="18"/>
          <w:color w:val="32406B"/>
        </w:rPr>
        <w:t>the proximity and availability of clinical trial sites for prospective patients.</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inability to enroll, or maintain the enrollment of,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96" w:lineRule="exact"/>
        <w:rPr>
          <w:sz w:val="20"/>
          <w:szCs w:val="20"/>
          <w:color w:val="auto"/>
        </w:rPr>
      </w:pPr>
    </w:p>
    <w:p>
      <w:pPr>
        <w:ind w:left="560" w:right="660"/>
        <w:spacing w:after="0" w:line="342" w:lineRule="auto"/>
        <w:rPr>
          <w:sz w:val="20"/>
          <w:szCs w:val="20"/>
          <w:color w:val="auto"/>
        </w:rPr>
      </w:pPr>
      <w:r>
        <w:rPr>
          <w:rFonts w:ascii="Arial" w:cs="Arial" w:eastAsia="Arial" w:hAnsi="Arial"/>
          <w:sz w:val="16"/>
          <w:szCs w:val="16"/>
          <w:b w:val="1"/>
          <w:bCs w:val="1"/>
          <w:i w:val="1"/>
          <w:iCs w:val="1"/>
          <w:color w:val="32406B"/>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16"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7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32406B"/>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32406B"/>
        </w:rPr>
        <w:t>Because we have limited financial and management resources, we must focus on development programs and product candidates that we identify for specific indications. As such, we are currently primarily focused on the development of ADG20 for the treatment and prevention of symptomatic COVID-19.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28</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b w:val="1"/>
          <w:bCs w:val="1"/>
          <w:i w:val="1"/>
          <w:iCs w:val="1"/>
          <w:color w:val="32406B"/>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1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We intend to conduct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We may not be successful in our efforts to build a pipeline of additional product candidates.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Our business and operations may be adversely affected by the evolving and ongoing COVID-19 global pandemic.</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The evolving and constantly changing impact of COVID-19, which was declared a global pandemic by the World Health Organization, or WHO, will directly affect the potential commercial prospects of our lead product candidate for the treatment and prevention of COVID-19. The severity of the global pandemic,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29</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Although our planned clinical trials have not been materially delayed by the COVID-19 pandemic to date, in December 2020 shipment of ADG20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93" w:lineRule="exact"/>
        <w:rPr>
          <w:sz w:val="20"/>
          <w:szCs w:val="20"/>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delays, difficulties or a suspension in clinical site initiation, including difficulties in recruiting clinical site investigators and clinical site staff;</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interruptions in our ability to manufacture and deliver drug supply for trials due to capacity constraints or lack of raw materials;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0"/>
        </w:numPr>
        <w:rPr>
          <w:rFonts w:ascii="Arial" w:cs="Arial" w:eastAsia="Arial" w:hAnsi="Arial"/>
          <w:sz w:val="18"/>
          <w:szCs w:val="18"/>
          <w:color w:val="32406B"/>
        </w:rPr>
      </w:pPr>
      <w:r>
        <w:rPr>
          <w:rFonts w:ascii="Arial" w:cs="Arial" w:eastAsia="Arial" w:hAnsi="Arial"/>
          <w:sz w:val="18"/>
          <w:szCs w:val="18"/>
          <w:color w:val="32406B"/>
        </w:rPr>
        <w:t>refusal of the FDA to accept data from clinical trials in these affected geographies.</w:t>
      </w:r>
    </w:p>
    <w:p>
      <w:pPr>
        <w:spacing w:after="0" w:line="22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278" w:lineRule="exact"/>
        <w:rPr>
          <w:sz w:val="20"/>
          <w:szCs w:val="20"/>
          <w:color w:val="auto"/>
        </w:rPr>
      </w:pPr>
    </w:p>
    <w:p>
      <w:pPr>
        <w:ind w:left="560" w:right="620"/>
        <w:spacing w:after="0" w:line="308" w:lineRule="auto"/>
        <w:rPr>
          <w:sz w:val="20"/>
          <w:szCs w:val="20"/>
          <w:color w:val="auto"/>
        </w:rPr>
      </w:pPr>
      <w:r>
        <w:rPr>
          <w:rFonts w:ascii="Arial" w:cs="Arial" w:eastAsia="Arial" w:hAnsi="Arial"/>
          <w:sz w:val="17"/>
          <w:szCs w:val="17"/>
          <w:b w:val="1"/>
          <w:bCs w:val="1"/>
          <w:i w:val="1"/>
          <w:iCs w:val="1"/>
          <w:color w:val="32406B"/>
        </w:rPr>
        <w:t>The market opportunities for any current or future product candidate we develop, if approved, may be limited to those patients who are ineligible for established therapies or for whom prior therapies have failed, and may be small.</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Any revenue we are able to generate in the future from product sales will be dependent, in part, upon the size of the market in the United States and any other jurisdiction for which we gain regulatory approval and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30</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commercial rights. If the markets or patient subsets that we are targeting are not as significant as we estimate, we may not generate significant revenues from sales of such products, even if approved.</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first-or second-line therapy.</w:t>
      </w:r>
    </w:p>
    <w:p>
      <w:pPr>
        <w:spacing w:after="0" w:line="29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32406B"/>
        </w:rPr>
        <w:t>Newly emerging SARS-CoV-2 variants could reduce the activity and effectiveness of ADG20 as a potential treatment for or prevention of symptomatic COVID-19.</w:t>
      </w:r>
    </w:p>
    <w:p>
      <w:pPr>
        <w:spacing w:after="0" w:line="6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Multiple variants of the virus that causes COVID-19 have been documented in the United States and globally during this pandemic. Although we have shown in pre-clinical studies that ADG20 has the potential to broadly neutralize SARS-CoV-2 and the predominantly circulating variants, new SARS-CoV-2 variants could be less impacted by ADG20 and its mechanism of action, or the results shown in pre-clinical studies may not be replicated in clinical studies. This would significantly and adversely affect our ability to obtain authorization or approval of and to commercialize ADG20.</w:t>
      </w:r>
    </w:p>
    <w:p>
      <w:pPr>
        <w:spacing w:after="0" w:line="265"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32406B"/>
        </w:rPr>
        <w:t>We may develop ADG20 and future product candidates for use in combination with other therapies or third-party product candidates, which exposes us to additional regulatory risks.</w:t>
      </w:r>
    </w:p>
    <w:p>
      <w:pPr>
        <w:spacing w:after="0" w:line="6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We may develop ADG20 and future product candidates for use in combination with one or more currently authorized or approved therapies to treat symptomatic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ADG20 as a monotherapy treatment.</w:t>
      </w:r>
    </w:p>
    <w:p>
      <w:pPr>
        <w:spacing w:after="0" w:line="17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may also evaluate ADG20 or any future product candidate in combination with one or more other third-party product candidates that have not yet been approved for marketing by the FDA, EMA or comparable foreign regulatory authorities. If so, we will not be able to market and sell ADG20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ADG20 or any product candidate we develop, we may be unable to obtain approval of or market any such product candidate.</w:t>
      </w:r>
    </w:p>
    <w:p>
      <w:pPr>
        <w:spacing w:after="0" w:line="28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32406B"/>
        </w:rPr>
        <w:t>The United Kingdom’s withdrawal from the European Union may have a negative effect on global economic conditions, financial markets and our business.</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31</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32406B"/>
        </w:rPr>
        <w:t>Since a significant proportion of the regulatory framework in the United Kingdom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the Manufacturing of our Product Candidates</w:t>
      </w:r>
    </w:p>
    <w:p>
      <w:pPr>
        <w:spacing w:after="0" w:line="121"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b w:val="1"/>
          <w:bCs w:val="1"/>
          <w:i w:val="1"/>
          <w:iCs w:val="1"/>
          <w:color w:val="32406B"/>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The manufacture of monoclonal antibody therapies is technically complex and necessitates substantial expertise and capital investment.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Production difficulties caused by unforeseen events may delay the availability of material for our clinical studies or commercialization efforts.</w:t>
      </w:r>
    </w:p>
    <w:p>
      <w:pPr>
        <w:spacing w:after="0" w:line="22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18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Biological products are inherently difficult and time-consuming to manufacture. Our program materials are manufactured using technically complex processes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manufacturing, may lead to an inability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32</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manufacture our product candidate, resulting in delays in clinical development or commercialization plans. Any changes in the manufacturing of components of the raw materials we use could result in unanticipated or unfavorable effects in our manufacturing processes or product quality, resulting in delays.</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Any delay, failure or inability to manufacture on a timely basis can impact the timelines for our clinical trials or our commercialization plans. Such delay, failure or inability to manufacture can result from:</w:t>
      </w:r>
    </w:p>
    <w:p>
      <w:pPr>
        <w:spacing w:after="0" w:line="76" w:lineRule="exact"/>
        <w:rPr>
          <w:sz w:val="20"/>
          <w:szCs w:val="20"/>
          <w:color w:val="auto"/>
        </w:rPr>
      </w:pPr>
    </w:p>
    <w:p>
      <w:pPr>
        <w:jc w:val="both"/>
        <w:ind w:left="1080" w:right="20" w:hanging="532"/>
        <w:spacing w:after="0" w:line="259" w:lineRule="auto"/>
        <w:tabs>
          <w:tab w:leader="none" w:pos="10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92" w:lineRule="exact"/>
        <w:rPr>
          <w:rFonts w:ascii="Arial" w:cs="Arial" w:eastAsia="Arial" w:hAnsi="Arial"/>
          <w:sz w:val="18"/>
          <w:szCs w:val="18"/>
          <w:color w:val="32406B"/>
        </w:rPr>
      </w:pPr>
    </w:p>
    <w:p>
      <w:pPr>
        <w:jc w:val="both"/>
        <w:ind w:left="1080" w:right="20" w:hanging="532"/>
        <w:spacing w:after="0" w:line="286" w:lineRule="auto"/>
        <w:tabs>
          <w:tab w:leader="none" w:pos="1080" w:val="left"/>
        </w:tabs>
        <w:numPr>
          <w:ilvl w:val="0"/>
          <w:numId w:val="31"/>
        </w:numPr>
        <w:rPr>
          <w:rFonts w:ascii="Arial" w:cs="Arial" w:eastAsia="Arial" w:hAnsi="Arial"/>
          <w:sz w:val="17"/>
          <w:szCs w:val="17"/>
          <w:color w:val="32406B"/>
        </w:rPr>
      </w:pPr>
      <w:r>
        <w:rPr>
          <w:rFonts w:ascii="Arial" w:cs="Arial" w:eastAsia="Arial" w:hAnsi="Arial"/>
          <w:sz w:val="17"/>
          <w:szCs w:val="17"/>
          <w:color w:val="32406B"/>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70" w:lineRule="exact"/>
        <w:rPr>
          <w:rFonts w:ascii="Arial" w:cs="Arial" w:eastAsia="Arial" w:hAnsi="Arial"/>
          <w:sz w:val="17"/>
          <w:szCs w:val="17"/>
          <w:color w:val="32406B"/>
        </w:rPr>
      </w:pPr>
    </w:p>
    <w:p>
      <w:pPr>
        <w:jc w:val="both"/>
        <w:ind w:left="1080" w:right="20" w:hanging="532"/>
        <w:spacing w:after="0" w:line="263" w:lineRule="auto"/>
        <w:tabs>
          <w:tab w:leader="none" w:pos="10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inability to obtain manufacturing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inability to procure raw materials and reagents;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loss, depletion or performance degradation of the cell line starting material; and</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31"/>
        </w:numPr>
        <w:rPr>
          <w:rFonts w:ascii="Arial" w:cs="Arial" w:eastAsia="Arial" w:hAnsi="Arial"/>
          <w:sz w:val="18"/>
          <w:szCs w:val="18"/>
          <w:color w:val="32406B"/>
        </w:rPr>
      </w:pPr>
      <w:r>
        <w:rPr>
          <w:rFonts w:ascii="Arial" w:cs="Arial" w:eastAsia="Arial" w:hAnsi="Arial"/>
          <w:sz w:val="18"/>
          <w:szCs w:val="18"/>
          <w:color w:val="32406B"/>
        </w:rPr>
        <w:t>loss of or close-down of any manufacturing facility used in the manufacture of our product candidates, or the inability to find alternative manufacturing capability in a timely fashion.</w:t>
      </w:r>
    </w:p>
    <w:p>
      <w:pPr>
        <w:spacing w:after="0" w:line="278"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b w:val="1"/>
          <w:bCs w:val="1"/>
          <w:i w:val="1"/>
          <w:iCs w:val="1"/>
          <w:color w:val="32406B"/>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32406B"/>
        </w:rPr>
        <w:t>All entities involved in the preparation of therapeutics for clinical trials or commercial sale, including our existing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any of our CDMOs do not pass such audit or inspections. Certain of our CDMO’s facilities are or may be under construction and have not completed installation of equipment for and establishment of routine manufacturing and testing operations and have not yet been inspected by regulatory authorities. If any of our CDMO’s facilities do not pass a pre-approval plant inspection, FDA or EMA approval of the products will not be granted.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33</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32406B"/>
        </w:rPr>
        <w:t>The regulatory authorities also may, at any time following approval of a product for sale, inspect or audit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17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We intend to rely on third parties to produce clinical and commercial supplies of our product candidates.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We are currently manufacturing material for our product candidates in partnership with a CDMO. We do not own or operate any facilities for product manufacturing, storage and distribution or testing. We are dependent on third parties to manufacture the clinical and commercial supplies of our current and any future product candidates. We have established a relationship with WuXi to produce material to support our clinical development program and our initial commercial supply for our products, if approved. We have not yet fully manufactured our product candidates on a commercial scale, and we do not yet have sufficient information to reliably estimate the cost of the commercial manufacturing of our product candidates.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The facilities used by our contract manufacturers and contract testing labs to manufacture and test our product candidates must be approved by the FDA pursuant to inspections that will be conducted after we submit our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also intend to rely on third-party manufacturers to supply us with sufficient quantities of our product candidates to be used, if approved, for commercialization. If we are not able to meet market demand for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34</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We engaged WuXi for development and generation of the production cell line starting material for ADG20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In addition, we currently rely on WuXi, a CDMO in China, for clinical supply of ADG20 and will rely on WuXi for commercial supply of ADG20.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19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 July 2021, we entered into a license agreement with Biocon Biologics Limited, or Biocon, to combat the ongoing COVID-19 crisis in southern Asia. Under the license agreement, we will provide Biocon materials and know-how to manufacture and commercialize an antibody treatment based on ADG20 in India and select emerging markets. Biocon’s ability to successfully manufacture in those territories may be restricted by foreign regulatory requirements.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Further, our reliance on third-party manufacturers entails risks to which we would not be subject if we manufactured product candidates ourselves, including:</w:t>
      </w:r>
    </w:p>
    <w:p>
      <w:pPr>
        <w:spacing w:after="0" w:line="7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inability to access sufficient manufacturing capacity;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6"/>
          <w:szCs w:val="16"/>
          <w:color w:val="32406B"/>
        </w:rPr>
      </w:pPr>
      <w:r>
        <w:rPr>
          <w:rFonts w:ascii="Arial" w:cs="Arial" w:eastAsia="Arial" w:hAnsi="Arial"/>
          <w:sz w:val="16"/>
          <w:szCs w:val="16"/>
          <w:color w:val="32406B"/>
        </w:rPr>
        <w:t>inability of our third-party manufacturers to execute our manufacturing procedures and other logistical support requirements appropriately;</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inability to negotiate additional manufacturing agreements with third parties under commercially reasonable terms, if at all;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2"/>
        </w:numPr>
        <w:rPr>
          <w:rFonts w:ascii="Arial" w:cs="Arial" w:eastAsia="Arial" w:hAnsi="Arial"/>
          <w:sz w:val="16"/>
          <w:szCs w:val="16"/>
          <w:color w:val="32406B"/>
        </w:rPr>
      </w:pPr>
      <w:r>
        <w:rPr>
          <w:rFonts w:ascii="Arial" w:cs="Arial" w:eastAsia="Arial" w:hAnsi="Arial"/>
          <w:sz w:val="16"/>
          <w:szCs w:val="16"/>
          <w:color w:val="32406B"/>
        </w:rPr>
        <w:t>breach, termination or nonrenewal of manufacturing agreements with third parties in a manner or at a time that is costly or damaging to us;</w:t>
      </w:r>
    </w:p>
    <w:p>
      <w:pPr>
        <w:spacing w:after="0" w:line="153" w:lineRule="exact"/>
        <w:rPr>
          <w:rFonts w:ascii="Arial" w:cs="Arial" w:eastAsia="Arial" w:hAnsi="Arial"/>
          <w:sz w:val="16"/>
          <w:szCs w:val="16"/>
          <w:color w:val="32406B"/>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lack of ownership of the intellectual property rights in any improvements made by our third-party manufacturers in the manufacturing process for our product candidates; and</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32406B"/>
        </w:rPr>
      </w:pPr>
      <w:r>
        <w:rPr>
          <w:rFonts w:ascii="Arial" w:cs="Arial" w:eastAsia="Arial" w:hAnsi="Arial"/>
          <w:sz w:val="18"/>
          <w:szCs w:val="18"/>
          <w:color w:val="32406B"/>
        </w:rPr>
        <w:t>disruptions to operations of our third-party manufacturers or suppliers by conditions unrelated to our business or operations, including the bankruptcy of the manufacturer or supplier.</w:t>
      </w:r>
    </w:p>
    <w:p>
      <w:pPr>
        <w:spacing w:after="0" w:line="17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We cannot be sure that single-source suppliers for our manufacturing raw materials will remain in business or that they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adversely impact our business, financial condition and results of operations.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Any of these events could lead to clinical trial delays or failure to obtain regulatory approval or impact our ability to successfully commercialize our current or any future product candidates, if approved. Some of these events could be the basis for FDA action, including injunction, request for recall, seizure or total or partial suspension of production.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35</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311" w:lineRule="auto"/>
        <w:rPr>
          <w:sz w:val="20"/>
          <w:szCs w:val="20"/>
          <w:color w:val="auto"/>
        </w:rPr>
      </w:pPr>
      <w:r>
        <w:rPr>
          <w:rFonts w:ascii="Arial" w:cs="Arial" w:eastAsia="Arial" w:hAnsi="Arial"/>
          <w:sz w:val="16"/>
          <w:szCs w:val="16"/>
          <w:b w:val="1"/>
          <w:bCs w:val="1"/>
          <w:i w:val="1"/>
          <w:iCs w:val="1"/>
          <w:color w:val="32406B"/>
        </w:rPr>
        <w:t>We depend on sole-source third-party suppliers for materials that are necessary for the conduct of preclinical studies and manufacture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4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Manufacturing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For example, we are reliant on WuXi as the sole procurer of the raw materials used in the manufacture of our product candidates, including certain purification resins and cell culture media, which increases the risk of delays in production. In addition, to date, we have relied on WuXi as our only CDMO. The loss of this 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w:t>
      </w:r>
    </w:p>
    <w:p>
      <w:pPr>
        <w:spacing w:after="0" w:line="17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Some of our CDMO’s raw material suppliers may not have the capacity to support clinical trials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17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80" w:lineRule="exact"/>
        <w:rPr>
          <w:sz w:val="20"/>
          <w:szCs w:val="20"/>
          <w:color w:val="auto"/>
        </w:rPr>
      </w:pPr>
    </w:p>
    <w:p>
      <w:pPr>
        <w:ind w:left="560" w:right="500"/>
        <w:spacing w:after="0" w:line="308" w:lineRule="auto"/>
        <w:rPr>
          <w:sz w:val="20"/>
          <w:szCs w:val="20"/>
          <w:color w:val="auto"/>
        </w:rPr>
      </w:pPr>
      <w:r>
        <w:rPr>
          <w:rFonts w:ascii="Arial" w:cs="Arial" w:eastAsia="Arial" w:hAnsi="Arial"/>
          <w:sz w:val="17"/>
          <w:szCs w:val="17"/>
          <w:b w:val="1"/>
          <w:bCs w:val="1"/>
          <w:i w:val="1"/>
          <w:iCs w:val="1"/>
          <w:color w:val="32406B"/>
        </w:rPr>
        <w:t>The third parties upon whom we depend may be adversely affected by earthquakes, wildfires or other natural disasters, and our business continuity and disaster recovery plans may not adequately protect us from a serious disaster.</w:t>
      </w:r>
    </w:p>
    <w:p>
      <w:pPr>
        <w:spacing w:after="0" w:line="3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Any unplanned event, such as flood, fire, explosion, earthquake, extreme weather condition, medical epidemics or pandemics, power shortage, telecommunication failure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36</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32406B"/>
        </w:rPr>
        <w:t>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9"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b w:val="1"/>
          <w:bCs w:val="1"/>
          <w:i w:val="1"/>
          <w:iCs w:val="1"/>
          <w:color w:val="32406B"/>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3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Given the nature of monoclonal antibody manufacturing, there is a risk of contamination, including in the manufacture of raw materials and in the manufacturing of our product candidates, or in the manufacturing facility itself.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Changes in methods of product candidate manufacturing or formulation may result in additional costs or delay.</w:t>
      </w:r>
    </w:p>
    <w:p>
      <w:pPr>
        <w:spacing w:after="0" w:line="117"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the Commercialization of Our Product Candidates</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b w:val="1"/>
          <w:bCs w:val="1"/>
          <w:i w:val="1"/>
          <w:iCs w:val="1"/>
          <w:color w:val="32406B"/>
        </w:rPr>
        <w:t>Even if any of our product candidates receive marketing approval, they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92" w:lineRule="exact"/>
        <w:rPr>
          <w:sz w:val="20"/>
          <w:szCs w:val="20"/>
          <w:color w:val="auto"/>
        </w:rPr>
      </w:pPr>
    </w:p>
    <w:p>
      <w:pPr>
        <w:ind w:left="5540" w:right="2620" w:hanging="4992"/>
        <w:spacing w:after="0" w:line="449" w:lineRule="auto"/>
        <w:tabs>
          <w:tab w:leader="none" w:pos="1094" w:val="left"/>
        </w:tabs>
        <w:numPr>
          <w:ilvl w:val="0"/>
          <w:numId w:val="33"/>
        </w:numPr>
        <w:rPr>
          <w:rFonts w:ascii="Arial" w:cs="Arial" w:eastAsia="Arial" w:hAnsi="Arial"/>
          <w:sz w:val="18"/>
          <w:szCs w:val="18"/>
          <w:color w:val="32406B"/>
        </w:rPr>
      </w:pPr>
      <w:r>
        <w:rPr>
          <w:rFonts w:ascii="Arial" w:cs="Arial" w:eastAsia="Arial" w:hAnsi="Arial"/>
          <w:sz w:val="18"/>
          <w:szCs w:val="18"/>
          <w:color w:val="32406B"/>
        </w:rPr>
        <w:t>the efficacy, safety and potential advantages compared to alternative treatments, including oral options; 37</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our ability to offer our products for sale at competitive prices;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convenience and ease of administration compared to alternative treatments;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product labeling or product insert requirements of the FDA, EMA or other foreign regulatory authorities, including any limitations or warnings contained in a product’s approved labeling, including any black box warning or REMS;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willingness of the target patient population to try new treatments and of physicians to prescribe these treatments;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our ability to hire and retain a sales force in the United States;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strength of marketing and distribution support;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the availability of third-party coverage and adequate reimbursement for ADG20 and any other product candidates, once approved;</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prevalence and severity of any side effects;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any restrictions on the use of our products together with other medications or requirements that our products be used in combination with other products;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4"/>
        </w:numPr>
        <w:rPr>
          <w:rFonts w:ascii="Arial" w:cs="Arial" w:eastAsia="Arial" w:hAnsi="Arial"/>
          <w:sz w:val="18"/>
          <w:szCs w:val="18"/>
          <w:color w:val="32406B"/>
        </w:rPr>
      </w:pPr>
      <w:r>
        <w:rPr>
          <w:rFonts w:ascii="Arial" w:cs="Arial" w:eastAsia="Arial" w:hAnsi="Arial"/>
          <w:sz w:val="18"/>
          <w:szCs w:val="18"/>
          <w:color w:val="32406B"/>
        </w:rPr>
        <w:t>the ability to be effective against emerging variants as a monotherapy.</w:t>
      </w:r>
    </w:p>
    <w:p>
      <w:pPr>
        <w:spacing w:after="0" w:line="333" w:lineRule="exact"/>
        <w:rPr>
          <w:sz w:val="20"/>
          <w:szCs w:val="20"/>
          <w:color w:val="auto"/>
        </w:rPr>
      </w:pPr>
    </w:p>
    <w:p>
      <w:pPr>
        <w:ind w:left="560" w:right="660"/>
        <w:spacing w:after="0" w:line="375" w:lineRule="auto"/>
        <w:rPr>
          <w:sz w:val="20"/>
          <w:szCs w:val="20"/>
          <w:color w:val="auto"/>
        </w:rPr>
      </w:pPr>
      <w:r>
        <w:rPr>
          <w:rFonts w:ascii="Arial" w:cs="Arial" w:eastAsia="Arial" w:hAnsi="Arial"/>
          <w:sz w:val="15"/>
          <w:szCs w:val="15"/>
          <w:b w:val="1"/>
          <w:bCs w:val="1"/>
          <w:i w:val="1"/>
          <w:iCs w:val="1"/>
          <w:color w:val="32406B"/>
        </w:rPr>
        <w:t>If we are unable to establish sales, marketing and distribution capabilities for ADG20 or any other product candidate that may receive regulatory approval, we may not be successful in commercializing those product candidates if and when they are approved.</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We are currently establishing our commercial infrastructure to support the anticipated marketing and distribution of our product candidates, which we will need to achieve commercial success for ADG20 or any other product candidate for which we may obtain marketing approval. We are currently in the process of building a sales, marketing and market access infrastructure to market our product candidates in the United States and Europe,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Factors that may inhibit our efforts to market our products on our own include:</w:t>
      </w:r>
    </w:p>
    <w:p>
      <w:pPr>
        <w:spacing w:after="0" w:line="131"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our inability to recruit, train and retain adequate numbers of effective sales and marketing personnel;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6"/>
          <w:szCs w:val="16"/>
          <w:color w:val="32406B"/>
        </w:rPr>
      </w:pPr>
      <w:r>
        <w:rPr>
          <w:rFonts w:ascii="Arial" w:cs="Arial" w:eastAsia="Arial" w:hAnsi="Arial"/>
          <w:sz w:val="16"/>
          <w:szCs w:val="16"/>
          <w:color w:val="32406B"/>
        </w:rPr>
        <w:t>the inability of sales personnel to obtain access to physicians in order to educate physicians about our product candidates, once approved;</w:t>
      </w:r>
    </w:p>
    <w:p>
      <w:pPr>
        <w:spacing w:after="0" w:line="153" w:lineRule="exact"/>
        <w:rPr>
          <w:rFonts w:ascii="Arial" w:cs="Arial" w:eastAsia="Arial" w:hAnsi="Arial"/>
          <w:sz w:val="16"/>
          <w:szCs w:val="16"/>
          <w:color w:val="32406B"/>
        </w:rPr>
      </w:pPr>
    </w:p>
    <w:p>
      <w:pPr>
        <w:ind w:left="1080" w:right="20" w:hanging="532"/>
        <w:spacing w:after="0" w:line="277" w:lineRule="auto"/>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5"/>
        </w:numPr>
        <w:rPr>
          <w:rFonts w:ascii="Arial" w:cs="Arial" w:eastAsia="Arial" w:hAnsi="Arial"/>
          <w:sz w:val="18"/>
          <w:szCs w:val="18"/>
          <w:color w:val="32406B"/>
        </w:rPr>
      </w:pPr>
      <w:r>
        <w:rPr>
          <w:rFonts w:ascii="Arial" w:cs="Arial" w:eastAsia="Arial" w:hAnsi="Arial"/>
          <w:sz w:val="18"/>
          <w:szCs w:val="18"/>
          <w:color w:val="32406B"/>
        </w:rPr>
        <w:t>unforeseen costs and expenses associated with creating independent sales, marketing and market access organizations.</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38</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32406B"/>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Our projections of the number of people who are candidates to receive COVID-19 treatments and preventatives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19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A decline, or a widespread perception of a decline, in the spread or severity of the ongoing COVID-19 pandemic, including disease due to variants with relative or absolute resistance to other products, or an increase in available alternative treatments for or widespread immunity to COVID-19, could reduce the total addressable market for our lead product candidate for the treatment and prevention of COVID-19. Similarly, if new SARS-CoV-2 variants are less impacted by ADG20 and its mechanism of action than expected and such variants become more prevalent in the ongoing pandemic, the number of patients that we will be able to successfully treat with ADG20, if approved, will be decreased.</w:t>
      </w:r>
    </w:p>
    <w:p>
      <w:pPr>
        <w:spacing w:after="0" w:line="176"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third-party to model the future populations susceptible to and immune from SARS-CoV-2, based on assumptions such as vaccine adoption, efficacy, duration of effect, viral infectiousness and other factors we cannot control. Accordingly, these estimates included in this prospectus may turn out to be inaccurate.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89" w:lineRule="exact"/>
        <w:rPr>
          <w:sz w:val="20"/>
          <w:szCs w:val="20"/>
          <w:color w:val="auto"/>
        </w:rPr>
      </w:pPr>
    </w:p>
    <w:p>
      <w:pPr>
        <w:ind w:left="560" w:right="20"/>
        <w:spacing w:after="0" w:line="375" w:lineRule="auto"/>
        <w:rPr>
          <w:sz w:val="20"/>
          <w:szCs w:val="20"/>
          <w:color w:val="auto"/>
        </w:rPr>
      </w:pPr>
      <w:r>
        <w:rPr>
          <w:rFonts w:ascii="Arial" w:cs="Arial" w:eastAsia="Arial" w:hAnsi="Arial"/>
          <w:sz w:val="15"/>
          <w:szCs w:val="15"/>
          <w:b w:val="1"/>
          <w:bCs w:val="1"/>
          <w:i w:val="1"/>
          <w:iCs w:val="1"/>
          <w:color w:val="32406B"/>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16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39</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295"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b w:val="1"/>
          <w:bCs w:val="1"/>
          <w:i w:val="1"/>
          <w:iCs w:val="1"/>
          <w:color w:val="32406B"/>
        </w:rPr>
        <w:t>ADG20 and our other monoclonal antibody product candidates may face significant competition from vaccines and other treatments for COVID-19 that are currently available or in development.</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therapeutics and vaccines for the treatment or prevention of COVID-19 developed or marketed by other companies, many of which are large, established biotechnology and pharmaceutical companies.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therapeutic, we may not be able to successfully commercialize ADG20 for the treatment and prevention of symptomatic COVID-19, even if approved, or compete with other treatments or vaccines, which could adversely impact our business and operations.</w:t>
      </w:r>
    </w:p>
    <w:p>
      <w:pPr>
        <w:spacing w:after="0" w:line="18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Mergers and acquisitions in the pharmaceutical and biotechnology industries could result in even more resources being concentrated among a small number of our competitors.</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76"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develop and commercialize drugs that are differentiated from products in the market;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demonstrate through our clinical trials that our product candidates are differentiated from existing and future therapies;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attract qualified scientific, product development and commercial personnel;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obtain patent or other proprietary protection for our medicines;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obtain required regulatory approvals;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obtain placement in COVID-19 treatment and prevention guidelines from organizations such as the CDC, WHO and the Infectious Diseases Society of America, or IDSA, and equivalent European guidelines;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36"/>
        </w:numPr>
        <w:rPr>
          <w:rFonts w:ascii="Arial" w:cs="Arial" w:eastAsia="Arial" w:hAnsi="Arial"/>
          <w:sz w:val="18"/>
          <w:szCs w:val="18"/>
          <w:color w:val="32406B"/>
        </w:rPr>
      </w:pPr>
      <w:r>
        <w:rPr>
          <w:rFonts w:ascii="Arial" w:cs="Arial" w:eastAsia="Arial" w:hAnsi="Arial"/>
          <w:sz w:val="18"/>
          <w:szCs w:val="18"/>
          <w:color w:val="32406B"/>
        </w:rPr>
        <w:t>obtain coverage and adequate reimbursement from, and negotiate competitive pricing with, third-party payors;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6"/>
        </w:numPr>
        <w:rPr>
          <w:rFonts w:ascii="Arial" w:cs="Arial" w:eastAsia="Arial" w:hAnsi="Arial"/>
          <w:sz w:val="17"/>
          <w:szCs w:val="17"/>
          <w:color w:val="32406B"/>
        </w:rPr>
      </w:pPr>
      <w:r>
        <w:rPr>
          <w:rFonts w:ascii="Arial" w:cs="Arial" w:eastAsia="Arial" w:hAnsi="Arial"/>
          <w:sz w:val="17"/>
          <w:szCs w:val="17"/>
          <w:color w:val="32406B"/>
        </w:rPr>
        <w:t>successfully collaborate with pharmaceutical companies in the discovery, development and commercialization of new medicines.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40</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Government entities, such as the Centers for Disease Control and Prevention, or CDC,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ADG20 fails to be added to these guidelines, or if it receives poor positioning within those guidelines, payors and other customers may be less inclined to add ADG20 to their formularies, significantly reducing demand for ADG20, if approved.</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32406B"/>
        </w:rPr>
        <w:t>Any product candidates for which we intend to seek approval as biologic products may face biosimilar competition sooner than anticipated.</w:t>
      </w:r>
    </w:p>
    <w:p>
      <w:pPr>
        <w:spacing w:after="0" w:line="15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86"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41</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32406B"/>
        </w:rPr>
        <w:t>The success of our product candidates will depend significantly on coverage and adequate reimbursement or the willingness of patients to pay for these therapies.</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We believe our success depends on obtaining and maintaining coverage and adequate reimbursement for our product candidates, including ADG20 for the treatment and prevention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6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treatment and prevention of COVID-19, including guidance regarding the use of monoclonal antibodies in these indications. If ADG20 fails to be added to these guidelines, or if it receives poor positioning within these guidelines, payors and other customers may be less inclined to add ADG20 to their formularies, significantly reducing demand for ADG20, if approved.</w:t>
      </w:r>
    </w:p>
    <w:p>
      <w:pPr>
        <w:spacing w:after="0" w:line="19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32406B"/>
        </w:rPr>
        <w:t>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There can be no assurance that ADG20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79"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32406B"/>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7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decreased demand for any product candidates or drugs that we may develop;</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injury to our reputation and significant negative media attention;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withdrawal of clinical trial participants;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significant costs to defend the related litigation;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substantial monetary awards paid to trial participants or patients;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loss of revenue;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exhaustion of any available insurance and our capital resources;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reduced resources of our management to pursue our business strategy;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7"/>
        </w:numPr>
        <w:rPr>
          <w:rFonts w:ascii="Arial" w:cs="Arial" w:eastAsia="Arial" w:hAnsi="Arial"/>
          <w:sz w:val="18"/>
          <w:szCs w:val="18"/>
          <w:color w:val="32406B"/>
        </w:rPr>
      </w:pPr>
      <w:r>
        <w:rPr>
          <w:rFonts w:ascii="Arial" w:cs="Arial" w:eastAsia="Arial" w:hAnsi="Arial"/>
          <w:sz w:val="18"/>
          <w:szCs w:val="18"/>
          <w:color w:val="32406B"/>
        </w:rPr>
        <w:t>the inability to commercialize any products that we may develop.</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32406B"/>
        </w:rPr>
        <w:t>Our business and operations would suffer in the event of computer system failures, cyberattacks or a deficiency in our or our CDMO’s, CROs’, manufacturers’ contractors’, consultants’ or collaborators’ cybersecurity.</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Despite the implementation of security measures, our internal computer systems, and those of third parties on which we rely, are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w:t>
      </w:r>
    </w:p>
    <w:p>
      <w:pPr>
        <w:spacing w:after="0" w:line="18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6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192"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44</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and commercialization of our product candidates could be delayed and we could be subject to significant fines or penalties for any noncompliance with applicable state, federal and foreign privacy and security laws, rules, regulations and standards.</w:t>
      </w:r>
    </w:p>
    <w:p>
      <w:pPr>
        <w:spacing w:after="0" w:line="278"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32406B"/>
        </w:rPr>
        <w:t>We are subject to a variety of privacy and data security laws, rules, regulations, policies, industry standards and contractual obligations, and our failure to comply with them could harm our business.</w:t>
      </w:r>
    </w:p>
    <w:p>
      <w:pPr>
        <w:spacing w:after="0" w:line="6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w:t>
      </w:r>
    </w:p>
    <w:p>
      <w:pPr>
        <w:spacing w:after="0" w:line="17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45</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United Kingdom may continue to take place without a need for additional safeguards during a further transition period, which expires on the earlier of</w:t>
      </w:r>
    </w:p>
    <w:p>
      <w:pPr>
        <w:spacing w:after="0" w:line="46" w:lineRule="exact"/>
        <w:rPr>
          <w:sz w:val="20"/>
          <w:szCs w:val="20"/>
          <w:color w:val="auto"/>
        </w:rPr>
      </w:pPr>
    </w:p>
    <w:p>
      <w:pPr>
        <w:jc w:val="both"/>
        <w:ind w:left="120" w:right="20" w:hanging="4"/>
        <w:spacing w:after="0" w:line="270" w:lineRule="auto"/>
        <w:tabs>
          <w:tab w:leader="none" w:pos="356"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the date on which an adequacy decision with respect to the United Kingdom is adopted by the European Commission; or (ii) the expiry of four months, which shall be extended by a further two months unless either the European Union or the United Kingdom objects. On February 19, 2021 the European Commission published its draft decision finding the United Kingdom to be adequate under the GDPR, though it remains unclear whether the European Commission will formally adopt an adequacy decision with respect to the United Kingdom. In the absence of such decision, after the expiry of the additional transition period we may need to put in place additional safeguards for transfers of personal data from the European Union to the United Kingdom, such as standard contractual clauses approved by the European Commission.</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the California Privacy Rights Act, or the CPRA, recently passed in California and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w:t>
      </w:r>
    </w:p>
    <w:p>
      <w:pPr>
        <w:spacing w:after="0" w:line="17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With the GDPR, CCPA, CPRA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273"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32406B"/>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We and any contract manufacturers and suppliers we engage are subject to numerous federal, state and local environmental, health and safety laws, regulations and permitting requirements, including those governing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32406B"/>
        </w:rPr>
        <w:t>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66"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Our Dependence on Third Parties</w:t>
      </w:r>
    </w:p>
    <w:p>
      <w:pPr>
        <w:spacing w:after="0" w:line="121" w:lineRule="exact"/>
        <w:rPr>
          <w:sz w:val="20"/>
          <w:szCs w:val="20"/>
          <w:color w:val="auto"/>
        </w:rPr>
      </w:pPr>
    </w:p>
    <w:p>
      <w:pPr>
        <w:ind w:left="560" w:right="160"/>
        <w:spacing w:after="0" w:line="301" w:lineRule="auto"/>
        <w:rPr>
          <w:sz w:val="20"/>
          <w:szCs w:val="20"/>
          <w:color w:val="auto"/>
        </w:rPr>
      </w:pPr>
      <w:r>
        <w:rPr>
          <w:rFonts w:ascii="Arial" w:cs="Arial" w:eastAsia="Arial" w:hAnsi="Arial"/>
          <w:sz w:val="16"/>
          <w:szCs w:val="16"/>
          <w:b w:val="1"/>
          <w:bCs w:val="1"/>
          <w:i w:val="1"/>
          <w:iCs w:val="1"/>
          <w:color w:val="32406B"/>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4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We have engaged CROs and other third parties to conduct our planned preclinical studies or clinical trials, including our ongoing clinical trials of ADG20,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16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47</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32406B"/>
        </w:rPr>
        <w:t>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82"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32406B"/>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2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ADG20 or any other product candidates.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92"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b w:val="1"/>
          <w:bCs w:val="1"/>
          <w:i w:val="1"/>
          <w:iCs w:val="1"/>
          <w:color w:val="32406B"/>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48</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Collaborations involving our product candidates would pose the following risks to us:</w:t>
      </w:r>
    </w:p>
    <w:p>
      <w:pPr>
        <w:spacing w:after="0" w:line="13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collaborators may not perform their obligations as expected;</w:t>
      </w:r>
    </w:p>
    <w:p>
      <w:pPr>
        <w:spacing w:after="0" w:line="130" w:lineRule="exact"/>
        <w:rPr>
          <w:rFonts w:ascii="Arial" w:cs="Arial" w:eastAsia="Arial" w:hAnsi="Arial"/>
          <w:sz w:val="18"/>
          <w:szCs w:val="18"/>
          <w:color w:val="32406B"/>
        </w:rPr>
      </w:pPr>
    </w:p>
    <w:p>
      <w:pPr>
        <w:jc w:val="both"/>
        <w:ind w:left="1080" w:right="20" w:hanging="532"/>
        <w:spacing w:after="0" w:line="311" w:lineRule="auto"/>
        <w:tabs>
          <w:tab w:leader="none" w:pos="1080" w:val="left"/>
        </w:tabs>
        <w:numPr>
          <w:ilvl w:val="0"/>
          <w:numId w:val="39"/>
        </w:numPr>
        <w:rPr>
          <w:rFonts w:ascii="Arial" w:cs="Arial" w:eastAsia="Arial" w:hAnsi="Arial"/>
          <w:sz w:val="16"/>
          <w:szCs w:val="16"/>
          <w:color w:val="32406B"/>
        </w:rPr>
      </w:pPr>
      <w:r>
        <w:rPr>
          <w:rFonts w:ascii="Arial" w:cs="Arial" w:eastAsia="Arial" w:hAnsi="Arial"/>
          <w:sz w:val="16"/>
          <w:szCs w:val="16"/>
          <w:color w:val="32406B"/>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32406B"/>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we could grant exclusive rights to our collaborators that would prevent us from collaborating with others;</w:t>
      </w:r>
    </w:p>
    <w:p>
      <w:pPr>
        <w:spacing w:after="0" w:line="130" w:lineRule="exact"/>
        <w:rPr>
          <w:rFonts w:ascii="Arial" w:cs="Arial" w:eastAsia="Arial" w:hAnsi="Arial"/>
          <w:sz w:val="18"/>
          <w:szCs w:val="18"/>
          <w:color w:val="32406B"/>
        </w:rPr>
      </w:pPr>
    </w:p>
    <w:p>
      <w:pPr>
        <w:ind w:left="1080" w:right="20" w:hanging="532"/>
        <w:spacing w:after="0" w:line="308" w:lineRule="auto"/>
        <w:tabs>
          <w:tab w:leader="none" w:pos="108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1"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a collaborator with marketing and distribution rights to one or more of our product candidates that achieve regulatory approval may not commit sufficient resources to the marketing and distribution of such products;</w:t>
      </w:r>
    </w:p>
    <w:p>
      <w:pPr>
        <w:spacing w:after="0" w:line="75" w:lineRule="exact"/>
        <w:rPr>
          <w:rFonts w:ascii="Arial" w:cs="Arial" w:eastAsia="Arial" w:hAnsi="Arial"/>
          <w:sz w:val="18"/>
          <w:szCs w:val="18"/>
          <w:color w:val="32406B"/>
        </w:rPr>
      </w:pPr>
    </w:p>
    <w:p>
      <w:pPr>
        <w:jc w:val="both"/>
        <w:ind w:left="1080" w:right="20" w:hanging="532"/>
        <w:spacing w:after="0" w:line="259"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collaborators may infringe the intellectual property rights of third parties, which may expose us to litigation and potential liability; and</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39"/>
        </w:numPr>
        <w:rPr>
          <w:rFonts w:ascii="Arial" w:cs="Arial" w:eastAsia="Arial" w:hAnsi="Arial"/>
          <w:sz w:val="18"/>
          <w:szCs w:val="18"/>
          <w:color w:val="32406B"/>
        </w:rPr>
      </w:pPr>
      <w:r>
        <w:rPr>
          <w:rFonts w:ascii="Arial" w:cs="Arial" w:eastAsia="Arial" w:hAnsi="Arial"/>
          <w:sz w:val="18"/>
          <w:szCs w:val="18"/>
          <w:color w:val="32406B"/>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49</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32406B"/>
        </w:rPr>
        <w:t>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Our Intellectual Property</w:t>
      </w:r>
    </w:p>
    <w:p>
      <w:pPr>
        <w:spacing w:after="0" w:line="121"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b w:val="1"/>
          <w:bCs w:val="1"/>
          <w:i w:val="1"/>
          <w:iCs w:val="1"/>
          <w:color w:val="32406B"/>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Although we own a number of pending patent applications that have not yet issued as patents, we do not own or license any issued patents with claims directed to our product candidates, including ADG20, and we may not be successful in prosecuting our filed patent applications. Accordingly, there can be no assurance that we will be able to obtain patent protection for any of our product candidates, including ADG20.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strength of patents in the biotechnology and pharmaceutical field involves complex legal and scientific questions and can be uncertain. We cannot offer any assurances about which of our patent applications will issue,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50</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32406B"/>
        </w:rPr>
        <w:t>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17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19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32406B"/>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165"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If we are unable to protect the confidentiality of our trade secrets, our business and competitive position would be harmed.</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51</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32406B"/>
        </w:rPr>
        <w:t>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181"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16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18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also seek to preserve the integrity and confidentiality of our data and trade secrets by maintaining physical security of our premises and physical and electronic security of our information technology systems.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Monitoring unauthorized uses and disclosures is difficult, and we do not know whether the steps we have taken to protect our proprietary technologies will be effective.</w:t>
      </w:r>
    </w:p>
    <w:p>
      <w:pPr>
        <w:spacing w:after="0" w:line="170"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52</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32406B"/>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7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284" w:lineRule="exact"/>
        <w:rPr>
          <w:sz w:val="20"/>
          <w:szCs w:val="20"/>
          <w:color w:val="auto"/>
        </w:rPr>
      </w:pPr>
    </w:p>
    <w:p>
      <w:pPr>
        <w:ind w:left="560" w:right="40"/>
        <w:spacing w:after="0" w:line="375" w:lineRule="auto"/>
        <w:rPr>
          <w:sz w:val="20"/>
          <w:szCs w:val="20"/>
          <w:color w:val="auto"/>
        </w:rPr>
      </w:pPr>
      <w:r>
        <w:rPr>
          <w:rFonts w:ascii="Arial" w:cs="Arial" w:eastAsia="Arial" w:hAnsi="Arial"/>
          <w:sz w:val="15"/>
          <w:szCs w:val="15"/>
          <w:b w:val="1"/>
          <w:bCs w:val="1"/>
          <w:i w:val="1"/>
          <w:iCs w:val="1"/>
          <w:color w:val="32406B"/>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53</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materially and adversely affected. For more information on the Adimab Assignment Agreement, see the section titled “Business—Licensing, Collaborations and Partnerships—Assignment and License Agreement with Adimab.” For more information regarding our relationship with Adimab, see the section titled “Certain Relationships and Related Party Transactions.”</w:t>
      </w:r>
    </w:p>
    <w:p>
      <w:pPr>
        <w:spacing w:after="0" w:line="292"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b w:val="1"/>
          <w:bCs w:val="1"/>
          <w:i w:val="1"/>
          <w:iCs w:val="1"/>
          <w:color w:val="32406B"/>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current and future collaborations and licenses could subject us to a number of risks, including:</w:t>
      </w:r>
    </w:p>
    <w:p>
      <w:pPr>
        <w:spacing w:after="0" w:line="131"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we may be required to undertake the expenditure of substantial operational, financial and management resources;</w:t>
      </w:r>
    </w:p>
    <w:p>
      <w:pPr>
        <w:spacing w:after="0" w:line="130" w:lineRule="exact"/>
        <w:rPr>
          <w:rFonts w:ascii="Arial" w:cs="Arial" w:eastAsia="Arial" w:hAnsi="Arial"/>
          <w:sz w:val="18"/>
          <w:szCs w:val="18"/>
          <w:color w:val="32406B"/>
        </w:rPr>
      </w:pPr>
    </w:p>
    <w:p>
      <w:pPr>
        <w:jc w:val="both"/>
        <w:ind w:left="1080" w:right="20" w:hanging="532"/>
        <w:spacing w:after="0" w:line="257" w:lineRule="auto"/>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93" w:lineRule="exact"/>
        <w:rPr>
          <w:rFonts w:ascii="Arial" w:cs="Arial" w:eastAsia="Arial" w:hAnsi="Arial"/>
          <w:sz w:val="18"/>
          <w:szCs w:val="18"/>
          <w:color w:val="32406B"/>
        </w:rPr>
      </w:pPr>
    </w:p>
    <w:p>
      <w:pPr>
        <w:ind w:left="1080" w:hanging="532"/>
        <w:spacing w:after="0"/>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we may be required to issue equity securities that would dilute our stockholders’ percentage ownership of our company;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we may be required to assume substantial actual or contingent liabilities;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32406B"/>
        </w:rPr>
      </w:pPr>
    </w:p>
    <w:p>
      <w:pPr>
        <w:jc w:val="both"/>
        <w:ind w:left="1080" w:hanging="532"/>
        <w:spacing w:after="0" w:line="257" w:lineRule="auto"/>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93" w:lineRule="exact"/>
        <w:rPr>
          <w:rFonts w:ascii="Arial" w:cs="Arial" w:eastAsia="Arial" w:hAnsi="Arial"/>
          <w:sz w:val="18"/>
          <w:szCs w:val="18"/>
          <w:color w:val="32406B"/>
        </w:rPr>
      </w:pPr>
    </w:p>
    <w:p>
      <w:pPr>
        <w:ind w:left="1080" w:hanging="532"/>
        <w:spacing w:after="0"/>
        <w:tabs>
          <w:tab w:leader="none" w:pos="1080" w:val="left"/>
        </w:tabs>
        <w:numPr>
          <w:ilvl w:val="0"/>
          <w:numId w:val="40"/>
        </w:numPr>
        <w:rPr>
          <w:rFonts w:ascii="Arial" w:cs="Arial" w:eastAsia="Arial" w:hAnsi="Arial"/>
          <w:sz w:val="17"/>
          <w:szCs w:val="17"/>
          <w:color w:val="32406B"/>
        </w:rPr>
      </w:pPr>
      <w:r>
        <w:rPr>
          <w:rFonts w:ascii="Arial" w:cs="Arial" w:eastAsia="Arial" w:hAnsi="Arial"/>
          <w:sz w:val="17"/>
          <w:szCs w:val="17"/>
          <w:color w:val="32406B"/>
        </w:rPr>
        <w:t>strategic collaborators may select indications or design clinical trials in a way that may be less successful than if we were doing so;</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40"/>
        </w:numPr>
        <w:rPr>
          <w:rFonts w:ascii="Arial" w:cs="Arial" w:eastAsia="Arial" w:hAnsi="Arial"/>
          <w:sz w:val="18"/>
          <w:szCs w:val="18"/>
          <w:color w:val="32406B"/>
        </w:rPr>
      </w:pPr>
      <w:r>
        <w:rPr>
          <w:rFonts w:ascii="Arial" w:cs="Arial" w:eastAsia="Arial" w:hAnsi="Arial"/>
          <w:sz w:val="18"/>
          <w:szCs w:val="18"/>
          <w:color w:val="32406B"/>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54</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strategic collaborators may not commit adequate resources to the marketing and distribution of our product candidates, limiting our potential revenue from these products;</w:t>
      </w:r>
    </w:p>
    <w:p>
      <w:pPr>
        <w:spacing w:after="0" w:line="75"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strategic collaborators may experience financial difficulties;</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business combinations or significant changes in a strategic collaborator’s business strategy may adversely affect a strategic collaborator’s willingness or ability to complete its obligations under any arrangement;</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1"/>
        </w:numPr>
        <w:rPr>
          <w:rFonts w:ascii="Arial" w:cs="Arial" w:eastAsia="Arial" w:hAnsi="Arial"/>
          <w:sz w:val="18"/>
          <w:szCs w:val="18"/>
          <w:color w:val="32406B"/>
        </w:rPr>
      </w:pPr>
      <w:r>
        <w:rPr>
          <w:rFonts w:ascii="Arial" w:cs="Arial" w:eastAsia="Arial" w:hAnsi="Arial"/>
          <w:sz w:val="18"/>
          <w:szCs w:val="18"/>
          <w:color w:val="32406B"/>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5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284"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32406B"/>
        </w:rPr>
        <w:t>Patent reform legislation could increase the uncertainties and costs surrounding the prosecution of our patent applications and licensed patents, and the enforcement or defense of our licensed patents or future owned patents.</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and factual issues. Changes in either patent laws or interpretations of patent laws in the United States and other countries may diminish the value of our intellectual property or narrow the scope of our patent protection.</w:t>
      </w:r>
    </w:p>
    <w:p>
      <w:pPr>
        <w:spacing w:after="0" w:line="170"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32406B"/>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32406B"/>
        </w:rPr>
        <w:t xml:space="preserve">inter partes </w:t>
      </w:r>
      <w:r>
        <w:rPr>
          <w:rFonts w:ascii="Arial" w:cs="Arial" w:eastAsia="Arial" w:hAnsi="Arial"/>
          <w:sz w:val="17"/>
          <w:szCs w:val="17"/>
          <w:color w:val="32406B"/>
        </w:rPr>
        <w:t>review and derivation proceedings. Finally, the Leahy-Smith Act contained new statutory provisions that require the USPTO to issue new</w:t>
      </w:r>
      <w:r>
        <w:rPr>
          <w:rFonts w:ascii="Arial" w:cs="Arial" w:eastAsia="Arial" w:hAnsi="Arial"/>
          <w:sz w:val="17"/>
          <w:szCs w:val="17"/>
          <w:i w:val="1"/>
          <w:iCs w:val="1"/>
          <w:color w:val="32406B"/>
        </w:rPr>
        <w:t xml:space="preserve"> </w:t>
      </w:r>
      <w:r>
        <w:rPr>
          <w:rFonts w:ascii="Arial" w:cs="Arial" w:eastAsia="Arial" w:hAnsi="Arial"/>
          <w:sz w:val="17"/>
          <w:szCs w:val="17"/>
          <w:color w:val="32406B"/>
        </w:rPr>
        <w:t>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9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74"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b w:val="1"/>
          <w:bCs w:val="1"/>
          <w:i w:val="1"/>
          <w:iCs w:val="1"/>
          <w:color w:val="32406B"/>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56</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licensed or future owned patents at risk of being invalidated, held unenforceable or interpreted narrowly, and could put any of our owned or licensed patent applications at risk of not yielding an issued patent.</w:t>
      </w:r>
    </w:p>
    <w:p>
      <w:pPr>
        <w:spacing w:after="0" w:line="170"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32406B"/>
        </w:rPr>
        <w:t xml:space="preserve">inter partes </w:t>
      </w:r>
      <w:r>
        <w:rPr>
          <w:rFonts w:ascii="Arial" w:cs="Arial" w:eastAsia="Arial" w:hAnsi="Arial"/>
          <w:sz w:val="17"/>
          <w:szCs w:val="17"/>
          <w:color w:val="32406B"/>
        </w:rPr>
        <w:t>review and equivalent proceedings in foreign jurisdictions (for example, opposition proceedings, nullity proceedings or litigation or</w:t>
      </w:r>
      <w:r>
        <w:rPr>
          <w:rFonts w:ascii="Arial" w:cs="Arial" w:eastAsia="Arial" w:hAnsi="Arial"/>
          <w:sz w:val="17"/>
          <w:szCs w:val="17"/>
          <w:i w:val="1"/>
          <w:iCs w:val="1"/>
          <w:color w:val="32406B"/>
        </w:rPr>
        <w:t xml:space="preserve"> </w:t>
      </w:r>
      <w:r>
        <w:rPr>
          <w:rFonts w:ascii="Arial" w:cs="Arial" w:eastAsia="Arial" w:hAnsi="Arial"/>
          <w:sz w:val="17"/>
          <w:szCs w:val="17"/>
          <w:color w:val="32406B"/>
        </w:rPr>
        <w:t>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184"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32406B"/>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ADG20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190"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57</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184"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32406B"/>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ADG20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ADG20, and a third party may claim that our development or commercialization of ADG20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ADG20, which may not be feasible on a technical or commercial basis in a timely manner, and we may have to delay or abandon development of ADG20, which could have a material adverse effect on our business.</w:t>
      </w:r>
    </w:p>
    <w:p>
      <w:pPr>
        <w:spacing w:after="0" w:line="17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27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32406B"/>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jc w:val="both"/>
        <w:ind w:left="120" w:right="20" w:firstLine="440"/>
        <w:spacing w:after="0" w:line="268" w:lineRule="auto"/>
        <w:rPr>
          <w:sz w:val="20"/>
          <w:szCs w:val="20"/>
          <w:color w:val="auto"/>
        </w:rPr>
      </w:pPr>
      <w:r>
        <w:rPr>
          <w:rFonts w:ascii="Arial" w:cs="Arial" w:eastAsia="Arial" w:hAnsi="Arial"/>
          <w:sz w:val="17"/>
          <w:szCs w:val="17"/>
          <w:color w:val="32406B"/>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58</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32406B"/>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 xml:space="preserve">Our commercial success depends in part on our ability to develop, manufacture, market and sell our product candidates and use our proprietary technologies without infringing, misappropriating or otherwise violating the patents and proprietary rights of third parties. As our current and future product candidates progress toward commercialization, the possibility of a patent infringement claim against us increases. There is a substantial amount of litigation involving patents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32406B"/>
        </w:rPr>
        <w:t>inter partes</w:t>
      </w:r>
      <w:r>
        <w:rPr>
          <w:rFonts w:ascii="Arial" w:cs="Arial" w:eastAsia="Arial" w:hAnsi="Arial"/>
          <w:sz w:val="17"/>
          <w:szCs w:val="17"/>
          <w:color w:val="32406B"/>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or other intellectual property rights.</w:t>
      </w:r>
    </w:p>
    <w:p>
      <w:pPr>
        <w:spacing w:after="0" w:line="18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 xml:space="preserve">We cannot provide any assurance that our current and future product candidates do not infringe, misappropriate or otherwise violate other parties’ patents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Arial" w:cs="Arial" w:eastAsia="Arial" w:hAnsi="Arial"/>
          <w:sz w:val="16"/>
          <w:szCs w:val="16"/>
          <w:i w:val="1"/>
          <w:iCs w:val="1"/>
          <w:color w:val="32406B"/>
        </w:rPr>
        <w:t>inter partes</w:t>
      </w:r>
      <w:r>
        <w:rPr>
          <w:rFonts w:ascii="Arial" w:cs="Arial" w:eastAsia="Arial" w:hAnsi="Arial"/>
          <w:sz w:val="16"/>
          <w:szCs w:val="16"/>
          <w:color w:val="32406B"/>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ADG20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7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59</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32406B"/>
        </w:rPr>
        <w:t>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7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32406B"/>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32406B"/>
        </w:rPr>
        <w:t>We may be subject to claims challenging the inventorship or ownership of our future patents and other intellectual property.</w:t>
      </w:r>
    </w:p>
    <w:p>
      <w:pPr>
        <w:spacing w:after="0" w:line="1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60</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32406B"/>
        </w:rPr>
        <w:t>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9"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32406B"/>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6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90"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32406B"/>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Filing and prosecuting patent applications and defending patents covering our product candidates in all countries throughout the world would be prohibitively expensive. Competitors may use our technologies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61</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5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19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For example, our license agreement with Biocon pursuant to which we will provide Biocon materials and know-how to manufacture and commercialize an antibody treatment based on ADG20 in India and select emerging markets may also expose us to risks related to enforcement of our intellectual property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62</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320"/>
        <w:spacing w:after="0" w:line="263" w:lineRule="auto"/>
        <w:rPr>
          <w:sz w:val="20"/>
          <w:szCs w:val="20"/>
          <w:color w:val="auto"/>
        </w:rPr>
      </w:pPr>
      <w:r>
        <w:rPr>
          <w:rFonts w:ascii="Arial" w:cs="Arial" w:eastAsia="Arial" w:hAnsi="Arial"/>
          <w:sz w:val="18"/>
          <w:szCs w:val="18"/>
          <w:b w:val="1"/>
          <w:bCs w:val="1"/>
          <w:i w:val="1"/>
          <w:iCs w:val="1"/>
          <w:color w:val="32406B"/>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7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32406B"/>
        </w:rPr>
        <w:t>Any trademarks we have obtained or may obtain may be infringed or otherwise violated, or successfully challenged, resulting in harm to our business.</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We expect to rely on trademarks as one means to distinguish our product candidates, if approved for marketing, from the drugs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Intellectual property rights do not necessarily address all potential threats to our competitive advantage.</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2" w:lineRule="exact"/>
        <w:rPr>
          <w:sz w:val="20"/>
          <w:szCs w:val="20"/>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others may be able to make products that are similar to or otherwise competitive with our product candidates but that are not covered by the claims of any of our patents, should they issue;</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an in-license necessary for the manufacture, use, sale, offer for sale or importation of one or more of our product candidates may be terminated by the licensor;</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32406B"/>
        </w:rPr>
      </w:pPr>
      <w:r>
        <w:rPr>
          <w:rFonts w:ascii="Arial" w:cs="Arial" w:eastAsia="Arial" w:hAnsi="Arial"/>
          <w:sz w:val="18"/>
          <w:szCs w:val="18"/>
          <w:color w:val="32406B"/>
        </w:rPr>
        <w:t>we or our collaborators might not have been the first to make the inventions covered by our future issued patents or our pending patent applications;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63</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we or our collaborators might not have been the first to file patent applications covering certain of our inventions;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others may independently develop similar or alternative technologies or duplicate any of our technologies without infringing, misappropriating or otherwise violating our intellectual property rights;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it is possible that our pending patent applications will not lead to issued patents;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3"/>
        </w:numPr>
        <w:rPr>
          <w:rFonts w:ascii="Arial" w:cs="Arial" w:eastAsia="Arial" w:hAnsi="Arial"/>
          <w:sz w:val="17"/>
          <w:szCs w:val="17"/>
          <w:color w:val="32406B"/>
        </w:rPr>
      </w:pPr>
      <w:r>
        <w:rPr>
          <w:rFonts w:ascii="Arial" w:cs="Arial" w:eastAsia="Arial" w:hAnsi="Arial"/>
          <w:sz w:val="17"/>
          <w:szCs w:val="17"/>
          <w:color w:val="32406B"/>
        </w:rPr>
        <w:t>issued patents that we own or in-license may be held invalid or unenforceable as a result of legal challenges by our competitors;</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issued patents that we own or in-license may not provide coverage for all aspects of our product candidates in all countries;</w:t>
      </w:r>
    </w:p>
    <w:p>
      <w:pPr>
        <w:spacing w:after="0" w:line="130" w:lineRule="exact"/>
        <w:rPr>
          <w:rFonts w:ascii="Arial" w:cs="Arial" w:eastAsia="Arial" w:hAnsi="Arial"/>
          <w:sz w:val="18"/>
          <w:szCs w:val="18"/>
          <w:color w:val="32406B"/>
        </w:rPr>
      </w:pPr>
    </w:p>
    <w:p>
      <w:pPr>
        <w:jc w:val="both"/>
        <w:ind w:left="1080" w:right="20" w:hanging="532"/>
        <w:spacing w:after="0" w:line="311" w:lineRule="auto"/>
        <w:tabs>
          <w:tab w:leader="none" w:pos="1080" w:val="left"/>
        </w:tabs>
        <w:numPr>
          <w:ilvl w:val="0"/>
          <w:numId w:val="43"/>
        </w:numPr>
        <w:rPr>
          <w:rFonts w:ascii="Arial" w:cs="Arial" w:eastAsia="Arial" w:hAnsi="Arial"/>
          <w:sz w:val="16"/>
          <w:szCs w:val="16"/>
          <w:color w:val="32406B"/>
        </w:rPr>
      </w:pPr>
      <w:r>
        <w:rPr>
          <w:rFonts w:ascii="Arial" w:cs="Arial" w:eastAsia="Arial" w:hAnsi="Arial"/>
          <w:sz w:val="16"/>
          <w:szCs w:val="16"/>
          <w:color w:val="32406B"/>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32406B"/>
        </w:rPr>
      </w:pPr>
    </w:p>
    <w:p>
      <w:pPr>
        <w:ind w:left="1080" w:hanging="532"/>
        <w:spacing w:after="0"/>
        <w:tabs>
          <w:tab w:leader="none" w:pos="10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we may not develop additional proprietary technologies that are patentable;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3"/>
        </w:numPr>
        <w:rPr>
          <w:rFonts w:ascii="Arial" w:cs="Arial" w:eastAsia="Arial" w:hAnsi="Arial"/>
          <w:sz w:val="18"/>
          <w:szCs w:val="18"/>
          <w:color w:val="32406B"/>
        </w:rPr>
      </w:pPr>
      <w:r>
        <w:rPr>
          <w:rFonts w:ascii="Arial" w:cs="Arial" w:eastAsia="Arial" w:hAnsi="Arial"/>
          <w:sz w:val="18"/>
          <w:szCs w:val="18"/>
          <w:color w:val="32406B"/>
        </w:rPr>
        <w:t>the patents of others may have an adverse effect on our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Should any of these events occur, they could significantly harm our business, results of operations and prospects.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Legal and Regulatory Compliance Matters</w:t>
      </w:r>
    </w:p>
    <w:p>
      <w:pPr>
        <w:spacing w:after="0" w:line="121"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32406B"/>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7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97" w:lineRule="exact"/>
        <w:rPr>
          <w:sz w:val="20"/>
          <w:szCs w:val="20"/>
          <w:color w:val="auto"/>
        </w:rPr>
      </w:pPr>
    </w:p>
    <w:p>
      <w:pPr>
        <w:jc w:val="both"/>
        <w:ind w:left="1080" w:hanging="532"/>
        <w:spacing w:after="0" w:line="254" w:lineRule="auto"/>
        <w:tabs>
          <w:tab w:leader="none" w:pos="1080" w:val="left"/>
        </w:tabs>
        <w:numPr>
          <w:ilvl w:val="0"/>
          <w:numId w:val="44"/>
        </w:numPr>
        <w:rPr>
          <w:rFonts w:ascii="Arial" w:cs="Arial" w:eastAsia="Arial" w:hAnsi="Arial"/>
          <w:sz w:val="18"/>
          <w:szCs w:val="18"/>
          <w:color w:val="32406B"/>
        </w:rPr>
      </w:pPr>
      <w:r>
        <w:rPr>
          <w:rFonts w:ascii="Arial" w:cs="Arial" w:eastAsia="Arial" w:hAnsi="Arial"/>
          <w:sz w:val="18"/>
          <w:szCs w:val="18"/>
          <w:color w:val="32406B"/>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64</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32406B"/>
        </w:rPr>
        <w:t>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76" w:lineRule="exact"/>
        <w:rPr>
          <w:sz w:val="20"/>
          <w:szCs w:val="20"/>
          <w:color w:val="auto"/>
        </w:rPr>
      </w:pPr>
    </w:p>
    <w:p>
      <w:pPr>
        <w:jc w:val="both"/>
        <w:ind w:left="1080" w:hanging="532"/>
        <w:spacing w:after="0" w:line="287" w:lineRule="auto"/>
        <w:tabs>
          <w:tab w:leader="none" w:pos="1080" w:val="left"/>
        </w:tabs>
        <w:numPr>
          <w:ilvl w:val="0"/>
          <w:numId w:val="45"/>
        </w:numPr>
        <w:rPr>
          <w:rFonts w:ascii="Arial" w:cs="Arial" w:eastAsia="Arial" w:hAnsi="Arial"/>
          <w:sz w:val="16"/>
          <w:szCs w:val="16"/>
          <w:color w:val="32406B"/>
        </w:rPr>
      </w:pPr>
      <w:r>
        <w:rPr>
          <w:rFonts w:ascii="Arial" w:cs="Arial" w:eastAsia="Arial" w:hAnsi="Arial"/>
          <w:sz w:val="16"/>
          <w:szCs w:val="16"/>
          <w:color w:val="32406B"/>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77" w:lineRule="exact"/>
        <w:rPr>
          <w:rFonts w:ascii="Arial" w:cs="Arial" w:eastAsia="Arial" w:hAnsi="Arial"/>
          <w:sz w:val="16"/>
          <w:szCs w:val="16"/>
          <w:color w:val="32406B"/>
        </w:rPr>
      </w:pPr>
    </w:p>
    <w:p>
      <w:pPr>
        <w:jc w:val="both"/>
        <w:ind w:left="1080" w:hanging="532"/>
        <w:spacing w:after="0" w:line="255" w:lineRule="auto"/>
        <w:tabs>
          <w:tab w:leader="none" w:pos="1080" w:val="left"/>
        </w:tabs>
        <w:numPr>
          <w:ilvl w:val="0"/>
          <w:numId w:val="45"/>
        </w:numPr>
        <w:rPr>
          <w:rFonts w:ascii="Arial" w:cs="Arial" w:eastAsia="Arial" w:hAnsi="Arial"/>
          <w:sz w:val="18"/>
          <w:szCs w:val="18"/>
          <w:color w:val="32406B"/>
        </w:rPr>
      </w:pPr>
      <w:r>
        <w:rPr>
          <w:rFonts w:ascii="Arial" w:cs="Arial" w:eastAsia="Arial" w:hAnsi="Arial"/>
          <w:sz w:val="18"/>
          <w:szCs w:val="18"/>
          <w:color w:val="32406B"/>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32406B"/>
        </w:rPr>
      </w:pPr>
    </w:p>
    <w:p>
      <w:pPr>
        <w:jc w:val="both"/>
        <w:ind w:left="1080" w:hanging="532"/>
        <w:spacing w:after="0" w:line="291" w:lineRule="auto"/>
        <w:tabs>
          <w:tab w:leader="none" w:pos="1080" w:val="left"/>
        </w:tabs>
        <w:numPr>
          <w:ilvl w:val="0"/>
          <w:numId w:val="45"/>
        </w:numPr>
        <w:rPr>
          <w:rFonts w:ascii="Arial" w:cs="Arial" w:eastAsia="Arial" w:hAnsi="Arial"/>
          <w:sz w:val="16"/>
          <w:szCs w:val="16"/>
          <w:color w:val="32406B"/>
        </w:rPr>
      </w:pPr>
      <w:r>
        <w:rPr>
          <w:rFonts w:ascii="Arial" w:cs="Arial" w:eastAsia="Arial" w:hAnsi="Arial"/>
          <w:sz w:val="16"/>
          <w:szCs w:val="16"/>
          <w:color w:val="32406B"/>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71" w:lineRule="exact"/>
        <w:rPr>
          <w:rFonts w:ascii="Arial" w:cs="Arial" w:eastAsia="Arial" w:hAnsi="Arial"/>
          <w:sz w:val="16"/>
          <w:szCs w:val="16"/>
          <w:color w:val="32406B"/>
        </w:rPr>
      </w:pPr>
    </w:p>
    <w:p>
      <w:pPr>
        <w:jc w:val="both"/>
        <w:ind w:left="1080" w:hanging="532"/>
        <w:spacing w:after="0" w:line="275" w:lineRule="auto"/>
        <w:tabs>
          <w:tab w:leader="none" w:pos="1080" w:val="left"/>
        </w:tabs>
        <w:numPr>
          <w:ilvl w:val="0"/>
          <w:numId w:val="45"/>
        </w:numPr>
        <w:rPr>
          <w:rFonts w:ascii="Arial" w:cs="Arial" w:eastAsia="Arial" w:hAnsi="Arial"/>
          <w:sz w:val="17"/>
          <w:szCs w:val="17"/>
          <w:color w:val="32406B"/>
        </w:rPr>
      </w:pPr>
      <w:r>
        <w:rPr>
          <w:rFonts w:ascii="Arial" w:cs="Arial" w:eastAsia="Arial" w:hAnsi="Arial"/>
          <w:sz w:val="17"/>
          <w:szCs w:val="17"/>
          <w:color w:val="32406B"/>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65</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303"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32406B"/>
        </w:rPr>
        <w:t>Even if we obtain regulatory approval for ADG20 or any future product candidates, they will remain subject to ongoing regulatory oversight, which may result in significant additional expense.</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Even if we obtain any regulatory approval for ADG20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ADG20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66</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If we fail to comply with applicable regulatory requirements following approval of ADG20 or any future product candidates, a regulatory authority may:</w:t>
      </w:r>
    </w:p>
    <w:p>
      <w:pPr>
        <w:spacing w:after="0" w:line="7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issue an untitled letter or warning letter asserting that we are in violation of the law;</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seek an injunction or impose administrative, civil or criminal penalties or monetary fines;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suspend or withdraw regulatory approval;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suspend any ongoing clinical trials;</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refuse to approve a pending marketing application or supplement to an approved application or comparable foreign marketing application (or any supplements thereto) submitted by us or our strategic partners;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restrict the marketing or manufacturing of the drug;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seize or detain the drug or otherwise require the withdrawal of the drug from the market;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refuse to permit the import or export of products or product candidates; 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6"/>
        </w:numPr>
        <w:rPr>
          <w:rFonts w:ascii="Arial" w:cs="Arial" w:eastAsia="Arial" w:hAnsi="Arial"/>
          <w:sz w:val="18"/>
          <w:szCs w:val="18"/>
          <w:color w:val="32406B"/>
        </w:rPr>
      </w:pPr>
      <w:r>
        <w:rPr>
          <w:rFonts w:ascii="Arial" w:cs="Arial" w:eastAsia="Arial" w:hAnsi="Arial"/>
          <w:sz w:val="18"/>
          <w:szCs w:val="18"/>
          <w:color w:val="32406B"/>
        </w:rPr>
        <w:t>refuse to allow us to enter into supply contracts, including government contracts.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Any government investigation of alleged violations of law could require us to expend significant time and resources in response and could generate negative publicity. The occurrence of any event or penalty described above may inhibit our ability to commercialize ADG20 or any future product candidates and harm our business, financial condition, results of operations and prospects.</w:t>
      </w:r>
    </w:p>
    <w:p>
      <w:pPr>
        <w:spacing w:after="0" w:line="292" w:lineRule="exact"/>
        <w:rPr>
          <w:sz w:val="20"/>
          <w:szCs w:val="20"/>
          <w:color w:val="auto"/>
        </w:rPr>
      </w:pPr>
    </w:p>
    <w:p>
      <w:pPr>
        <w:jc w:val="both"/>
        <w:ind w:left="560" w:right="640"/>
        <w:spacing w:after="0" w:line="375" w:lineRule="auto"/>
        <w:rPr>
          <w:sz w:val="20"/>
          <w:szCs w:val="20"/>
          <w:color w:val="auto"/>
        </w:rPr>
      </w:pPr>
      <w:r>
        <w:rPr>
          <w:rFonts w:ascii="Arial" w:cs="Arial" w:eastAsia="Arial" w:hAnsi="Arial"/>
          <w:sz w:val="15"/>
          <w:szCs w:val="15"/>
          <w:b w:val="1"/>
          <w:bCs w:val="1"/>
          <w:i w:val="1"/>
          <w:iCs w:val="1"/>
          <w:color w:val="32406B"/>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32406B"/>
        </w:rPr>
        <w:t>Healthcare legislative or regulatory reform measures may have a negative impact on our business and results of operations.</w:t>
      </w:r>
    </w:p>
    <w:p>
      <w:pPr>
        <w:spacing w:after="0" w:line="1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67</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judge for the United States District Court for the Northern District of Texas ruled that the ACA is unconstitutional in its entirety because the “individual mandate” was repealed by Congress as part of the Tax Act. Additionally, on December 18, 2019, the United States Court of Appeals for the Fifth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On February 10, 2021, the Biden administration withdrew the federal government’s support for overturning the ACA. Although the U.S. Supreme Court has not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However, COVID-19 relief legislation suspended the 2% Medicare sequester from May 1, 2020 through December 31, 2021.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68</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32406B"/>
        </w:rPr>
        <w:t>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was also delayed pending review by the Biden administration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December 28, 2020, the United States District Court for the Northern District of California issued a nationwide preliminary injunction against implementation of the interim final rule. The likelihood of implementation of any of the other Trump administration reform initiatives is uncertain, particularly in light of the recent U.S. presidential election.</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In addition, FDA regulations and guidance may be revised or reinterpreted by the FDA in ways that may significantly affect our business and our products. For example, the results of the 2020 U.S. Presidential election may impact our business and industry.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interpreted and implemented, or whether they will be rescinded and replaced under the Biden administration. The policies and priorities of the new administration are unknown and could materially impact the regulations governing our product candidates. Any new regulations or guidance, or revisions or reinterpretations of existing regulations or guidance, may impose additional costs or lengthen FDA review times for ADG20 or any future product candidates. We cannot determine how changes in regulations, statutes, policies or interpretations when and if issued, enacted or adopted, may affect our business in the future. Such changes could, among other things, require:</w:t>
      </w:r>
    </w:p>
    <w:p>
      <w:pPr>
        <w:spacing w:after="0" w:line="9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additional clinical trials to be conducted prior to obtaining approval;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changes to manufacturing methods;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recalls, replacements or discontinuance of one or more of our products, if approved;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7"/>
        </w:numPr>
        <w:rPr>
          <w:rFonts w:ascii="Arial" w:cs="Arial" w:eastAsia="Arial" w:hAnsi="Arial"/>
          <w:sz w:val="18"/>
          <w:szCs w:val="18"/>
          <w:color w:val="32406B"/>
        </w:rPr>
      </w:pPr>
      <w:r>
        <w:rPr>
          <w:rFonts w:ascii="Arial" w:cs="Arial" w:eastAsia="Arial" w:hAnsi="Arial"/>
          <w:sz w:val="18"/>
          <w:szCs w:val="18"/>
          <w:color w:val="32406B"/>
        </w:rPr>
        <w:t>additional recordkeeping.</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Such changes would likely require substantial time and impose significant costs, or could reduce the potential commercial value of ADG20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69</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Employee Matters and Managing Our Growth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Our future success depends on our ability to retain key executives and to attract, retain and motivate qualified personnel.</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7"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32406B"/>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6"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Tillman U. Gerngross, Ph.D., our co-founder, Chief Executive Officer and a member of our board of directors, is a co-founder, the currently serving Chief Executive Officer and a member of the board of directors of Adimab, and also serves as an officer and/or Chairman of three additional private companies, Venture Partner at one additional private company and Chairman of one public company. Laura Walker, Ph.D., our co-founder and Chief Scientific Officer, serves as Senior Director of Antibody Sciences at Adimab. Terrance McGuire and Ajay Royan, members of our board of directors, serve as directors of Adimab. As a result, these directors and executive officers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In addition, certain of these individuals own equity interests in Adimab, which represent a significant portion of these individuals’ net worth. These individuals’ respective positions at Adimab and the ownership of any Adimab equity or equity awards creates, or may create the appearance of, conflicts of interest, including when these individuals make decisions that could have different implications for Adimab than for us.</w:t>
      </w:r>
    </w:p>
    <w:p>
      <w:pPr>
        <w:spacing w:after="0" w:line="294"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32406B"/>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Our executive officers, directors, five percent stockholders and their affiliates beneficially own approximately 80.7% of our voting stock as of August 2, 2021. Therefore, these stockholders, and in particular,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70</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32406B"/>
        </w:rPr>
        <w:t>our largest stockholder, Adimab,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65"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32406B"/>
        </w:rPr>
        <w:t>Adimab owns a significant percentage of our common stock, will be able to exert significant influence over matters subject to stockholder approval and may have interests that conflict with those of our other stockholders.</w:t>
      </w:r>
    </w:p>
    <w:p>
      <w:pPr>
        <w:spacing w:after="0" w:line="6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Adimab is currently our largest stockholder and beneficially owns approximately 30.8% of the voting power of our outstanding common stock as of August 2, 2021 on an as-converted basis.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16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Furthermore, certain of our directors and officers may have actual or potential conflicts of interest with us because of their positions or affiliations with Adimab or their equity ownership in Adimab. Tillman Gerngross, co-founder and Chief Executive Officer and member of the board of directors of Adimab, Laura Walker, Senior Director of Antibody Sciences at Adimab, and Terrance McGuire and Ajay Royan, members of the board of directors of Adimab, serve as our executive officers and/or on our board of directors and retain their positions and affiliations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276" w:lineRule="exact"/>
        <w:rPr>
          <w:sz w:val="20"/>
          <w:szCs w:val="20"/>
          <w:color w:val="auto"/>
        </w:rPr>
      </w:pPr>
    </w:p>
    <w:p>
      <w:pPr>
        <w:ind w:left="560" w:right="720"/>
        <w:spacing w:after="0" w:line="375" w:lineRule="auto"/>
        <w:rPr>
          <w:sz w:val="20"/>
          <w:szCs w:val="20"/>
          <w:color w:val="auto"/>
        </w:rPr>
      </w:pPr>
      <w:r>
        <w:rPr>
          <w:rFonts w:ascii="Arial" w:cs="Arial" w:eastAsia="Arial" w:hAnsi="Arial"/>
          <w:sz w:val="15"/>
          <w:szCs w:val="15"/>
          <w:b w:val="1"/>
          <w:bCs w:val="1"/>
          <w:i w:val="1"/>
          <w:iCs w:val="1"/>
          <w:color w:val="32406B"/>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As of August 2, 2021, we had 68 employees. As our development progresses, we expect to experience significant growth in the number of our employees and the scope of our operations, particularly in the areas of clinical product development, regulatory affairs, manufacturing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71</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80"/>
        <w:spacing w:after="0" w:line="342" w:lineRule="auto"/>
        <w:rPr>
          <w:sz w:val="20"/>
          <w:szCs w:val="20"/>
          <w:color w:val="auto"/>
        </w:rPr>
      </w:pPr>
      <w:r>
        <w:rPr>
          <w:rFonts w:ascii="Arial" w:cs="Arial" w:eastAsia="Arial" w:hAnsi="Arial"/>
          <w:sz w:val="16"/>
          <w:szCs w:val="16"/>
          <w:b w:val="1"/>
          <w:bCs w:val="1"/>
          <w:i w:val="1"/>
          <w:iCs w:val="1"/>
          <w:color w:val="32406B"/>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1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Risks Related to This Offering, Ownership of Our Common Stock and Our Status as a Public Company</w:t>
      </w:r>
    </w:p>
    <w:p>
      <w:pPr>
        <w:spacing w:after="0" w:line="121"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32406B"/>
        </w:rPr>
        <w:t>An active trading market for our common stock may not develop and you may not be able to resell your shares of our common stock at or above the initial offering price, if at all.</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Prior to this offering, there has been no public market for our common stock. The initial public offering price for our common stock was determined through negotiations with the underwriters and may not be indicative of the price at which our common stock will trade after the closing of this offering. Although our common stock has been approved for listing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32406B"/>
        </w:rPr>
        <w:t>The trading price of the shares of our common stock may be volatile, and purchasers of our common stock could incur substantial losses.</w:t>
      </w:r>
    </w:p>
    <w:p>
      <w:pPr>
        <w:spacing w:after="0" w:line="14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the timing, progress and results of our ongoing clinical trials of ADG20 or the commencement, enrollment or results of any future clinical trials we may conduct, or changes in the development status of our product candidates;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48"/>
        </w:numPr>
        <w:rPr>
          <w:rFonts w:ascii="Arial" w:cs="Arial" w:eastAsia="Arial" w:hAnsi="Arial"/>
          <w:sz w:val="18"/>
          <w:szCs w:val="18"/>
          <w:color w:val="32406B"/>
        </w:rPr>
      </w:pPr>
      <w:r>
        <w:rPr>
          <w:rFonts w:ascii="Arial" w:cs="Arial" w:eastAsia="Arial" w:hAnsi="Arial"/>
          <w:sz w:val="18"/>
          <w:szCs w:val="18"/>
          <w:color w:val="32406B"/>
        </w:rPr>
        <w:t>any delay in our regulatory filings for ADG20 or any other product candidate we may develop, and any adverse development or perceived adverse development with respect to the applicable regulatory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72</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32406B"/>
        </w:rPr>
        <w:t>authority’s review of such filings, including without limitation the FDA’s issuance of a “refusal to file” letter or a request for additional information;</w:t>
      </w:r>
    </w:p>
    <w:p>
      <w:pPr>
        <w:spacing w:after="0" w:line="76"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delays in or termination of clinical trials;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adverse regulatory decisions, including failure to receive regulatory approval of our product candidates;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unanticipated serious safety concerns related to the use of ADG20 or any other product candidate;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changes in financial estimates by us or by any equity research analysts who might cover our stock;</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conditions or trends in our industry;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changes in the market valuations of similar companies;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announcements by our competitors of new product candidates or technologies, or the results of clinical trials or regulatory decisions;</w:t>
      </w:r>
    </w:p>
    <w:p>
      <w:pPr>
        <w:spacing w:after="0" w:line="142" w:lineRule="exact"/>
        <w:rPr>
          <w:rFonts w:ascii="Arial" w:cs="Arial" w:eastAsia="Arial" w:hAnsi="Arial"/>
          <w:sz w:val="17"/>
          <w:szCs w:val="17"/>
          <w:color w:val="32406B"/>
        </w:rPr>
      </w:pPr>
    </w:p>
    <w:p>
      <w:pPr>
        <w:ind w:left="1080" w:hanging="532"/>
        <w:spacing w:after="0" w:line="277" w:lineRule="auto"/>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stock market price and volume fluctuations of comparable companies and, in particular, those that operate in the biopharmaceutical industry;</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publication of research reports about us or our industry or positive or negative recommendations or withdrawal of research coverage by securities analysts;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announcements by us or our competitors of significant acquisitions, strategic partnerships or divestitures;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our relationships with our collaborators;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announcements of investigations or regulatory scrutiny of our operations or lawsuits filed against us;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investors’ general perception of our company and our business;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recruitment or departure of key personnel;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overall performance of the equity markets;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trading volume of our common stock;</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significant lawsuits, including patent or stockholder litigation;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changes in the structure of healthcare payment systems;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general political and economic conditions;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49"/>
        </w:numPr>
        <w:rPr>
          <w:rFonts w:ascii="Arial" w:cs="Arial" w:eastAsia="Arial" w:hAnsi="Arial"/>
          <w:sz w:val="18"/>
          <w:szCs w:val="18"/>
          <w:color w:val="32406B"/>
        </w:rPr>
      </w:pPr>
      <w:r>
        <w:rPr>
          <w:rFonts w:ascii="Arial" w:cs="Arial" w:eastAsia="Arial" w:hAnsi="Arial"/>
          <w:sz w:val="18"/>
          <w:szCs w:val="18"/>
          <w:color w:val="32406B"/>
        </w:rPr>
        <w:t>other events or factors, many of which are beyond our control.</w:t>
      </w:r>
    </w:p>
    <w:p>
      <w:pPr>
        <w:spacing w:after="0" w:line="22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If you purchase shares of our common stock in this offering, you will suffer immediate dilution of your investment.</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 initial public offering price of our common stock is substantially higher than the pro forma as adjusted net tangible book value per share of our common stock after this offering. Therefore, if you purchase shares of our common stock in this offering, you will pay a price per share that substantially exceeds our pro forma as adjusted net tangible book value per share after this offering. Based on the initial public offering price of $17.00 per share, you will experience immediate dilution of $10.68 per share, representing the difference between our pro forma as adjusted net tangible book value per share as of March 31, 2021, after giving effect to this offering, and the initial public offering price.</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as of March 31, 2021, we had outstanding stock options to purchase an aggregate of 5,366,070 shares of common stock at a weighted-average exercise price of $2.49 per share. To the extent any of these outstanding options are exercised, there will be further dilution to investors in this offering. See “Dilution.”</w:t>
      </w:r>
    </w:p>
    <w:p>
      <w:pPr>
        <w:spacing w:after="0" w:line="292" w:lineRule="exact"/>
        <w:rPr>
          <w:sz w:val="20"/>
          <w:szCs w:val="20"/>
          <w:color w:val="auto"/>
        </w:rPr>
      </w:pPr>
    </w:p>
    <w:p>
      <w:pPr>
        <w:jc w:val="both"/>
        <w:ind w:left="560" w:right="120"/>
        <w:spacing w:after="0" w:line="340" w:lineRule="auto"/>
        <w:rPr>
          <w:sz w:val="20"/>
          <w:szCs w:val="20"/>
          <w:color w:val="auto"/>
        </w:rPr>
      </w:pPr>
      <w:r>
        <w:rPr>
          <w:rFonts w:ascii="Arial" w:cs="Arial" w:eastAsia="Arial" w:hAnsi="Arial"/>
          <w:sz w:val="15"/>
          <w:szCs w:val="15"/>
          <w:b w:val="1"/>
          <w:bCs w:val="1"/>
          <w:i w:val="1"/>
          <w:iCs w:val="1"/>
          <w:color w:val="32406B"/>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3"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We identified a material weakness in our internal control over financial reporting that existed as of March 31, 2021.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consolidated financial statements. Additionally, this material weakness could result in misstatements of the aforementioned account balances or disclosures that would result in a material misstatement of our annual or interim consolidated financial statements that would not be prevented or detected.</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order to remediate this material weakness, we intend to design and implement a control during interim periods related to the completeness and accuracy of the contract manufacturing accrual process.</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cannot assure that the measures we have taken to date, and actions we may take in the future, will be sufficient to remediate the control deficiency that led to this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74</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32406B"/>
        </w:rPr>
        <w:t>any future material weaknesses in our internal control over financial reporting, or we identify any additional material weaknesses, the accuracy and timing of our financial reporting may be adversely affected, potentially resulting in restatements of our consolidated financial statements; we may be unable to maintain compliance with securities law requirements regarding timely filing of periodic reports and applicable Nasdaq listing requirements; investors may lose confidence in our financial reporting; and our stock price may decline as a result.</w:t>
      </w:r>
    </w:p>
    <w:p>
      <w:pPr>
        <w:spacing w:after="0" w:line="279" w:lineRule="exact"/>
        <w:rPr>
          <w:sz w:val="20"/>
          <w:szCs w:val="20"/>
          <w:color w:val="auto"/>
        </w:rPr>
      </w:pPr>
    </w:p>
    <w:p>
      <w:pPr>
        <w:ind w:left="560" w:right="200"/>
        <w:spacing w:after="0" w:line="308" w:lineRule="auto"/>
        <w:rPr>
          <w:sz w:val="20"/>
          <w:szCs w:val="20"/>
          <w:color w:val="auto"/>
        </w:rPr>
      </w:pPr>
      <w:r>
        <w:rPr>
          <w:rFonts w:ascii="Arial" w:cs="Arial" w:eastAsia="Arial" w:hAnsi="Arial"/>
          <w:sz w:val="17"/>
          <w:szCs w:val="17"/>
          <w:b w:val="1"/>
          <w:bCs w:val="1"/>
          <w:i w:val="1"/>
          <w:iCs w:val="1"/>
          <w:color w:val="32406B"/>
        </w:rPr>
        <w:t>If we are unable to design and maintain effective internal control over financial reporting in the future, investors may lose confidence in the accuracy and completeness of our financial reports and the market price of our common stock may decline.</w:t>
      </w:r>
    </w:p>
    <w:p>
      <w:pPr>
        <w:spacing w:after="0" w:line="3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 over financial reporting for compliance with Section 404 of the Sarbanes-Oxley Act, which will require annual management assessment of the effectiveness of our internal control over financial reporting.</w:t>
      </w:r>
    </w:p>
    <w:p>
      <w:pPr>
        <w:spacing w:after="0" w:line="70"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 If we fail to remediate our identified material weakness, or identify additional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Securities and Exchange Commission, or SEC, or other regulatory authorities, which could require additional financial and management resources.</w:t>
      </w:r>
    </w:p>
    <w:p>
      <w:pPr>
        <w:spacing w:after="0" w:line="274"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32406B"/>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32406B"/>
        </w:rPr>
        <w:t>A significant portion of our total outstanding shares are restricted from immediate resale but may be sold into the market in the near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This could cause the market price of our common stock to drop significantly, even if our business is doing well.</w:t>
      </w:r>
    </w:p>
    <w:p>
      <w:pPr>
        <w:spacing w:after="0" w:line="103"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75</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Upon the closing of this offering, we will have outstanding 108,515,660 shares of common stock, after giving effect to the automatic conversion of our outstanding preferred stock into 84,722,420 shares of our common stock, and assuming no exercise of outstanding options to purchase shares of our common stock. Of these shares, the 18,200,000 shares sold in this offering will be freely tradable and substantially all of the additional shares of common stock will be available for sale in the public market beginning 180 days after the date of this prospectus following the expiration of lock-up agreements between some of our stockholders and the underwriters. Morgan Stanley &amp; Co. LLC and Jefferies LLC may release these stockholders from their lock-up agreements with the underwriters at any time and without notice, which would allow for earlier sales of shares in the public market.</w:t>
      </w:r>
    </w:p>
    <w:p>
      <w:pPr>
        <w:spacing w:after="0" w:line="16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In addition, promptly following the closing of this offering, we intend to file one or more registration statements on Form S-8 under the Securities Act of 1933, as amended, or the Securities Act, registering the issuance of 36,417,895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88"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Additionally, after this offering, the holders of an aggregate of 84,722,420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96" w:lineRule="exact"/>
        <w:rPr>
          <w:sz w:val="20"/>
          <w:szCs w:val="20"/>
          <w:color w:val="auto"/>
        </w:rPr>
      </w:pPr>
    </w:p>
    <w:p>
      <w:pPr>
        <w:ind w:left="560" w:right="180"/>
        <w:spacing w:after="0" w:line="375" w:lineRule="auto"/>
        <w:rPr>
          <w:sz w:val="20"/>
          <w:szCs w:val="20"/>
          <w:color w:val="auto"/>
        </w:rPr>
      </w:pPr>
      <w:r>
        <w:rPr>
          <w:rFonts w:ascii="Arial" w:cs="Arial" w:eastAsia="Arial" w:hAnsi="Arial"/>
          <w:sz w:val="15"/>
          <w:szCs w:val="15"/>
          <w:b w:val="1"/>
          <w:bCs w:val="1"/>
          <w:i w:val="1"/>
          <w:iCs w:val="1"/>
          <w:color w:val="32406B"/>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charter documents will also contain other provisions that could have an anti-takeover effect, including:</w:t>
      </w:r>
    </w:p>
    <w:p>
      <w:pPr>
        <w:spacing w:after="0" w:line="131"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only one of our three classes of directors will be elected each year;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stockholders will not be entitled to remove directors other than by a 66</w:t>
      </w:r>
      <w:r>
        <w:rPr>
          <w:rFonts w:ascii="Arial" w:cs="Arial" w:eastAsia="Arial" w:hAnsi="Arial"/>
          <w:sz w:val="15"/>
          <w:szCs w:val="15"/>
          <w:color w:val="32406B"/>
        </w:rPr>
        <w:t>2</w:t>
      </w:r>
      <w:r>
        <w:rPr>
          <w:rFonts w:ascii="Arial" w:cs="Arial" w:eastAsia="Arial" w:hAnsi="Arial"/>
          <w:sz w:val="18"/>
          <w:szCs w:val="18"/>
          <w:color w:val="32406B"/>
        </w:rPr>
        <w:t>/</w:t>
      </w:r>
      <w:r>
        <w:rPr>
          <w:rFonts w:ascii="Arial" w:cs="Arial" w:eastAsia="Arial" w:hAnsi="Arial"/>
          <w:sz w:val="15"/>
          <w:szCs w:val="15"/>
          <w:color w:val="32406B"/>
        </w:rPr>
        <w:t>3</w:t>
      </w:r>
      <w:r>
        <w:rPr>
          <w:rFonts w:ascii="Arial" w:cs="Arial" w:eastAsia="Arial" w:hAnsi="Arial"/>
          <w:sz w:val="18"/>
          <w:szCs w:val="18"/>
          <w:color w:val="32406B"/>
        </w:rPr>
        <w:t>% vote and only for cause;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stockholders will not be permitted to take actions by written consent;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stockholders cannot call a special meeting of stockholders;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50"/>
        </w:numPr>
        <w:rPr>
          <w:rFonts w:ascii="Arial" w:cs="Arial" w:eastAsia="Arial" w:hAnsi="Arial"/>
          <w:sz w:val="18"/>
          <w:szCs w:val="18"/>
          <w:color w:val="32406B"/>
        </w:rPr>
      </w:pPr>
      <w:r>
        <w:rPr>
          <w:rFonts w:ascii="Arial" w:cs="Arial" w:eastAsia="Arial" w:hAnsi="Arial"/>
          <w:sz w:val="18"/>
          <w:szCs w:val="18"/>
          <w:color w:val="32406B"/>
        </w:rPr>
        <w:t>stockholders must give advance notice to nominate directors or submit proposals for consideration at stockholder meetings.</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76</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transactions that may be in your best interests. These provisions may also prevent changes in our management or limit the price that investors are willing to pay for our stock.</w:t>
      </w:r>
    </w:p>
    <w:p>
      <w:pPr>
        <w:spacing w:after="0" w:line="278"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32406B"/>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Our executive officers, directors and current beneficial owners of 5% or more of our common stock and their respective affiliates beneficially own 80.7% of our outstanding common stock as of August 2, 2021.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5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32406B"/>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We are an “emerging growth company,” as defined in the Jumpstart Our Business Startups Act of 2012, as amended, or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00" w:lineRule="exact"/>
        <w:rPr>
          <w:sz w:val="20"/>
          <w:szCs w:val="20"/>
          <w:color w:val="auto"/>
        </w:rPr>
      </w:pPr>
    </w:p>
    <w:p>
      <w:pPr>
        <w:jc w:val="both"/>
        <w:ind w:left="1080" w:right="20" w:hanging="532"/>
        <w:spacing w:after="0" w:line="263" w:lineRule="auto"/>
        <w:tabs>
          <w:tab w:leader="none" w:pos="1080" w:val="left"/>
        </w:tabs>
        <w:numPr>
          <w:ilvl w:val="0"/>
          <w:numId w:val="51"/>
        </w:numPr>
        <w:rPr>
          <w:rFonts w:ascii="Arial" w:cs="Arial" w:eastAsia="Arial" w:hAnsi="Arial"/>
          <w:sz w:val="18"/>
          <w:szCs w:val="18"/>
          <w:color w:val="32406B"/>
        </w:rPr>
      </w:pPr>
      <w:r>
        <w:rPr>
          <w:rFonts w:ascii="Arial" w:cs="Arial" w:eastAsia="Arial" w:hAnsi="Arial"/>
          <w:sz w:val="18"/>
          <w:szCs w:val="18"/>
          <w:color w:val="32406B"/>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51"/>
        </w:numPr>
        <w:rPr>
          <w:rFonts w:ascii="Arial" w:cs="Arial" w:eastAsia="Arial" w:hAnsi="Arial"/>
          <w:sz w:val="16"/>
          <w:szCs w:val="16"/>
          <w:color w:val="32406B"/>
        </w:rPr>
      </w:pPr>
      <w:r>
        <w:rPr>
          <w:rFonts w:ascii="Arial" w:cs="Arial" w:eastAsia="Arial" w:hAnsi="Arial"/>
          <w:sz w:val="16"/>
          <w:szCs w:val="16"/>
          <w:color w:val="32406B"/>
        </w:rPr>
        <w:t>an exemption from compliance with the auditor attestation requirement in the assessment of our internal control over financial reporting;</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51"/>
        </w:numPr>
        <w:rPr>
          <w:rFonts w:ascii="Arial" w:cs="Arial" w:eastAsia="Arial" w:hAnsi="Arial"/>
          <w:sz w:val="18"/>
          <w:szCs w:val="18"/>
          <w:color w:val="32406B"/>
        </w:rPr>
      </w:pPr>
      <w:r>
        <w:rPr>
          <w:rFonts w:ascii="Arial" w:cs="Arial" w:eastAsia="Arial" w:hAnsi="Arial"/>
          <w:sz w:val="18"/>
          <w:szCs w:val="18"/>
          <w:color w:val="32406B"/>
        </w:rPr>
        <w:t>reduced disclosure obligations regarding executive compensation;</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51"/>
        </w:numPr>
        <w:rPr>
          <w:rFonts w:ascii="Arial" w:cs="Arial" w:eastAsia="Arial" w:hAnsi="Arial"/>
          <w:sz w:val="18"/>
          <w:szCs w:val="18"/>
          <w:color w:val="32406B"/>
        </w:rPr>
      </w:pPr>
      <w:r>
        <w:rPr>
          <w:rFonts w:ascii="Arial" w:cs="Arial" w:eastAsia="Arial" w:hAnsi="Arial"/>
          <w:sz w:val="18"/>
          <w:szCs w:val="18"/>
          <w:color w:val="32406B"/>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51"/>
        </w:numPr>
        <w:rPr>
          <w:rFonts w:ascii="Arial" w:cs="Arial" w:eastAsia="Arial" w:hAnsi="Arial"/>
          <w:sz w:val="18"/>
          <w:szCs w:val="18"/>
          <w:color w:val="32406B"/>
        </w:rPr>
      </w:pPr>
      <w:r>
        <w:rPr>
          <w:rFonts w:ascii="Arial" w:cs="Arial" w:eastAsia="Arial" w:hAnsi="Arial"/>
          <w:sz w:val="18"/>
          <w:szCs w:val="18"/>
          <w:color w:val="32406B"/>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have taken advantage of the reduced reporting burdens in this prospectus. In particular, in this prospectus, we have provided only two years of audited financial statements and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77</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32406B"/>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We are a “smaller reporting company.” We are therefore entitled to rely on certain reduced disclosure requirements for as long as we remain a smaller reporting company, such as an exemption from providing selected financial data and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295"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32406B"/>
        </w:rPr>
        <w:t>We will have broad discretion in the use of proceeds from this offering and may invest or spend the proceeds in ways with which you do not agree and in ways that may not increase the value of your investment.</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fund clinical development, manufacturing supply and initial commercialization costs for ADG20, and the remainder for working capital and other general corporate purposes, including development of additional programs in our pipeline. See “Use of Proceeds.” In addition, we may use a portion of the proceeds from this offering to pursue our strategy to in-license or acquire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74"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32406B"/>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95"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b w:val="1"/>
          <w:bCs w:val="1"/>
          <w:i w:val="1"/>
          <w:iCs w:val="1"/>
          <w:color w:val="32406B"/>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Our amended and restated certificate of incorporation provides that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32406B"/>
        </w:rPr>
      </w:pPr>
      <w:r>
        <w:rPr>
          <w:rFonts w:ascii="Arial" w:cs="Arial" w:eastAsia="Arial" w:hAnsi="Arial"/>
          <w:sz w:val="18"/>
          <w:szCs w:val="18"/>
          <w:color w:val="32406B"/>
        </w:rPr>
        <w:t>any derivative action or proceeding brought on our behalf;</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52"/>
        </w:numPr>
        <w:rPr>
          <w:rFonts w:ascii="Arial" w:cs="Arial" w:eastAsia="Arial" w:hAnsi="Arial"/>
          <w:sz w:val="18"/>
          <w:szCs w:val="18"/>
          <w:color w:val="32406B"/>
        </w:rPr>
      </w:pPr>
      <w:r>
        <w:rPr>
          <w:rFonts w:ascii="Arial" w:cs="Arial" w:eastAsia="Arial" w:hAnsi="Arial"/>
          <w:sz w:val="18"/>
          <w:szCs w:val="18"/>
          <w:color w:val="32406B"/>
        </w:rPr>
        <w:t>any action asserting a breach of fiduciary duty;</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78</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53"/>
        </w:numPr>
        <w:rPr>
          <w:rFonts w:ascii="Arial" w:cs="Arial" w:eastAsia="Arial" w:hAnsi="Arial"/>
          <w:sz w:val="18"/>
          <w:szCs w:val="18"/>
          <w:color w:val="32406B"/>
        </w:rPr>
      </w:pPr>
      <w:r>
        <w:rPr>
          <w:rFonts w:ascii="Arial" w:cs="Arial" w:eastAsia="Arial" w:hAnsi="Arial"/>
          <w:sz w:val="18"/>
          <w:szCs w:val="18"/>
          <w:color w:val="32406B"/>
        </w:rPr>
        <w:t>any action asserting a claim against us that is governed by the internal-affairs doctrine.</w:t>
      </w:r>
    </w:p>
    <w:p>
      <w:pPr>
        <w:spacing w:after="0" w:line="22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General Risk Factors</w:t>
      </w:r>
    </w:p>
    <w:p>
      <w:pPr>
        <w:spacing w:after="0" w:line="121"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32406B"/>
        </w:rPr>
        <w:t>We will incur increased costs and demands upon management as a result of becoming a public company, which could lower our profits or make it more difficult to run our business.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Nasdaq Stock Market.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8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79</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Our ability to use net operating losses to offset future taxable income may be subject to certain limitations.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have incurred substantial losses since inception and do not expect to become profitable in the near future, if ever. To the extent that we continue to generate taxable losses, unused losses will carry forward to offset future taxable income, if any. As of December 31, 2020, we had U.S. federal net operating loss, or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are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this offering, together with private placements and other transactions that have occurred since our inception, may trigger such an ownership change pursuant to Section 382. 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32406B"/>
        </w:rPr>
        <w:t>Our business activities will be subject to the Foreign Corrupt Practices Act, or FCPA, and similar anti-bribery and anti-corruption laws.</w:t>
      </w:r>
    </w:p>
    <w:p>
      <w:pPr>
        <w:spacing w:after="0" w:line="140"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80</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32406B"/>
        </w:rPr>
        <w:t>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86"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b w:val="1"/>
          <w:bCs w:val="1"/>
          <w:i w:val="1"/>
          <w:iCs w:val="1"/>
          <w:color w:val="32406B"/>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2"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32406B"/>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Unfavorable global economic conditions could adversely affect our business, financial condition or results of operations.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81</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32406B"/>
        </w:rPr>
        <w:t>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82</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SPECIAL NOTE REGARDING FORWARD-LOOKING STATEMENTS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00" w:lineRule="exact"/>
        <w:rPr>
          <w:sz w:val="20"/>
          <w:szCs w:val="20"/>
          <w:color w:val="auto"/>
        </w:rPr>
      </w:pPr>
    </w:p>
    <w:p>
      <w:pPr>
        <w:jc w:val="both"/>
        <w:ind w:left="1080" w:right="20" w:hanging="532"/>
        <w:spacing w:after="0" w:line="286" w:lineRule="auto"/>
        <w:tabs>
          <w:tab w:leader="none" w:pos="1080" w:val="left"/>
        </w:tabs>
        <w:numPr>
          <w:ilvl w:val="0"/>
          <w:numId w:val="54"/>
        </w:numPr>
        <w:rPr>
          <w:rFonts w:ascii="Arial" w:cs="Arial" w:eastAsia="Arial" w:hAnsi="Arial"/>
          <w:sz w:val="17"/>
          <w:szCs w:val="17"/>
          <w:color w:val="32406B"/>
        </w:rPr>
      </w:pPr>
      <w:r>
        <w:rPr>
          <w:rFonts w:ascii="Arial" w:cs="Arial" w:eastAsia="Arial" w:hAnsi="Arial"/>
          <w:sz w:val="17"/>
          <w:szCs w:val="17"/>
          <w:color w:val="32406B"/>
        </w:rPr>
        <w:t>the timing, progress and results of our preclinical studies and clinical trials of ADG20 and any future product candidates, including statements regarding the timing of our planned IND submissions, initiation and completion of studies or trials and related preparatory work, the period during which the results of the trials will become available and our research and development programs;</w:t>
      </w:r>
    </w:p>
    <w:p>
      <w:pPr>
        <w:spacing w:after="0" w:line="70"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the timing of any submission of filings for regulatory approval of, and our ability to obtain and maintain regulatory approvals for, our current and future product candidates;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our manufacturing capabilities and strategy, including the scalability and commercial viability of our manufacturing methods and processes;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54"/>
        </w:numPr>
        <w:rPr>
          <w:rFonts w:ascii="Arial" w:cs="Arial" w:eastAsia="Arial" w:hAnsi="Arial"/>
          <w:sz w:val="17"/>
          <w:szCs w:val="17"/>
          <w:color w:val="32406B"/>
        </w:rPr>
      </w:pPr>
      <w:r>
        <w:rPr>
          <w:rFonts w:ascii="Arial" w:cs="Arial" w:eastAsia="Arial" w:hAnsi="Arial"/>
          <w:sz w:val="17"/>
          <w:szCs w:val="17"/>
          <w:color w:val="32406B"/>
        </w:rPr>
        <w:t>our ability to identify patients with the diseases treated by our product candidates and to enroll these patients in our clinical trials;</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our expectations regarding the size of the patient populations, market acceptance and opportunity for and clinical utility of our product candidates, if approved for commercial use;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our expectations regarding the scope of any approved indication for ADG20 or any other product candidate;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our ability to successfully commercialize our product candidates;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our ability to leverage our platform to identify and develop future product candidates;</w:t>
      </w:r>
    </w:p>
    <w:p>
      <w:pPr>
        <w:spacing w:after="0" w:line="130"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our estimates of our expenses, ongoing losses, future revenue, capital requirements and our need for or ability to obtain additional funding before we can expect to generate any revenue from product sales and the period over which we expect the net proceeds from this offering, together with our existing cash and cash equivalents, to be sufficient to fund our operations;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our expected use of proceeds from this offering;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our competitive position and the development of and projections relating to our competitors or our industry; and</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54"/>
        </w:numPr>
        <w:rPr>
          <w:rFonts w:ascii="Arial" w:cs="Arial" w:eastAsia="Arial" w:hAnsi="Arial"/>
          <w:sz w:val="18"/>
          <w:szCs w:val="18"/>
          <w:color w:val="32406B"/>
        </w:rPr>
      </w:pPr>
      <w:r>
        <w:rPr>
          <w:rFonts w:ascii="Arial" w:cs="Arial" w:eastAsia="Arial" w:hAnsi="Arial"/>
          <w:sz w:val="18"/>
          <w:szCs w:val="18"/>
          <w:color w:val="32406B"/>
        </w:rPr>
        <w:t>business disruptions affecting our preclinical studies or the initiation, patient enrollment, development and operation of our clinical trials, including a public health crisis, such as the outbreak of COVID-19.</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The foregoing list of forward-looking statements is not exhaustive. You should refer to the “Risk Factors” section of this prospectus for a discussion of important factors that may cause our actual results to differ materially from those expressed or implied by our forward-looking statements. Other sections of this prospectus may include additional factors that could harm our business and financial performance. Moreover, we operate in an evolving environment. New risk factors and uncertainties may emerge from time to time, and it is not possible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83</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32406B"/>
        </w:rPr>
        <w:t>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84</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MARKET AND INDUSTRY DATA</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We are responsible for the disclosure contained in this prospectus. However, this prospectus contains industry, statistical and market data derived from our own internal estimates and research as well as from industry and general publications and research, surveys and studies conducted by third parties. The market and industry data used in this prospectus involve a number of assumptions and limitations, and any estimates underlying such market information and other factors, including those described in the section titled “Risk Factors,” could cause actual results to differ materially from those expressed in the third-party estimates and in our estimates.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85</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USE OF PROCEEDS</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We estimate that the net proceeds to us from our issuance and sale of 18,200,000 shares of our common stock in this offering will be approximately $283.9 million (or approximately $327.1 million if the underwriters exercise in full their option to purchase up to 2,730,000 additional shares), based on the initial public offering price of $17.00 per share and after deducting underwriting discounts and commissions and estimated offering expenses payable by us.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As of March 31, 2021, we had cash and cash equivalents of $91.2 million. In April 2021, we received gross proceeds of $335.5 million from the issuance and sale of our Series C preferred stock. We intend to use the net proceeds from this offering, together with our existing cash and cash equivalents, as follows:</w:t>
      </w:r>
    </w:p>
    <w:p>
      <w:pPr>
        <w:spacing w:after="0" w:line="8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7"/>
          <w:szCs w:val="17"/>
          <w:color w:val="32406B"/>
        </w:rPr>
      </w:pPr>
      <w:r>
        <w:rPr>
          <w:rFonts w:ascii="Arial" w:cs="Arial" w:eastAsia="Arial" w:hAnsi="Arial"/>
          <w:sz w:val="17"/>
          <w:szCs w:val="17"/>
          <w:color w:val="32406B"/>
        </w:rPr>
        <w:t>approximately $545.0 million to fund clinical development, manufacturing supply and initial commercialization costs for ADG20; and</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55"/>
        </w:numPr>
        <w:rPr>
          <w:rFonts w:ascii="Arial" w:cs="Arial" w:eastAsia="Arial" w:hAnsi="Arial"/>
          <w:sz w:val="17"/>
          <w:szCs w:val="17"/>
          <w:color w:val="32406B"/>
        </w:rPr>
      </w:pPr>
      <w:r>
        <w:rPr>
          <w:rFonts w:ascii="Arial" w:cs="Arial" w:eastAsia="Arial" w:hAnsi="Arial"/>
          <w:sz w:val="17"/>
          <w:szCs w:val="17"/>
          <w:color w:val="32406B"/>
        </w:rPr>
        <w:t>the remainder for working capital and other general corporate purposes, including development of additional programs in our pipeline.</w:t>
      </w:r>
    </w:p>
    <w:p>
      <w:pPr>
        <w:spacing w:after="0" w:line="23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may also use a portion of the net proceeds from this offering to in-license, acquire or invest in complementary businesses, technologies, products or assets, although we have no current agreements, commitments or understandings to do so.</w:t>
      </w:r>
    </w:p>
    <w:p>
      <w:pPr>
        <w:spacing w:after="0" w:line="170"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believe that the net proceeds from this offering, together with our existing cash and cash equivalents, which includes the proceeds from the issuance and sale of our Series C preferred stock in April 2021, will enable us to fund our operating expenses and capital expenditure requirements into the first quarter of 2023. Based on our current operational plans and assumptions, we expect the net proceeds from this offering, together with our existing cash and cash equivalents, will be sufficient to complete our ADG20 STAMP treatment trial and the post-exposure prophylaxis portion of the EVADE trial, make related regulatory filings and fund commercial launch. We have based this estimate on assumptions that may prove to be wrong, and we could exhaust our available capital resources sooner than we expect.</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This expected use of the net proceeds from this offering and our existing cash and cash equivalents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development, the status of and results from preclinical studies or clinical trials we have ongoing or may commence in the future, any collaborations that we may enter into with third parties for our product candidates or strategic opportunities that become available to us, as well as any unforeseen cash needs.</w:t>
      </w:r>
    </w:p>
    <w:p>
      <w:pPr>
        <w:spacing w:after="0" w:line="195"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their use, we plan to invest the net proceeds from this offering in short-term, interest bearing obligations, investment-grade instruments, certificates of deposit or direct or guaranteed obligations of the United States.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86</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DIVIDEND POLICY</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32406B"/>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87</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our cash and cash equivalents and our capitalization as of March 31, 2021:</w:t>
      </w:r>
    </w:p>
    <w:p>
      <w:pPr>
        <w:spacing w:after="0" w:line="131"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32406B"/>
        </w:rPr>
      </w:pPr>
      <w:r>
        <w:rPr>
          <w:rFonts w:ascii="Arial" w:cs="Arial" w:eastAsia="Arial" w:hAnsi="Arial"/>
          <w:sz w:val="18"/>
          <w:szCs w:val="18"/>
          <w:color w:val="32406B"/>
        </w:rPr>
        <w:t>on an actual basis;</w:t>
      </w:r>
    </w:p>
    <w:p>
      <w:pPr>
        <w:spacing w:after="0" w:line="130" w:lineRule="exact"/>
        <w:rPr>
          <w:rFonts w:ascii="Arial" w:cs="Arial" w:eastAsia="Arial" w:hAnsi="Arial"/>
          <w:sz w:val="18"/>
          <w:szCs w:val="18"/>
          <w:color w:val="32406B"/>
        </w:rPr>
      </w:pPr>
    </w:p>
    <w:p>
      <w:pPr>
        <w:jc w:val="both"/>
        <w:ind w:left="1080" w:right="20" w:hanging="532"/>
        <w:spacing w:after="0" w:line="279" w:lineRule="auto"/>
        <w:tabs>
          <w:tab w:leader="none" w:pos="1080" w:val="left"/>
        </w:tabs>
        <w:numPr>
          <w:ilvl w:val="0"/>
          <w:numId w:val="56"/>
        </w:numPr>
        <w:rPr>
          <w:rFonts w:ascii="Arial" w:cs="Arial" w:eastAsia="Arial" w:hAnsi="Arial"/>
          <w:sz w:val="17"/>
          <w:szCs w:val="17"/>
          <w:color w:val="32406B"/>
        </w:rPr>
      </w:pPr>
      <w:r>
        <w:rPr>
          <w:rFonts w:ascii="Arial" w:cs="Arial" w:eastAsia="Arial" w:hAnsi="Arial"/>
          <w:sz w:val="17"/>
          <w:szCs w:val="17"/>
          <w:color w:val="32406B"/>
        </w:rPr>
        <w:t>on a pro forma basis to give effect to (i) our issuance and sale in April 2021 of 4,296,550 shares of our Series C preferred stock for gross proceeds of $335.5 million, (ii) the automatic conversion of all outstanding shares of our preferred stock, including our Series C preferred stock, into an aggregate of 84,722,420 shares of common stock upon the closing of this offering and (iii) the filing and effectiveness of our amended and restated certificate of incorporation in connection with the completion of this offering; and</w:t>
      </w:r>
    </w:p>
    <w:p>
      <w:pPr>
        <w:spacing w:after="0" w:line="76" w:lineRule="exact"/>
        <w:rPr>
          <w:rFonts w:ascii="Arial" w:cs="Arial" w:eastAsia="Arial" w:hAnsi="Arial"/>
          <w:sz w:val="17"/>
          <w:szCs w:val="17"/>
          <w:color w:val="32406B"/>
        </w:rPr>
      </w:pPr>
    </w:p>
    <w:p>
      <w:pPr>
        <w:jc w:val="both"/>
        <w:ind w:left="1080" w:hanging="532"/>
        <w:spacing w:after="0" w:line="263" w:lineRule="auto"/>
        <w:tabs>
          <w:tab w:leader="none" w:pos="1080" w:val="left"/>
        </w:tabs>
        <w:numPr>
          <w:ilvl w:val="0"/>
          <w:numId w:val="56"/>
        </w:numPr>
        <w:rPr>
          <w:rFonts w:ascii="Arial" w:cs="Arial" w:eastAsia="Arial" w:hAnsi="Arial"/>
          <w:sz w:val="18"/>
          <w:szCs w:val="18"/>
          <w:color w:val="32406B"/>
        </w:rPr>
      </w:pPr>
      <w:r>
        <w:rPr>
          <w:rFonts w:ascii="Arial" w:cs="Arial" w:eastAsia="Arial" w:hAnsi="Arial"/>
          <w:sz w:val="18"/>
          <w:szCs w:val="18"/>
          <w:color w:val="32406B"/>
        </w:rPr>
        <w:t>on a pro forma as adjusted basis to give further effect to our issuance and sale of 18,200,000 shares of our common stock in this offering at the initial public offering price of $17.00 per share, after deducting underwriting discounts and commissions and estimated offering expenses payable by us.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32406B"/>
                <w:w w:val="93"/>
              </w:rPr>
              <w:t>As of March 31, 2021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32406B"/>
              </w:rPr>
              <w:t>Actual</w:t>
            </w:r>
          </w:p>
        </w:tc>
        <w:tc>
          <w:tcPr>
            <w:tcW w:w="320" w:type="dxa"/>
            <w:vAlign w:val="bottom"/>
          </w:tcPr>
          <w:p>
            <w:pPr>
              <w:spacing w:after="0"/>
              <w:rPr>
                <w:sz w:val="10"/>
                <w:szCs w:val="10"/>
                <w:color w:val="auto"/>
              </w:rPr>
            </w:pPr>
          </w:p>
        </w:tc>
        <w:tc>
          <w:tcPr>
            <w:tcW w:w="11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32406B"/>
                <w:w w:val="97"/>
              </w:rPr>
              <w:t>Pro Forma</w:t>
            </w:r>
          </w:p>
        </w:tc>
        <w:tc>
          <w:tcPr>
            <w:tcW w:w="7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32406B"/>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32406B"/>
              </w:rPr>
              <w:t>As Adjusted</w:t>
            </w:r>
          </w:p>
        </w:tc>
        <w:tc>
          <w:tcPr>
            <w:tcW w:w="0" w:type="dxa"/>
            <w:vAlign w:val="bottom"/>
          </w:tcPr>
          <w:p>
            <w:pPr>
              <w:spacing w:after="0"/>
              <w:rPr>
                <w:sz w:val="1"/>
                <w:szCs w:val="1"/>
                <w:color w:val="auto"/>
              </w:rPr>
            </w:pPr>
          </w:p>
        </w:tc>
      </w:tr>
      <w:tr>
        <w:trPr>
          <w:trHeight w:val="119"/>
        </w:trPr>
        <w:tc>
          <w:tcPr>
            <w:tcW w:w="7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000" w:type="dxa"/>
            <w:vAlign w:val="bottom"/>
            <w:tcBorders>
              <w:top w:val="single" w:sz="8" w:color="auto"/>
            </w:tcBorders>
            <w:gridSpan w:val="8"/>
          </w:tcPr>
          <w:p>
            <w:pPr>
              <w:jc w:val="center"/>
              <w:ind w:right="10"/>
              <w:spacing w:after="0" w:line="119" w:lineRule="exact"/>
              <w:rPr>
                <w:sz w:val="20"/>
                <w:szCs w:val="20"/>
                <w:color w:val="auto"/>
              </w:rPr>
            </w:pPr>
            <w:r>
              <w:rPr>
                <w:rFonts w:ascii="Arial" w:cs="Arial" w:eastAsia="Arial" w:hAnsi="Arial"/>
                <w:sz w:val="13"/>
                <w:szCs w:val="13"/>
                <w:b w:val="1"/>
                <w:bCs w:val="1"/>
                <w:color w:val="32406B"/>
                <w:w w:val="97"/>
              </w:rPr>
              <w:t>(in thousands, except share and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32406B"/>
                <w:w w:val="93"/>
              </w:rPr>
              <w:t>share data)</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91,247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w w:val="98"/>
              </w:rPr>
              <w:t>426,746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8"/>
              </w:rPr>
              <w:t>710,738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32406B"/>
                <w:w w:val="95"/>
              </w:rPr>
              <w:t>Convertible preferred stock, $0.0001 par value; 12,647,934 shares authorized, issued and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0" w:type="dxa"/>
            <w:vAlign w:val="bottom"/>
          </w:tcPr>
          <w:p>
            <w:pPr>
              <w:ind w:left="180"/>
              <w:spacing w:after="0"/>
              <w:rPr>
                <w:sz w:val="20"/>
                <w:szCs w:val="20"/>
                <w:color w:val="auto"/>
              </w:rPr>
            </w:pPr>
            <w:r>
              <w:rPr>
                <w:rFonts w:ascii="Arial" w:cs="Arial" w:eastAsia="Arial" w:hAnsi="Arial"/>
                <w:sz w:val="18"/>
                <w:szCs w:val="18"/>
                <w:color w:val="32406B"/>
              </w:rPr>
              <w:t>actual; no shares authorized, issued or outstanding, pro forma and pro forma as adjusted</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w w:val="95"/>
              </w:rPr>
              <w:t>169,548</w:t>
            </w:r>
          </w:p>
        </w:tc>
        <w:tc>
          <w:tcPr>
            <w:tcW w:w="40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r>
              <w:rPr>
                <w:rFonts w:ascii="Arial" w:cs="Arial" w:eastAsia="Arial" w:hAnsi="Arial"/>
                <w:sz w:val="18"/>
                <w:szCs w:val="18"/>
                <w:color w:val="32406B"/>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32406B"/>
              </w:rPr>
              <w:t>Stockholders’ equity (deficit):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00" w:type="dxa"/>
            <w:vAlign w:val="bottom"/>
          </w:tcPr>
          <w:p>
            <w:pPr>
              <w:ind w:left="360"/>
              <w:spacing w:after="0" w:line="201" w:lineRule="exact"/>
              <w:rPr>
                <w:sz w:val="20"/>
                <w:szCs w:val="20"/>
                <w:color w:val="auto"/>
              </w:rPr>
            </w:pPr>
            <w:r>
              <w:rPr>
                <w:rFonts w:ascii="Arial" w:cs="Arial" w:eastAsia="Arial" w:hAnsi="Arial"/>
                <w:sz w:val="18"/>
                <w:szCs w:val="18"/>
                <w:color w:val="32406B"/>
                <w:w w:val="93"/>
              </w:rPr>
              <w:t>Preferred stock, $0.0001 par value; no shares authorized, issued or outstanding, actual; 10,000,000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540"/>
              <w:spacing w:after="0"/>
              <w:rPr>
                <w:sz w:val="20"/>
                <w:szCs w:val="20"/>
                <w:color w:val="auto"/>
              </w:rPr>
            </w:pPr>
            <w:r>
              <w:rPr>
                <w:rFonts w:ascii="Arial" w:cs="Arial" w:eastAsia="Arial" w:hAnsi="Arial"/>
                <w:sz w:val="18"/>
                <w:szCs w:val="18"/>
                <w:color w:val="32406B"/>
                <w:w w:val="97"/>
              </w:rPr>
              <w:t>shares authorized and no shares issued or outstanding, pro forma and pro forma as adjusted</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32406B"/>
                <w:w w:val="94"/>
              </w:rPr>
              <w:t>Common stock, $0.0001 par value; 150,000,000 shares authorized, 28,193,240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32406B"/>
                <w:w w:val="98"/>
              </w:rPr>
              <w:t>5,593,240 shares outstanding, actual; 1,000,000,000 shares authorized, 112,915,660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32406B"/>
              </w:rPr>
              <w:t>issued and 90,315,660 shares outstanding, pro forma; 1,000,000,000 shares authorized,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32406B"/>
              </w:rPr>
              <w:t>131,115,660 shares issued and 108,515,660 shares outstanding, pro forma as adjusted</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rPr>
              <w:t>9</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32406B"/>
              </w:rPr>
              <w:t>Treasury stock, at cost; 22,600,000 shares</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32406B"/>
              </w:rPr>
              <w:t>(85)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32406B"/>
              </w:rPr>
              <w:t>(85)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Additional paid-in capital</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741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w w:val="98"/>
              </w:rPr>
              <w:t>505,780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8"/>
              </w:rPr>
              <w:t>789,720</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Arial" w:cs="Arial" w:eastAsia="Arial" w:hAnsi="Arial"/>
                <w:sz w:val="18"/>
                <w:szCs w:val="18"/>
                <w:color w:val="32406B"/>
              </w:rPr>
              <w:t>Accumulated deficit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w w:val="88"/>
              </w:rPr>
              <w:t>(104,019)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32406B"/>
                <w:w w:val="90"/>
              </w:rPr>
              <w:t>(104,019)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32406B"/>
                <w:w w:val="90"/>
              </w:rPr>
              <w:t>(104,019)</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stockholders’ equity (deficit)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8"/>
              </w:rPr>
              <w:t>(103,362)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32406B"/>
                <w:w w:val="98"/>
              </w:rPr>
              <w:t>401,685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8"/>
              </w:rPr>
              <w:t>685,627</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32406B"/>
              </w:rPr>
              <w:t>Total capitalization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66,186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401,685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685,627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420"/>
              <w:spacing w:after="0"/>
              <w:rPr>
                <w:sz w:val="20"/>
                <w:szCs w:val="20"/>
                <w:color w:val="auto"/>
              </w:rPr>
            </w:pPr>
            <w:r>
              <w:rPr>
                <w:rFonts w:ascii="Arial" w:cs="Arial" w:eastAsia="Arial" w:hAnsi="Arial"/>
                <w:sz w:val="18"/>
                <w:szCs w:val="18"/>
                <w:color w:val="32406B"/>
              </w:rPr>
              <w:t>88</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The number of shares of our common stock to be outstanding after this offering is based on 90,315,660 shares of our common stock outstanding as of March 31, 2021, assuming the conversion of all outstanding shares of our preferred stock, including 4,296,550 shares of Series C preferred stock issued in April 2021, into an aggregate of 84,722,420 shares of common stock upon the closing of this offering, and excludes:</w:t>
      </w:r>
    </w:p>
    <w:p>
      <w:pPr>
        <w:spacing w:after="0" w:line="7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6,000 shares of our common stock issued subsequent to March 31, 2021;</w:t>
      </w:r>
    </w:p>
    <w:p>
      <w:pPr>
        <w:spacing w:after="0" w:line="130" w:lineRule="exact"/>
        <w:rPr>
          <w:rFonts w:ascii="Arial" w:cs="Arial" w:eastAsia="Arial" w:hAnsi="Arial"/>
          <w:sz w:val="18"/>
          <w:szCs w:val="18"/>
          <w:color w:val="32406B"/>
        </w:rPr>
      </w:pPr>
    </w:p>
    <w:p>
      <w:pPr>
        <w:jc w:val="both"/>
        <w:ind w:left="1080" w:right="20" w:hanging="532"/>
        <w:spacing w:after="0" w:line="311" w:lineRule="auto"/>
        <w:tabs>
          <w:tab w:leader="none" w:pos="1080" w:val="left"/>
        </w:tabs>
        <w:numPr>
          <w:ilvl w:val="0"/>
          <w:numId w:val="57"/>
        </w:numPr>
        <w:rPr>
          <w:rFonts w:ascii="Arial" w:cs="Arial" w:eastAsia="Arial" w:hAnsi="Arial"/>
          <w:sz w:val="16"/>
          <w:szCs w:val="16"/>
          <w:color w:val="32406B"/>
        </w:rPr>
      </w:pPr>
      <w:r>
        <w:rPr>
          <w:rFonts w:ascii="Arial" w:cs="Arial" w:eastAsia="Arial" w:hAnsi="Arial"/>
          <w:sz w:val="16"/>
          <w:szCs w:val="16"/>
          <w:color w:val="32406B"/>
        </w:rPr>
        <w:t>5,366,070 shares of our common stock issuable upon the exercise of options outstanding as of March 31, 2021 under our 2020 Plan, at a weighted-average exercise price of $2.49 per share (which does not include options to purchase an aggregate of 11,427,020 shares of our common stock, at a weighted-average exercise price of $10.86 per share, that were granted subsequent to March 31, 2021);</w:t>
      </w:r>
    </w:p>
    <w:p>
      <w:pPr>
        <w:spacing w:after="0" w:line="54" w:lineRule="exact"/>
        <w:rPr>
          <w:rFonts w:ascii="Arial" w:cs="Arial" w:eastAsia="Arial" w:hAnsi="Arial"/>
          <w:sz w:val="16"/>
          <w:szCs w:val="16"/>
          <w:color w:val="32406B"/>
        </w:rPr>
      </w:pPr>
    </w:p>
    <w:p>
      <w:pPr>
        <w:jc w:val="both"/>
        <w:ind w:left="1080" w:hanging="532"/>
        <w:spacing w:after="0" w:line="263" w:lineRule="auto"/>
        <w:tabs>
          <w:tab w:leader="none" w:pos="108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11,860,995 shares of our common stock available for future issuance as of March 31, 2021 under the 2020 Plan, which such shares ceased to be available for issuance under the 2020 Plan at the time our 2021 Equity Incentive Plan, or the 2021 Plan, became effective and became available for issuance under the 2021 Plan;</w:t>
      </w:r>
    </w:p>
    <w:p>
      <w:pPr>
        <w:spacing w:after="0" w:line="89" w:lineRule="exact"/>
        <w:rPr>
          <w:rFonts w:ascii="Arial" w:cs="Arial" w:eastAsia="Arial" w:hAnsi="Arial"/>
          <w:sz w:val="18"/>
          <w:szCs w:val="18"/>
          <w:color w:val="32406B"/>
        </w:rPr>
      </w:pPr>
    </w:p>
    <w:p>
      <w:pPr>
        <w:jc w:val="both"/>
        <w:ind w:left="1080" w:hanging="532"/>
        <w:spacing w:after="0" w:line="286" w:lineRule="auto"/>
        <w:tabs>
          <w:tab w:leader="none" w:pos="1080" w:val="left"/>
        </w:tabs>
        <w:numPr>
          <w:ilvl w:val="0"/>
          <w:numId w:val="57"/>
        </w:numPr>
        <w:rPr>
          <w:rFonts w:ascii="Arial" w:cs="Arial" w:eastAsia="Arial" w:hAnsi="Arial"/>
          <w:sz w:val="17"/>
          <w:szCs w:val="17"/>
          <w:color w:val="32406B"/>
        </w:rPr>
      </w:pPr>
      <w:r>
        <w:rPr>
          <w:rFonts w:ascii="Arial" w:cs="Arial" w:eastAsia="Arial" w:hAnsi="Arial"/>
          <w:sz w:val="17"/>
          <w:szCs w:val="17"/>
          <w:color w:val="32406B"/>
        </w:rPr>
        <w:t>6,434,485 additional shares of our common stock available for future issuance under our 2020 Plan, which was amended subsequent to March 31, 2021 to increase the shares available under the plan, which such shares ceased to be available for issuance under the 2020 Plan at the time our 2021 Plan became effective and became available for issuance under the 2021 Plan;</w:t>
      </w:r>
    </w:p>
    <w:p>
      <w:pPr>
        <w:spacing w:after="0" w:line="70" w:lineRule="exact"/>
        <w:rPr>
          <w:rFonts w:ascii="Arial" w:cs="Arial" w:eastAsia="Arial" w:hAnsi="Arial"/>
          <w:sz w:val="17"/>
          <w:szCs w:val="17"/>
          <w:color w:val="32406B"/>
        </w:rPr>
      </w:pPr>
    </w:p>
    <w:p>
      <w:pPr>
        <w:jc w:val="both"/>
        <w:ind w:left="1080" w:right="20" w:hanging="532"/>
        <w:spacing w:after="0" w:line="263" w:lineRule="auto"/>
        <w:tabs>
          <w:tab w:leader="none" w:pos="1080" w:val="left"/>
        </w:tabs>
        <w:numPr>
          <w:ilvl w:val="0"/>
          <w:numId w:val="57"/>
        </w:numPr>
        <w:rPr>
          <w:rFonts w:ascii="Arial" w:cs="Arial" w:eastAsia="Arial" w:hAnsi="Arial"/>
          <w:sz w:val="18"/>
          <w:szCs w:val="18"/>
          <w:color w:val="32406B"/>
        </w:rPr>
      </w:pPr>
      <w:r>
        <w:rPr>
          <w:rFonts w:ascii="Arial" w:cs="Arial" w:eastAsia="Arial" w:hAnsi="Arial"/>
          <w:sz w:val="18"/>
          <w:szCs w:val="18"/>
          <w:color w:val="32406B"/>
        </w:rPr>
        <w:t>11,413,572 shares of our common stock that became available for future issuance under the 2021 Plan, which became effective immediately prior to and contingent upon the execution of the underwriting agreement related to this offering, as well as any automatic increases in the number of shares of common stock reserved for future issuance under the 2021 Plan; and</w:t>
      </w:r>
    </w:p>
    <w:p>
      <w:pPr>
        <w:spacing w:after="0" w:line="89" w:lineRule="exact"/>
        <w:rPr>
          <w:rFonts w:ascii="Arial" w:cs="Arial" w:eastAsia="Arial" w:hAnsi="Arial"/>
          <w:sz w:val="18"/>
          <w:szCs w:val="18"/>
          <w:color w:val="32406B"/>
        </w:rPr>
      </w:pPr>
    </w:p>
    <w:p>
      <w:pPr>
        <w:jc w:val="both"/>
        <w:ind w:left="1080" w:hanging="532"/>
        <w:spacing w:after="0" w:line="311" w:lineRule="auto"/>
        <w:tabs>
          <w:tab w:leader="none" w:pos="1080" w:val="left"/>
        </w:tabs>
        <w:numPr>
          <w:ilvl w:val="0"/>
          <w:numId w:val="57"/>
        </w:numPr>
        <w:rPr>
          <w:rFonts w:ascii="Arial" w:cs="Arial" w:eastAsia="Arial" w:hAnsi="Arial"/>
          <w:sz w:val="16"/>
          <w:szCs w:val="16"/>
          <w:color w:val="32406B"/>
        </w:rPr>
      </w:pPr>
      <w:r>
        <w:rPr>
          <w:rFonts w:ascii="Arial" w:cs="Arial" w:eastAsia="Arial" w:hAnsi="Arial"/>
          <w:sz w:val="16"/>
          <w:szCs w:val="16"/>
          <w:color w:val="32406B"/>
        </w:rPr>
        <w:t>1,342,773 shares of our common stock that became available for future issuance under our 2021 Employee Stock Purchase Plan, or the 2021 ESPP, which became effective immediately prior to and contingent upon the execution of the underwriting agreement related to this offering, as well as any automatic increases in the number of shares of common stock reserved for future issuance under the 2021 ESPP.</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89</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DILUTION</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Our historical net tangible book value (deficit) as of March 31, 2021 was $(103.5) million, or $(18.50) per share of common stock. Our historical net tangible book value (deficit) is the amount of our total tangible assets less our total liabilities and the carrying value of our preferred stock, which is not included within stockholders’ equity (deficit). Historical net tangible book value (deficit) per share represents historical net tangible book value (deficit) divided by the 5,593,240 shares of our common stock outstanding as of March 31, 2021.</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Our pro forma net tangible book value as of March 31, 2021 was $401.6 million, or $4.45 per share of common stock. Pro forma net tangible book value represents the amount of our total tangible assets less our total liabilities, after giving effect to (i) our issuance and sale in April 2021 of 4,296,550 shares of our Series C preferred stock for gross proceeds of $335.5 million and (ii) the automatic conversion of all outstanding shares of our preferred stock, including our Series C preferred stock, into an aggregate of 84,722,420 shares of common stock upon the closing of this offering. Pro forma net tangible book value per share represents pro forma net tangible book value divided by the number of shares outstanding as of March 31, 2021, after giving effect to the pro forma adjustments described above.</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After giving further effect to our issuance and sale of 18,200,000 shares of our common stock in this offering at the initial public offering price of $17.00 per share and after deducting underwriting discounts and commissions and estimated offering expenses payable by us, our pro forma as adjusted net tangible book value as of March 31, 2021 would have been $685.6 million, or $6.32 per share. This represents an immediate increase in pro forma as adjusted net tangible book value per share of $1.87 to existing stockholders and immediate dilution of $10.68 in pro forma as adjusted net tangible book value per share to new investors participating in this offering. 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32406B"/>
              </w:rPr>
              <w:t>Initial public offering price per share</w:t>
            </w:r>
          </w:p>
        </w:tc>
        <w:tc>
          <w:tcPr>
            <w:tcW w:w="15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$17.00</w:t>
            </w: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32406B"/>
              </w:rPr>
              <w:t>Historical net tangible book value (deficit) per share as of March 31, 2021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32406B"/>
              </w:rPr>
              <w:t>$(18.50)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Increase per share attributable to the pro forma adjustments described above</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22.95</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32406B"/>
              </w:rPr>
              <w:t>Pro forma net tangible book value per share as of March 31, 2021</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4.45</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32406B"/>
                <w:w w:val="91"/>
              </w:rPr>
              <w:t>Increase in pro forma as adjusted net tangible book value per share attributable to new investors participating in this offering</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32406B"/>
              </w:rPr>
              <w:t>1.87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32406B"/>
              </w:rPr>
              <w:t>Pro forma as adjusted net tangible book value per share immediately after this offering</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6.32</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32406B"/>
              </w:rPr>
              <w:t>Dilution per share to new investors participating in this offering</w:t>
            </w:r>
          </w:p>
        </w:tc>
        <w:tc>
          <w:tcPr>
            <w:tcW w:w="15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$10.68</w:t>
            </w:r>
          </w:p>
        </w:tc>
      </w:tr>
      <w:tr>
        <w:trPr>
          <w:trHeight w:val="20"/>
        </w:trPr>
        <w:tc>
          <w:tcPr>
            <w:tcW w:w="9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If the underwriters exercise in full their option to purchase additional shares of common stock, our pro forma as adjusted net tangible book value per share after this offering would be $6.55, representing an immediate increase in pro forma as adjusted net tangible book value per share of $2.10 to existing stockholders and immediate dilution in pro forma as adjusted net tangible book value per share of $10.45 to new investors participating in this offering, based on the initial public offering price of $17.00 per share and after deducting underwriting discounts and commissions and estimated offering expenses payable by us.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following table summarizes, as of March 31, 2021, the total number of shares of common stock purchased from us on an as converted to common stock basis, the total consideration and the average price per share (1) paid by existing stockholders and (2) to be paid by new investors participating in this offering at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90</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initial public offering price of $17.00 per share, before deducting underwriting discounts and commissions and estimated offering expenses payable by us. As the table shows, new investors participating in this offering will pay an average price per share substantially higher than our existing stockholders paid.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32406B"/>
              </w:rPr>
              <w:t>Shares Purchased</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vMerge w:val="restart"/>
          </w:tcPr>
          <w:p>
            <w:pPr>
              <w:jc w:val="right"/>
              <w:ind w:right="335"/>
              <w:spacing w:after="0"/>
              <w:rPr>
                <w:sz w:val="20"/>
                <w:szCs w:val="20"/>
                <w:color w:val="auto"/>
              </w:rPr>
            </w:pPr>
            <w:r>
              <w:rPr>
                <w:rFonts w:ascii="Arial" w:cs="Arial" w:eastAsia="Arial" w:hAnsi="Arial"/>
                <w:sz w:val="14"/>
                <w:szCs w:val="14"/>
                <w:b w:val="1"/>
                <w:bCs w:val="1"/>
                <w:color w:val="32406B"/>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32406B"/>
              </w:rPr>
              <w:t>Average</w:t>
            </w:r>
          </w:p>
        </w:tc>
        <w:tc>
          <w:tcPr>
            <w:tcW w:w="0" w:type="dxa"/>
            <w:vAlign w:val="bottom"/>
          </w:tcPr>
          <w:p>
            <w:pPr>
              <w:spacing w:after="0"/>
              <w:rPr>
                <w:sz w:val="1"/>
                <w:szCs w:val="1"/>
                <w:color w:val="auto"/>
              </w:rPr>
            </w:pPr>
          </w:p>
        </w:tc>
      </w:tr>
      <w:tr>
        <w:trPr>
          <w:trHeight w:val="82"/>
        </w:trPr>
        <w:tc>
          <w:tcPr>
            <w:tcW w:w="5340" w:type="dxa"/>
            <w:vAlign w:val="bottom"/>
          </w:tcPr>
          <w:p>
            <w:pPr>
              <w:spacing w:after="0"/>
              <w:rPr>
                <w:sz w:val="6"/>
                <w:szCs w:val="6"/>
                <w:color w:val="auto"/>
              </w:rPr>
            </w:pPr>
          </w:p>
        </w:tc>
        <w:tc>
          <w:tcPr>
            <w:tcW w:w="200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4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32406B"/>
              </w:rPr>
              <w:t>Price Per</w:t>
            </w:r>
          </w:p>
        </w:tc>
        <w:tc>
          <w:tcPr>
            <w:tcW w:w="0" w:type="dxa"/>
            <w:vAlign w:val="bottom"/>
          </w:tcPr>
          <w:p>
            <w:pPr>
              <w:spacing w:after="0"/>
              <w:rPr>
                <w:sz w:val="1"/>
                <w:szCs w:val="1"/>
                <w:color w:val="auto"/>
              </w:rPr>
            </w:pPr>
          </w:p>
        </w:tc>
      </w:tr>
      <w:tr>
        <w:trPr>
          <w:trHeight w:val="52"/>
        </w:trPr>
        <w:tc>
          <w:tcPr>
            <w:tcW w:w="5340" w:type="dxa"/>
            <w:vAlign w:val="bottom"/>
          </w:tcPr>
          <w:p>
            <w:pPr>
              <w:spacing w:after="0"/>
              <w:rPr>
                <w:sz w:val="4"/>
                <w:szCs w:val="4"/>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32406B"/>
              </w:rPr>
              <w:t>Number</w:t>
            </w:r>
          </w:p>
        </w:tc>
        <w:tc>
          <w:tcPr>
            <w:tcW w:w="360" w:type="dxa"/>
            <w:vAlign w:val="bottom"/>
            <w:vMerge w:val="restart"/>
          </w:tcPr>
          <w:p>
            <w:pPr>
              <w:spacing w:after="0"/>
              <w:rPr>
                <w:sz w:val="4"/>
                <w:szCs w:val="4"/>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32406B"/>
                <w:w w:val="87"/>
              </w:rPr>
              <w:t>Percentage</w:t>
            </w:r>
          </w:p>
        </w:tc>
        <w:tc>
          <w:tcPr>
            <w:tcW w:w="3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32406B"/>
              </w:rPr>
              <w:t>Amount</w:t>
            </w:r>
          </w:p>
        </w:tc>
        <w:tc>
          <w:tcPr>
            <w:tcW w:w="340" w:type="dxa"/>
            <w:vAlign w:val="bottom"/>
            <w:vMerge w:val="restart"/>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32406B"/>
                <w:w w:val="90"/>
              </w:rPr>
              <w:t>Percentage</w:t>
            </w:r>
          </w:p>
        </w:tc>
        <w:tc>
          <w:tcPr>
            <w:tcW w:w="32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32406B"/>
                <w:w w:val="87"/>
              </w:rPr>
              <w:t>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32406B"/>
              </w:rPr>
              <w:t>Existing stockholders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90,315,660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83.2%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$465,410,461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32406B"/>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32406B"/>
              </w:rPr>
              <w:t>Investors participating in this offering</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32406B"/>
              </w:rPr>
              <w:t>18,200,000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32406B"/>
              </w:rPr>
              <w:t>16.8</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32406B"/>
              </w:rPr>
              <w:t>309,400,000</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32406B"/>
              </w:rPr>
              <w:t>39.9</w:t>
            </w:r>
          </w:p>
        </w:tc>
        <w:tc>
          <w:tcPr>
            <w:tcW w:w="280" w:type="dxa"/>
            <w:vAlign w:val="bottom"/>
            <w:gridSpan w:val="2"/>
          </w:tcPr>
          <w:p>
            <w:pPr>
              <w:ind w:left="180"/>
              <w:spacing w:after="0"/>
              <w:rPr>
                <w:sz w:val="20"/>
                <w:szCs w:val="20"/>
                <w:color w:val="auto"/>
              </w:rPr>
            </w:pPr>
            <w:r>
              <w:rPr>
                <w:rFonts w:ascii="Arial" w:cs="Arial" w:eastAsia="Arial" w:hAnsi="Arial"/>
                <w:sz w:val="18"/>
                <w:szCs w:val="18"/>
                <w:color w:val="32406B"/>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32406B"/>
              </w:rPr>
              <w:t>17.00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3"/>
              </w:rPr>
              <w:t>108,515,660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100.0%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32406B"/>
              </w:rPr>
              <w:t>$774,810,461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The table assumes no exercise of the underwriters’ option to purchase additional shares in this offering. If the underwriters exercise in full their option to purchase additional shares of our common stock, the number of shares of our common stock held by existing stockholders would be reduced to 81.2% of the total number of shares of our common stock outstanding after this offering, and the number of shares of common stock held by new investors participating in this offering would be increased to 18.8% of the total number of shares of our common stock outstanding after this offering.</w:t>
      </w:r>
    </w:p>
    <w:p>
      <w:pPr>
        <w:spacing w:after="0" w:line="15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The number of shares of our common stock to be outstanding after this offering is based on 90,315,660 shares of our common stock outstanding as of March 31, 2021, assuming the conversion of all outstanding shares of our preferred stock, including 4,296,550 shares of Series C preferred stock issued in April 2021, into an aggregate of 84,722,420 shares of common stock upon the closing of this offering, and excludes:</w:t>
      </w:r>
    </w:p>
    <w:p>
      <w:pPr>
        <w:spacing w:after="0" w:line="7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6,000 shares of our common stock issued subsequent to March 31, 2021;</w:t>
      </w:r>
    </w:p>
    <w:p>
      <w:pPr>
        <w:spacing w:after="0" w:line="130" w:lineRule="exact"/>
        <w:rPr>
          <w:rFonts w:ascii="Arial" w:cs="Arial" w:eastAsia="Arial" w:hAnsi="Arial"/>
          <w:sz w:val="18"/>
          <w:szCs w:val="18"/>
          <w:color w:val="32406B"/>
        </w:rPr>
      </w:pPr>
    </w:p>
    <w:p>
      <w:pPr>
        <w:jc w:val="both"/>
        <w:ind w:left="1080" w:right="20" w:hanging="532"/>
        <w:spacing w:after="0" w:line="311" w:lineRule="auto"/>
        <w:tabs>
          <w:tab w:leader="none" w:pos="1080" w:val="left"/>
        </w:tabs>
        <w:numPr>
          <w:ilvl w:val="0"/>
          <w:numId w:val="58"/>
        </w:numPr>
        <w:rPr>
          <w:rFonts w:ascii="Arial" w:cs="Arial" w:eastAsia="Arial" w:hAnsi="Arial"/>
          <w:sz w:val="16"/>
          <w:szCs w:val="16"/>
          <w:color w:val="32406B"/>
        </w:rPr>
      </w:pPr>
      <w:r>
        <w:rPr>
          <w:rFonts w:ascii="Arial" w:cs="Arial" w:eastAsia="Arial" w:hAnsi="Arial"/>
          <w:sz w:val="16"/>
          <w:szCs w:val="16"/>
          <w:color w:val="32406B"/>
        </w:rPr>
        <w:t>5,366,070 shares of our common stock issuable upon the exercise of options outstanding as of March 31, 2021 under the 2020 Plan, at a weighted-average exercise price of $2.49 per share (which does not include options to purchase an aggregate of 11,427,020 shares of our common stock, at a weighted-average exercise price of $10.86 per share, that were granted subsequent to March 31, 2021);</w:t>
      </w:r>
    </w:p>
    <w:p>
      <w:pPr>
        <w:spacing w:after="0" w:line="54" w:lineRule="exact"/>
        <w:rPr>
          <w:rFonts w:ascii="Arial" w:cs="Arial" w:eastAsia="Arial" w:hAnsi="Arial"/>
          <w:sz w:val="16"/>
          <w:szCs w:val="16"/>
          <w:color w:val="32406B"/>
        </w:rPr>
      </w:pPr>
    </w:p>
    <w:p>
      <w:pPr>
        <w:jc w:val="both"/>
        <w:ind w:left="1080" w:hanging="532"/>
        <w:spacing w:after="0" w:line="263" w:lineRule="auto"/>
        <w:tabs>
          <w:tab w:leader="none" w:pos="108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11,860,995 shares of our common stock available for future issuance as of March 31, 2021 under the 2020 Plan, which such shares ceased to be available for issuance under the 2020 Plan at the time the 2021 Plan became effective and became available for issuance under the 2021 Plan;</w:t>
      </w:r>
    </w:p>
    <w:p>
      <w:pPr>
        <w:spacing w:after="0" w:line="89" w:lineRule="exact"/>
        <w:rPr>
          <w:rFonts w:ascii="Arial" w:cs="Arial" w:eastAsia="Arial" w:hAnsi="Arial"/>
          <w:sz w:val="18"/>
          <w:szCs w:val="18"/>
          <w:color w:val="32406B"/>
        </w:rPr>
      </w:pPr>
    </w:p>
    <w:p>
      <w:pPr>
        <w:jc w:val="both"/>
        <w:ind w:left="1080" w:hanging="532"/>
        <w:spacing w:after="0" w:line="286" w:lineRule="auto"/>
        <w:tabs>
          <w:tab w:leader="none" w:pos="1080" w:val="left"/>
        </w:tabs>
        <w:numPr>
          <w:ilvl w:val="0"/>
          <w:numId w:val="58"/>
        </w:numPr>
        <w:rPr>
          <w:rFonts w:ascii="Arial" w:cs="Arial" w:eastAsia="Arial" w:hAnsi="Arial"/>
          <w:sz w:val="17"/>
          <w:szCs w:val="17"/>
          <w:color w:val="32406B"/>
        </w:rPr>
      </w:pPr>
      <w:r>
        <w:rPr>
          <w:rFonts w:ascii="Arial" w:cs="Arial" w:eastAsia="Arial" w:hAnsi="Arial"/>
          <w:sz w:val="17"/>
          <w:szCs w:val="17"/>
          <w:color w:val="32406B"/>
        </w:rPr>
        <w:t>6,434,485 additional shares of our common stock available for future issuance under our 2020 Plan, which was amended subsequent to March 31, 2021 to increase the shares available under the plan, which such shares ceased to be available for issuance under the 2020 Plan at the time our 2021 Plan became effective and became available for issuance under the 2021 Plan;</w:t>
      </w:r>
    </w:p>
    <w:p>
      <w:pPr>
        <w:spacing w:after="0" w:line="70" w:lineRule="exact"/>
        <w:rPr>
          <w:rFonts w:ascii="Arial" w:cs="Arial" w:eastAsia="Arial" w:hAnsi="Arial"/>
          <w:sz w:val="17"/>
          <w:szCs w:val="17"/>
          <w:color w:val="32406B"/>
        </w:rPr>
      </w:pPr>
    </w:p>
    <w:p>
      <w:pPr>
        <w:jc w:val="both"/>
        <w:ind w:left="1080" w:right="20" w:hanging="532"/>
        <w:spacing w:after="0" w:line="263" w:lineRule="auto"/>
        <w:tabs>
          <w:tab w:leader="none" w:pos="108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11,413,572 shares of our common stock that became available for future issuance under the 2021 Plan, which became effective immediately prior to and contingent upon the execution of the underwriting agreement related to this offering, as well as any automatic increases in the number of shares of common stock reserved for future issuance under the 2021 Plan; and</w:t>
      </w:r>
    </w:p>
    <w:p>
      <w:pPr>
        <w:spacing w:after="0" w:line="89"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58"/>
        </w:numPr>
        <w:rPr>
          <w:rFonts w:ascii="Arial" w:cs="Arial" w:eastAsia="Arial" w:hAnsi="Arial"/>
          <w:sz w:val="18"/>
          <w:szCs w:val="18"/>
          <w:color w:val="32406B"/>
        </w:rPr>
      </w:pPr>
      <w:r>
        <w:rPr>
          <w:rFonts w:ascii="Arial" w:cs="Arial" w:eastAsia="Arial" w:hAnsi="Arial"/>
          <w:sz w:val="18"/>
          <w:szCs w:val="18"/>
          <w:color w:val="32406B"/>
        </w:rPr>
        <w:t>1,342,773 shares of our common stock that became available for future issuance under the 2021 ESPP, which became effective immediately prior to and contingent upon the execution of the underwriting agreement related to this offering, as well as any automatic increases in the number of shares of common stock reserved for future issuance under the 2021 ESPP.</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To the extent that outstanding stock options are exercised, new stock options or warrants are issued, or we issue additional shares of common stock, other equity securities or convertible debt securities in the future, there will be further dilution to our stockholders, including new investors participating in this offering. In addition, we may choose to raise additional capital because of market conditions or strategic considerations, even if we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91</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32406B"/>
        </w:rPr>
        <w:t>believe that we have sufficient funds for our current or future operating plans. If we raise additional capital through the sale of equity or convertible debt securities, the issuance of these securities could result in further dilution to our stockholders, including new investors participating in this offering.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SELECTED CONSOLIDATED FINANCIAL DATA</w:t>
      </w:r>
    </w:p>
    <w:p>
      <w:pPr>
        <w:spacing w:after="0" w:line="22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i w:val="1"/>
          <w:iCs w:val="1"/>
          <w:color w:val="32406B"/>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period from June 3, 2020 (inception) to December 31, 2020 and the consolidated balance sheet data as of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32406B"/>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32406B"/>
                <w:w w:val="98"/>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32406B"/>
                <w:w w:val="94"/>
              </w:rPr>
              <w:t>(Inception) to</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32406B"/>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32406B"/>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32406B"/>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5"/>
          </w:tcPr>
          <w:p>
            <w:pPr>
              <w:jc w:val="right"/>
              <w:ind w:right="251"/>
              <w:spacing w:after="0" w:line="142" w:lineRule="exact"/>
              <w:rPr>
                <w:sz w:val="20"/>
                <w:szCs w:val="20"/>
                <w:color w:val="auto"/>
              </w:rPr>
            </w:pPr>
            <w:r>
              <w:rPr>
                <w:rFonts w:ascii="Arial" w:cs="Arial" w:eastAsia="Arial" w:hAnsi="Arial"/>
                <w:sz w:val="14"/>
                <w:szCs w:val="14"/>
                <w:b w:val="1"/>
                <w:bCs w:val="1"/>
                <w:color w:val="32406B"/>
                <w:w w:val="98"/>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2406B"/>
              </w:rPr>
              <w:t>Consolidated Statement of Operations Data: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32406B"/>
              </w:rPr>
              <w:t>Operating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Research and development</w:t>
            </w:r>
            <w:r>
              <w:rPr>
                <w:rFonts w:ascii="Arial" w:cs="Arial" w:eastAsia="Arial" w:hAnsi="Arial"/>
                <w:sz w:val="15"/>
                <w:szCs w:val="15"/>
                <w:color w:val="32406B"/>
              </w:rPr>
              <w:t>(1)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32406B"/>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21,992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34,032</w:t>
            </w:r>
          </w:p>
        </w:tc>
        <w:tc>
          <w:tcPr>
            <w:tcW w:w="0" w:type="dxa"/>
            <w:vAlign w:val="bottom"/>
          </w:tcPr>
          <w:p>
            <w:pPr>
              <w:spacing w:after="0"/>
              <w:rPr>
                <w:sz w:val="1"/>
                <w:szCs w:val="1"/>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32406B"/>
              </w:rPr>
              <w:t>Acquired in-process research and development</w:t>
            </w:r>
            <w:r>
              <w:rPr>
                <w:rFonts w:ascii="Arial" w:cs="Arial" w:eastAsia="Arial" w:hAnsi="Arial"/>
                <w:sz w:val="15"/>
                <w:szCs w:val="15"/>
                <w:color w:val="32406B"/>
              </w:rPr>
              <w:t>(2)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32406B"/>
              </w:rPr>
              <w:t>40,125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32406B"/>
              </w:rPr>
              <w:t>1,000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Selling, general and administrative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3,210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3,677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32406B"/>
              </w:rPr>
              <w:t>Total operating expenses</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65,327</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Loss from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(65,327)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(38,709)</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32406B"/>
              </w:rPr>
              <w:t>Other income:</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32406B"/>
              </w:rPr>
              <w:t>Total other income</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Net loss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32406B"/>
                <w:w w:val="99"/>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(65,319)</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(38,700)</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32406B"/>
              </w:rPr>
              <w:t>Net loss per share attributable to common stockholders, basic and diluted</w:t>
            </w:r>
            <w:r>
              <w:rPr>
                <w:rFonts w:ascii="Arial" w:cs="Arial" w:eastAsia="Arial" w:hAnsi="Arial"/>
                <w:sz w:val="15"/>
                <w:szCs w:val="15"/>
                <w:color w:val="32406B"/>
              </w:rPr>
              <w:t>(3)</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(18.10)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Weighted-average common shares outstanding, basic and diluted</w:t>
            </w:r>
            <w:r>
              <w:rPr>
                <w:rFonts w:ascii="Arial" w:cs="Arial" w:eastAsia="Arial" w:hAnsi="Arial"/>
                <w:sz w:val="15"/>
                <w:szCs w:val="15"/>
                <w:color w:val="32406B"/>
              </w:rPr>
              <w:t>(3)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3,608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32406B"/>
                <w:w w:val="96"/>
              </w:rPr>
              <w:t>Pro forma net loss per share attributable to common stockholders, basic and diluted (unaudited)</w:t>
            </w:r>
            <w:r>
              <w:rPr>
                <w:rFonts w:ascii="Arial" w:cs="Arial" w:eastAsia="Arial" w:hAnsi="Arial"/>
                <w:sz w:val="15"/>
                <w:szCs w:val="15"/>
                <w:color w:val="32406B"/>
                <w:w w:val="96"/>
              </w:rPr>
              <w:t>(4)</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(1.25)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32406B"/>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Pro forma weighted-average common shares outstanding, basic and diluted (unaudited)</w:t>
            </w:r>
            <w:r>
              <w:rPr>
                <w:rFonts w:ascii="Arial" w:cs="Arial" w:eastAsia="Arial" w:hAnsi="Arial"/>
                <w:sz w:val="15"/>
                <w:szCs w:val="15"/>
                <w:color w:val="32406B"/>
              </w:rPr>
              <w:t>(4)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52,167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63,240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74" w:lineRule="auto"/>
        <w:tabs>
          <w:tab w:leader="none" w:pos="54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540" w:hanging="424"/>
        <w:spacing w:after="0" w:line="265" w:lineRule="auto"/>
        <w:tabs>
          <w:tab w:leader="none" w:pos="54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ind w:left="540" w:right="20" w:hanging="424"/>
        <w:spacing w:after="0" w:line="250" w:lineRule="auto"/>
        <w:tabs>
          <w:tab w:leader="none" w:pos="540" w:val="left"/>
        </w:tabs>
        <w:numPr>
          <w:ilvl w:val="0"/>
          <w:numId w:val="59"/>
        </w:numPr>
        <w:rPr>
          <w:rFonts w:ascii="Arial" w:cs="Arial" w:eastAsia="Arial" w:hAnsi="Arial"/>
          <w:sz w:val="18"/>
          <w:szCs w:val="18"/>
          <w:color w:val="32406B"/>
        </w:rPr>
      </w:pPr>
      <w:r>
        <w:rPr>
          <w:rFonts w:ascii="Arial" w:cs="Arial" w:eastAsia="Arial" w:hAnsi="Arial"/>
          <w:sz w:val="18"/>
          <w:szCs w:val="18"/>
          <w:color w:val="32406B"/>
        </w:rPr>
        <w:t>See Note 13 to our consolidated financial statements appearing at the end of this prospectus for details on the calculation of basic and diluted net loss per share attributable to common stockholders.</w:t>
      </w:r>
    </w:p>
    <w:p>
      <w:pPr>
        <w:jc w:val="both"/>
        <w:ind w:left="540" w:right="20" w:hanging="424"/>
        <w:spacing w:after="0" w:line="255" w:lineRule="auto"/>
        <w:tabs>
          <w:tab w:leader="none" w:pos="540" w:val="left"/>
        </w:tabs>
        <w:numPr>
          <w:ilvl w:val="0"/>
          <w:numId w:val="59"/>
        </w:numPr>
        <w:rPr>
          <w:rFonts w:ascii="Arial" w:cs="Arial" w:eastAsia="Arial" w:hAnsi="Arial"/>
          <w:sz w:val="18"/>
          <w:szCs w:val="18"/>
          <w:color w:val="32406B"/>
        </w:rPr>
      </w:pPr>
      <w:r>
        <w:rPr>
          <w:rFonts w:ascii="Arial" w:cs="Arial" w:eastAsia="Arial" w:hAnsi="Arial"/>
          <w:sz w:val="18"/>
          <w:szCs w:val="18"/>
          <w:color w:val="32406B"/>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93</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4" w:lineRule="auto"/>
        <w:rPr>
          <w:sz w:val="20"/>
          <w:szCs w:val="20"/>
          <w:color w:val="auto"/>
        </w:rPr>
      </w:pPr>
      <w:r>
        <w:rPr>
          <w:rFonts w:ascii="Arial" w:cs="Arial" w:eastAsia="Arial" w:hAnsi="Arial"/>
          <w:sz w:val="18"/>
          <w:szCs w:val="18"/>
          <w:color w:val="32406B"/>
        </w:rPr>
        <w:t>weighted-average common shares outstanding for the period. Pro forma net loss attributable to common stockholders is the same as the amount of net loss attributable to common stockholders for each period presented. Pro forma weighted-average common shares outstanding is computed by adjusting the weighted-average common shares outstanding to give pro forma effect to the automatic conversion of all shares of our preferred stock outstanding as of December 31, 2020 and March 31, 2021 into shares of common stock as if this offering had occurred on the later of June 3, 2020 (inception) or the issuance date of the preferred stock. Pro forma basic and diluted net loss per share attributable to common stockholders does not include the effect of the shares of Series C preferred stock we issued and sold in April 2021 and the shares expected to be sold in this offering.</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ind w:right="1175"/>
              <w:spacing w:after="0"/>
              <w:rPr>
                <w:sz w:val="20"/>
                <w:szCs w:val="20"/>
                <w:color w:val="auto"/>
              </w:rPr>
            </w:pPr>
            <w:r>
              <w:rPr>
                <w:rFonts w:ascii="Arial" w:cs="Arial" w:eastAsia="Arial" w:hAnsi="Arial"/>
                <w:sz w:val="14"/>
                <w:szCs w:val="14"/>
                <w:b w:val="1"/>
                <w:bCs w:val="1"/>
                <w:color w:val="32406B"/>
              </w:rPr>
              <w:t>As of</w:t>
            </w:r>
          </w:p>
        </w:tc>
        <w:tc>
          <w:tcPr>
            <w:tcW w:w="2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32406B"/>
              </w:rPr>
              <w:t>As of</w:t>
            </w:r>
          </w:p>
        </w:tc>
      </w:tr>
      <w:tr>
        <w:trPr>
          <w:trHeight w:val="171"/>
        </w:trPr>
        <w:tc>
          <w:tcPr>
            <w:tcW w:w="7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32406B"/>
              </w:rPr>
              <w:t>December 31, 2020</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32406B"/>
              </w:rPr>
              <w:t>March 31, 2021</w:t>
            </w:r>
          </w:p>
        </w:tc>
      </w:tr>
      <w:tr>
        <w:trPr>
          <w:trHeight w:val="142"/>
        </w:trPr>
        <w:tc>
          <w:tcPr>
            <w:tcW w:w="78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rPr>
              <w:t>(in thousands)</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Consolidated Balance Sheet Data:</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32406B"/>
              </w:rPr>
              <w:t>Cash and cash equivalents</w:t>
            </w:r>
          </w:p>
        </w:tc>
        <w:tc>
          <w:tcPr>
            <w:tcW w:w="260" w:type="dxa"/>
            <w:vAlign w:val="bottom"/>
          </w:tcPr>
          <w:p>
            <w:pPr>
              <w:spacing w:after="0"/>
              <w:rPr>
                <w:sz w:val="20"/>
                <w:szCs w:val="20"/>
                <w:color w:val="auto"/>
              </w:rPr>
            </w:pPr>
            <w:r>
              <w:rPr>
                <w:rFonts w:ascii="Arial" w:cs="Arial" w:eastAsia="Arial" w:hAnsi="Arial"/>
                <w:sz w:val="18"/>
                <w:szCs w:val="18"/>
                <w:color w:val="32406B"/>
              </w:rPr>
              <w:t>$</w:t>
            </w:r>
          </w:p>
        </w:tc>
        <w:tc>
          <w:tcPr>
            <w:tcW w:w="1740" w:type="dxa"/>
            <w:vAlign w:val="bottom"/>
          </w:tcPr>
          <w:p>
            <w:pPr>
              <w:jc w:val="right"/>
              <w:ind w:right="755"/>
              <w:spacing w:after="0"/>
              <w:rPr>
                <w:sz w:val="20"/>
                <w:szCs w:val="20"/>
                <w:color w:val="auto"/>
              </w:rPr>
            </w:pPr>
            <w:r>
              <w:rPr>
                <w:rFonts w:ascii="Arial" w:cs="Arial" w:eastAsia="Arial" w:hAnsi="Arial"/>
                <w:sz w:val="18"/>
                <w:szCs w:val="18"/>
                <w:color w:val="32406B"/>
              </w:rPr>
              <w:t>114,988</w:t>
            </w:r>
          </w:p>
        </w:tc>
        <w:tc>
          <w:tcPr>
            <w:tcW w:w="260" w:type="dxa"/>
            <w:vAlign w:val="bottom"/>
          </w:tcPr>
          <w:p>
            <w:pPr>
              <w:ind w:left="6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32406B"/>
              </w:rPr>
              <w:t>91,247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32406B"/>
              </w:rPr>
              <w:t>Working capital</w:t>
            </w:r>
            <w:r>
              <w:rPr>
                <w:rFonts w:ascii="Arial" w:cs="Arial" w:eastAsia="Arial" w:hAnsi="Arial"/>
                <w:sz w:val="15"/>
                <w:szCs w:val="15"/>
                <w:color w:val="32406B"/>
              </w:rPr>
              <w:t>(1)</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32406B"/>
              </w:rPr>
              <w:t>104,310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66,197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32406B"/>
              </w:rPr>
              <w:t>Total assets</w:t>
            </w:r>
          </w:p>
        </w:tc>
        <w:tc>
          <w:tcPr>
            <w:tcW w:w="260" w:type="dxa"/>
            <w:vAlign w:val="bottom"/>
          </w:tcPr>
          <w:p>
            <w:pPr>
              <w:spacing w:after="0"/>
              <w:rPr>
                <w:sz w:val="18"/>
                <w:szCs w:val="18"/>
                <w:color w:val="auto"/>
              </w:rPr>
            </w:pPr>
          </w:p>
        </w:tc>
        <w:tc>
          <w:tcPr>
            <w:tcW w:w="1740" w:type="dxa"/>
            <w:vAlign w:val="bottom"/>
          </w:tcPr>
          <w:p>
            <w:pPr>
              <w:jc w:val="right"/>
              <w:ind w:right="755"/>
              <w:spacing w:after="0"/>
              <w:rPr>
                <w:sz w:val="20"/>
                <w:szCs w:val="20"/>
                <w:color w:val="auto"/>
              </w:rPr>
            </w:pPr>
            <w:r>
              <w:rPr>
                <w:rFonts w:ascii="Arial" w:cs="Arial" w:eastAsia="Arial" w:hAnsi="Arial"/>
                <w:sz w:val="18"/>
                <w:szCs w:val="18"/>
                <w:color w:val="32406B"/>
              </w:rPr>
              <w:t>117,382</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32406B"/>
              </w:rPr>
              <w:t>94,874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32406B"/>
              </w:rPr>
              <w:t>Convertible preferred stock</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32406B"/>
              </w:rPr>
              <w:t>169,548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169,548</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32406B"/>
              </w:rPr>
              <w:t>Total stockholders’ deficit</w:t>
            </w:r>
          </w:p>
        </w:tc>
        <w:tc>
          <w:tcPr>
            <w:tcW w:w="260" w:type="dxa"/>
            <w:vAlign w:val="bottom"/>
          </w:tcPr>
          <w:p>
            <w:pPr>
              <w:spacing w:after="0"/>
              <w:rPr>
                <w:sz w:val="20"/>
                <w:szCs w:val="20"/>
                <w:color w:val="auto"/>
              </w:rPr>
            </w:pPr>
          </w:p>
        </w:tc>
        <w:tc>
          <w:tcPr>
            <w:tcW w:w="1740" w:type="dxa"/>
            <w:vAlign w:val="bottom"/>
          </w:tcPr>
          <w:p>
            <w:pPr>
              <w:jc w:val="right"/>
              <w:ind w:right="695"/>
              <w:spacing w:after="0"/>
              <w:rPr>
                <w:sz w:val="20"/>
                <w:szCs w:val="20"/>
                <w:color w:val="auto"/>
              </w:rPr>
            </w:pPr>
            <w:r>
              <w:rPr>
                <w:rFonts w:ascii="Arial" w:cs="Arial" w:eastAsia="Arial" w:hAnsi="Arial"/>
                <w:sz w:val="18"/>
                <w:szCs w:val="18"/>
                <w:color w:val="32406B"/>
              </w:rPr>
              <w:t>(65,249)</w:t>
            </w:r>
          </w:p>
        </w:tc>
        <w:tc>
          <w:tcPr>
            <w:tcW w:w="2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32406B"/>
              </w:rPr>
              <w:t>(103,362)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color w:val="32406B"/>
        </w:rPr>
      </w:pPr>
      <w:r>
        <w:rPr>
          <w:rFonts w:ascii="Arial" w:cs="Arial" w:eastAsia="Arial" w:hAnsi="Arial"/>
          <w:sz w:val="18"/>
          <w:szCs w:val="18"/>
          <w:color w:val="32406B"/>
        </w:rPr>
        <w:t>We define working capital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94</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AND RESULTS OF OPERATIONS</w:t>
      </w:r>
    </w:p>
    <w:p>
      <w:pPr>
        <w:spacing w:after="0" w:line="21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i w:val="1"/>
          <w:iCs w:val="1"/>
          <w:color w:val="32406B"/>
        </w:rPr>
        <w:t>You should read the following discussion and analysis of our financial condition and results of operations together with the “Selected Consolidated Financial Data” section of this prospectus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w:t>
      </w:r>
    </w:p>
    <w:p>
      <w:pPr>
        <w:spacing w:after="0" w:line="181"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ADG20 is designed to be a potent, long-acting and broadly neutralizing antibody for both the treatment and prevention of COVID-19 as either a single or combination agent. Unlike other antibody-based therapies specifically targeting SARS-CoV-2, ADG20 has demonstrated an ability in non-clinical studies to neutralize SARS-CoV-2, including variants of concern, as well as a broad range of SARS-like viruses with neutralization potency at IC</w:t>
      </w:r>
      <w:r>
        <w:rPr>
          <w:rFonts w:ascii="Arial" w:cs="Arial" w:eastAsia="Arial" w:hAnsi="Arial"/>
          <w:sz w:val="14"/>
          <w:szCs w:val="14"/>
          <w:color w:val="32406B"/>
        </w:rPr>
        <w:t>50</w:t>
      </w:r>
      <w:r>
        <w:rPr>
          <w:rFonts w:ascii="Arial" w:cs="Arial" w:eastAsia="Arial" w:hAnsi="Arial"/>
          <w:sz w:val="17"/>
          <w:szCs w:val="17"/>
          <w:color w:val="32406B"/>
        </w:rPr>
        <w:t xml:space="preserve"> (half maximal inhibitory concentrations) of approximately 0.01 mcg/mL or less in live-virus cellular assays. We believe this demonstrated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the day following administration of ADG20 were similar to or exceeded peak serum neutralizing antibody titers generated after two doses of mRNA or adenovirus-based COVID-19 vaccines.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86"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We were formed in June 2020. In July 2020, we entered into an assignment and license agreement, or the Adimab Assignment Agreement, with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Since our inception, we have devoted substantially all of our resources to organizing and staffing, building an intellectual property portfolio, business planning, conducting research and development, establishing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95</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32406B"/>
        </w:rPr>
        <w:t>arrangements with third parties for the manufacture of our product candidates and raising capital. We rely heavily on external consultants and contract research organizations, or CROs, to conduct our non-clinical, preclinical and clinical activities. Additionally, we are currently dependent on WuXi Biologics (Hong Kong) Limited, or WuXi, a contract development and manufacturing organization, or CDMO, for the manufacture of our product candidates for clinical and commercial use. We expect to continue to rely on third parties for clinical trials and the manufacture of our product candidates. Since our inception, we have financed our operations with proceeds from sales of our preferred stock. Through March 31, 2021, we had received net proceeds of $129.5 million from the sales of our preferred stock. In addition, in April 2021, we received gross proceeds of $335.5 million from sales of our Series C preferred stock. To date, we have not generated any revenue from any sources, including product sales. In February 2021, we advanced ADG20 into a Phase 1 clinical trial.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w:t>
      </w:r>
    </w:p>
    <w:p>
      <w:pPr>
        <w:spacing w:after="0" w:line="18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Since our inception, we have incurred significant losses, including net losses of $65.3 million for the period from June 3, 2020 (inception) to December 31, 2020 and of $38.7 million for the three months ended March 31, 2021. As of March 31, 2021, we had an accumulated deficit of $104.0 million. We expect to continue to incur significant expenses and recognize substantial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We anticipate that our expenses will increase significantly in connection with our ongoing activities, as we:</w:t>
      </w:r>
    </w:p>
    <w:p>
      <w:pPr>
        <w:spacing w:after="0" w:line="83" w:lineRule="exact"/>
        <w:rPr>
          <w:sz w:val="20"/>
          <w:szCs w:val="20"/>
          <w:color w:val="auto"/>
        </w:rPr>
      </w:pPr>
    </w:p>
    <w:p>
      <w:pPr>
        <w:ind w:left="1080" w:hanging="532"/>
        <w:spacing w:after="0" w:line="342" w:lineRule="auto"/>
        <w:tabs>
          <w:tab w:leader="none" w:pos="1080" w:val="left"/>
        </w:tabs>
        <w:numPr>
          <w:ilvl w:val="0"/>
          <w:numId w:val="61"/>
        </w:numPr>
        <w:rPr>
          <w:rFonts w:ascii="Arial" w:cs="Arial" w:eastAsia="Arial" w:hAnsi="Arial"/>
          <w:sz w:val="16"/>
          <w:szCs w:val="16"/>
          <w:color w:val="32406B"/>
        </w:rPr>
      </w:pPr>
      <w:r>
        <w:rPr>
          <w:rFonts w:ascii="Arial" w:cs="Arial" w:eastAsia="Arial" w:hAnsi="Arial"/>
          <w:sz w:val="16"/>
          <w:szCs w:val="16"/>
          <w:color w:val="32406B"/>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seek regulatory approval for any product candidates that successfully complete clinical trials;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pursue marketing approvals or EUA and reimbursement for our product candidates;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acquire or in-license other product candidates, intellectual property and/or technologies;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develop, establish and validate our commercial-scale cGMP manufacturing process;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maintain, expand, enforce, defend and protect our intellectual property portfolio;</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comply with regulatory requirements established by the applicable regulatory authorities;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develop, establish and validate our commercial-scale cGMP manufacturing process;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hire and retain additional personnel, including research, clinical, development, manufacturing, quality control, quality assurance, regulatory and scientific personnel;</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1"/>
        </w:numPr>
        <w:rPr>
          <w:rFonts w:ascii="Arial" w:cs="Arial" w:eastAsia="Arial" w:hAnsi="Arial"/>
          <w:sz w:val="18"/>
          <w:szCs w:val="18"/>
          <w:color w:val="32406B"/>
        </w:rPr>
      </w:pPr>
      <w:r>
        <w:rPr>
          <w:rFonts w:ascii="Arial" w:cs="Arial" w:eastAsia="Arial" w:hAnsi="Arial"/>
          <w:sz w:val="18"/>
          <w:szCs w:val="18"/>
          <w:color w:val="32406B"/>
        </w:rPr>
        <w:t>incur additional legal, accounting and other expenses in operating as a public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96</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Because of the numerous risks and uncertainties associated with pharmaceutical product development,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We believe that the net proceeds from this offering, together with our existing cash and cash equivalents, will be sufficient to fund our operating expenses and capital expenditure requirements into the first quarter of 2023. We have based this estimate on assumptions that may prove to be wrong, and we could exhaust our available capital resources sooner than we expect. See “—Liquidity and Capital Resources.”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Without giving effect to the anticipated net proceeds from this offering, as of May 21, 2021, we expect that our existing cash and cash equivalents, including the $335.5 million of gross proceeds we received from sales of our Series C preferred stock in April 2021, will be sufficient to fund our operating expenses and capital expenditure requirements through March 31, 2022. Beyond that point, we will need to raise additional capital to finance our operations, which cannot be assured. We concluded as of May 21, 2021, the issuance date of our consolidated financial statements for the period from June 3, 2020 (inception) to December 31, 2020 and of our interim consolidated financial statements for the three months ended March 31, 2021, that this circumstance raised substantial doubt about our ability to continue as a going concern within one year of the issuance date of those consolidated financial statements. See Note 1 to our consolidated financial statements appearing at the end of this prospectus for additional information on our assessment.</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Similarly, in its report on our consolidated financial statements for the period from June 3, 2020 (inception) to December 31, 2020, our independent registered public accounting firm included an explanatory paragraph stating that our recurring losses from operations since inception, expectation of generating operating losses in the foreseeable future and need for additional capital to finance our future operations raise substantial doubt about our ability to continue as a going concern.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Impact of COVID-19 on Our Operations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97</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continued emergence of variants of concern,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the outbreak and its impact on our clinical trial design and enrollment, trial sites, CROs, CDMOs and other third parties with which we do business, as well as its impact on regulatory authorities and our key scientific and management personnel. To date, we have not experienced significant delays or disruptions in our development activities as a result of the COVID-19 pandemic but may in the future as the outbreak progresses and some of our CROs, CDMOs and other service providers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Revenue</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Research and Development Expenses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The nature of our business and primary focus of our activities generate a significant amount of research and development costs. Research and development expenses represent costs incurred by us for:</w:t>
      </w:r>
    </w:p>
    <w:p>
      <w:pPr>
        <w:spacing w:after="0" w:line="76"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the non-clinical and preclinical development of our product candidates, including our discovery efforts;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the procurement of our product candidates from third-party manufacturers;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2"/>
        </w:numPr>
        <w:rPr>
          <w:rFonts w:ascii="Arial" w:cs="Arial" w:eastAsia="Arial" w:hAnsi="Arial"/>
          <w:sz w:val="18"/>
          <w:szCs w:val="18"/>
          <w:color w:val="32406B"/>
        </w:rPr>
      </w:pPr>
      <w:r>
        <w:rPr>
          <w:rFonts w:ascii="Arial" w:cs="Arial" w:eastAsia="Arial" w:hAnsi="Arial"/>
          <w:sz w:val="18"/>
          <w:szCs w:val="18"/>
          <w:color w:val="32406B"/>
        </w:rPr>
        <w:t>the global clinical development of our product candidates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Such costs consist of:</w:t>
      </w:r>
    </w:p>
    <w:p>
      <w:pPr>
        <w:spacing w:after="0" w:line="131" w:lineRule="exact"/>
        <w:rPr>
          <w:sz w:val="20"/>
          <w:szCs w:val="20"/>
          <w:color w:val="auto"/>
        </w:rPr>
      </w:pPr>
    </w:p>
    <w:p>
      <w:pPr>
        <w:ind w:left="1080" w:right="20" w:hanging="532"/>
        <w:spacing w:after="0" w:line="277" w:lineRule="auto"/>
        <w:tabs>
          <w:tab w:leader="none" w:pos="10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personnel-related expenses, including salaries, bonuses, benefits and other compensation-related costs, including stock-based compensation expense, for employees engaged in research and development functions;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3"/>
        </w:numPr>
        <w:rPr>
          <w:rFonts w:ascii="Arial" w:cs="Arial" w:eastAsia="Arial" w:hAnsi="Arial"/>
          <w:sz w:val="18"/>
          <w:szCs w:val="18"/>
          <w:color w:val="32406B"/>
        </w:rPr>
      </w:pPr>
      <w:r>
        <w:rPr>
          <w:rFonts w:ascii="Arial" w:cs="Arial" w:eastAsia="Arial" w:hAnsi="Arial"/>
          <w:sz w:val="18"/>
          <w:szCs w:val="18"/>
          <w:color w:val="32406B"/>
        </w:rPr>
        <w:t>expenses incurred under agreements with third parties, such as consultants, contractors and CROs, that conduct the non-clinical and preclinical studies and clinical trials of our product candidates and research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98</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costs of procuring manufactured product candidates for use in non-clinical studies, preclinical studies and clinical trials from third-party CDMOs;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costs of outside consultants and advisors, including their fees and stock-based compensation;</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payments made under third-party licensing agreements;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4"/>
        </w:numPr>
        <w:rPr>
          <w:rFonts w:ascii="Arial" w:cs="Arial" w:eastAsia="Arial" w:hAnsi="Arial"/>
          <w:sz w:val="18"/>
          <w:szCs w:val="18"/>
          <w:color w:val="32406B"/>
        </w:rPr>
      </w:pPr>
      <w:r>
        <w:rPr>
          <w:rFonts w:ascii="Arial" w:cs="Arial" w:eastAsia="Arial" w:hAnsi="Arial"/>
          <w:sz w:val="18"/>
          <w:szCs w:val="18"/>
          <w:color w:val="32406B"/>
        </w:rPr>
        <w:t>other expenses incurred as a result of research and development activities.</w:t>
      </w:r>
    </w:p>
    <w:p>
      <w:pPr>
        <w:spacing w:after="0" w:line="22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4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Our primary focus since inception has been the development of ADG20.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19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ADG20 through clinical development on a global basis, pursue regulatory approval of ADG20, continue to discover and develop additional product candidates and incur expenses associated with hiring additional personnel to support our research and development efforts, including the associated manufacturing activities.</w:t>
      </w:r>
    </w:p>
    <w:p>
      <w:pPr>
        <w:spacing w:after="0" w:line="16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54"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the timing and progress of preclinical and clinical development activities;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the number and scope of preclinical and clinical programs we decide to pursue;</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filing acceptable investigational new drug applications with the U.S. Food and Drug Administration or comparable foreign applications that allow commencement of our planned clinical trials or future clinical trials for our product candidates;</w:t>
      </w:r>
    </w:p>
    <w:p>
      <w:pPr>
        <w:spacing w:after="0" w:line="75"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our ability to establish and maintain agreements with third-party manufacturers for clinical supply for our clinical trials and successfully develop, obtain regulatory approval or EUA for our product candidates;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5"/>
        </w:numPr>
        <w:rPr>
          <w:rFonts w:ascii="Arial" w:cs="Arial" w:eastAsia="Arial" w:hAnsi="Arial"/>
          <w:sz w:val="17"/>
          <w:szCs w:val="17"/>
          <w:color w:val="32406B"/>
        </w:rPr>
      </w:pPr>
      <w:r>
        <w:rPr>
          <w:rFonts w:ascii="Arial" w:cs="Arial" w:eastAsia="Arial" w:hAnsi="Arial"/>
          <w:sz w:val="17"/>
          <w:szCs w:val="17"/>
          <w:color w:val="32406B"/>
        </w:rPr>
        <w:t>successful enrollment and timely completion of clinical trials, including our ability to generate positive data from any such clinical trials;</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32406B"/>
        </w:rPr>
      </w:pPr>
      <w:r>
        <w:rPr>
          <w:rFonts w:ascii="Arial" w:cs="Arial" w:eastAsia="Arial" w:hAnsi="Arial"/>
          <w:sz w:val="18"/>
          <w:szCs w:val="18"/>
          <w:color w:val="32406B"/>
        </w:rPr>
        <w:t>the costs associated with the development of any additional development programs and product candidates we identify in-house or acquire through collaborations;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99</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the prevalence and severity of adverse events experienced with ADG20 or any other product candidates;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receipt of timely marketing approvals from applicable regulatory authorities;</w:t>
      </w:r>
    </w:p>
    <w:p>
      <w:pPr>
        <w:spacing w:after="0" w:line="130"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66"/>
        </w:numPr>
        <w:rPr>
          <w:rFonts w:ascii="Arial" w:cs="Arial" w:eastAsia="Arial" w:hAnsi="Arial"/>
          <w:sz w:val="16"/>
          <w:szCs w:val="16"/>
          <w:color w:val="32406B"/>
        </w:rPr>
      </w:pPr>
      <w:r>
        <w:rPr>
          <w:rFonts w:ascii="Arial" w:cs="Arial" w:eastAsia="Arial" w:hAnsi="Arial"/>
          <w:sz w:val="16"/>
          <w:szCs w:val="16"/>
          <w:color w:val="32406B"/>
        </w:rPr>
        <w:t>potential significant and changing government regulation, regulatory guidance and requirements and evolving treatment guidelines; and</w:t>
      </w:r>
    </w:p>
    <w:p>
      <w:pPr>
        <w:spacing w:after="0" w:line="153" w:lineRule="exact"/>
        <w:rPr>
          <w:rFonts w:ascii="Arial" w:cs="Arial" w:eastAsia="Arial" w:hAnsi="Arial"/>
          <w:sz w:val="16"/>
          <w:szCs w:val="16"/>
          <w:color w:val="32406B"/>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32406B"/>
        </w:rPr>
      </w:pPr>
      <w:r>
        <w:rPr>
          <w:rFonts w:ascii="Arial" w:cs="Arial" w:eastAsia="Arial" w:hAnsi="Arial"/>
          <w:sz w:val="18"/>
          <w:szCs w:val="18"/>
          <w:color w:val="32406B"/>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In addition, we may never succeed in obtaining regulatory approval or EUA for any of our product candidates.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Acquired In-Process Research and Development Expenses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Acquired in-process research and development, or IPR&amp;D, expenses consist primarily of the upfront costs we incurred in July 2020, as well as any costs of contingent milestone payments and royalties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we become obligated to make contingent milestone and royalty payments to Adimab under the terms of the agreement by which we acquired the IPR&amp;D assets.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Selling, General and Administrative Expenses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17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We anticipate that our selling, general and administrative expenses will increase significantly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100</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32406B"/>
        </w:rPr>
        <w:t>anticipate that we will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Through March 31, 2021, we have operated as a virtual company. Therefore, we do not incur material operating expenses for the rent, maintenance and insurance of facilities or for depreciation of fixed assets. We plan to enter into a lease for office space in the near term, which would increase our operating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Interest income consists of interest earned from our cash and cash equivalents. We expect our interest income will increase slightly as we invest the cash received from our sales of Series C preferred stock in April 2021 and the net proceeds from this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Income Taxes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Since our inception, we have not recorded any income tax benefits for the net losses we have incurred or for the research and development tax credits generated in each period as we believe, based upon the weight of available evidence, that it is more likely than not that all of our net operating loss, or NOL, carryforwards and tax credit carryforwards will not be realized.</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As of December 31, 2020, we had U.S. federal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 We have recorded a full valuation allowance against our net deferred tax assets at each balance sheet date.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Results of Operations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following table summarizes our results of operations for the period from June 3, 2020 (inception) to December 31, 2020 and for the three months ended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32406B"/>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32406B"/>
                <w:w w:val="98"/>
              </w:rPr>
              <w:t>Three Months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32406B"/>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32406B"/>
              </w:rPr>
              <w:t>Ended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32406B"/>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32406B"/>
              </w:rPr>
              <w:t>March 31, 2021</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32406B"/>
                <w:w w:val="93"/>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32406B"/>
              </w:rPr>
              <w:t>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32406B"/>
              </w:rPr>
              <w:t>Research and development</w:t>
            </w:r>
          </w:p>
        </w:tc>
        <w:tc>
          <w:tcPr>
            <w:tcW w:w="354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32406B"/>
              </w:rPr>
              <w:t>21,992</w:t>
            </w:r>
          </w:p>
        </w:tc>
        <w:tc>
          <w:tcPr>
            <w:tcW w:w="220" w:type="dxa"/>
            <w:vAlign w:val="bottom"/>
            <w:gridSpan w:val="2"/>
          </w:tcPr>
          <w:p>
            <w:pPr>
              <w:ind w:left="20"/>
              <w:spacing w:after="0"/>
              <w:rPr>
                <w:sz w:val="20"/>
                <w:szCs w:val="20"/>
                <w:color w:val="auto"/>
              </w:rPr>
            </w:pPr>
            <w:r>
              <w:rPr>
                <w:rFonts w:ascii="Arial" w:cs="Arial" w:eastAsia="Arial" w:hAnsi="Arial"/>
                <w:sz w:val="18"/>
                <w:szCs w:val="18"/>
                <w:color w:val="32406B"/>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32406B"/>
              </w:rPr>
              <w:t>34,032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Acquired in-process research and development</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40,125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1,000</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32406B"/>
              </w:rPr>
              <w:t>Selling, general and administrative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2406B"/>
              </w:rPr>
              <w:t>3,210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32406B"/>
              </w:rPr>
              <w:t>3,677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65,327</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38,709</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32406B"/>
              </w:rPr>
              <w:t>Loss from operations</w:t>
            </w:r>
          </w:p>
        </w:tc>
        <w:tc>
          <w:tcPr>
            <w:tcW w:w="3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(65,327)</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32406B"/>
              </w:rPr>
              <w:t>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32406B"/>
              </w:rPr>
              <w:t>Interest income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2406B"/>
              </w:rPr>
              <w:t>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32406B"/>
              </w:rPr>
              <w:t>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32406B"/>
              </w:rPr>
              <w:t>Net loss</w:t>
            </w:r>
          </w:p>
        </w:tc>
        <w:tc>
          <w:tcPr>
            <w:tcW w:w="3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32406B"/>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(65,319)</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(38,700)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20" w:type="dxa"/>
            <w:vAlign w:val="bottom"/>
            <w:vMerge w:val="restart"/>
          </w:tcPr>
          <w:p>
            <w:pPr>
              <w:jc w:val="right"/>
              <w:ind w:right="2250"/>
              <w:spacing w:after="0"/>
              <w:rPr>
                <w:sz w:val="20"/>
                <w:szCs w:val="20"/>
                <w:color w:val="auto"/>
              </w:rPr>
            </w:pPr>
            <w:r>
              <w:rPr>
                <w:rFonts w:ascii="Arial" w:cs="Arial" w:eastAsia="Arial" w:hAnsi="Arial"/>
                <w:sz w:val="18"/>
                <w:szCs w:val="18"/>
                <w:color w:val="32406B"/>
              </w:rPr>
              <w:t>101</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The description of material changes from period to period required by Item 303 of Regulation S-K cannot be presented as no company-related activities were performed by any party before our company was formed on June 3, 2020 and there are no comparative earlier periods for purposes of this analysis. Accordingly, the following discussion presents the components of our expenses for the periods presented.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Research and Development Expenses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32406B"/>
                <w:w w:val="94"/>
              </w:rPr>
              <w:t>Period from</w:t>
            </w:r>
          </w:p>
        </w:tc>
        <w:tc>
          <w:tcPr>
            <w:tcW w:w="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32406B"/>
                <w:w w:val="95"/>
              </w:rPr>
              <w:t>Three Months</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32406B"/>
                <w:w w:val="93"/>
              </w:rPr>
              <w:t>June 3, 2020</w:t>
            </w: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32406B"/>
                <w:w w:val="92"/>
              </w:rPr>
              <w:t>(Inception) to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3"/>
              </w:rPr>
              <w:t>Ended</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9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32406B"/>
                <w:w w:val="91"/>
              </w:rPr>
              <w:t>December 31, 2020</w:t>
            </w: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32406B"/>
              </w:rPr>
              <w:t>March 31, 2021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32406B"/>
                <w:w w:val="93"/>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32406B"/>
              </w:rPr>
              <w:t>Direct, external research and development expenses by program:</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32406B"/>
              </w:rPr>
              <w:t>ADG20</w:t>
            </w:r>
          </w:p>
        </w:tc>
        <w:tc>
          <w:tcPr>
            <w:tcW w:w="14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32406B"/>
              </w:rPr>
              <w:t>18,523</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32406B"/>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32406B"/>
              </w:rPr>
              <w:t>30,652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32406B"/>
              </w:rPr>
              <w:t>Unallocated research and development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32406B"/>
              </w:rPr>
              <w:t>Personnel related (including stock-based compensation)</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32406B"/>
              </w:rPr>
              <w:t>1,743</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32406B"/>
              </w:rPr>
              <w:t>2,260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External discovery-related costs and other</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1,726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1,120</w:t>
            </w:r>
          </w:p>
        </w:tc>
        <w:tc>
          <w:tcPr>
            <w:tcW w:w="0" w:type="dxa"/>
            <w:vAlign w:val="bottom"/>
          </w:tcPr>
          <w:p>
            <w:pPr>
              <w:spacing w:after="0"/>
              <w:rPr>
                <w:sz w:val="1"/>
                <w:szCs w:val="1"/>
                <w:color w:val="auto"/>
              </w:rPr>
            </w:pPr>
          </w:p>
        </w:tc>
      </w:tr>
      <w:tr>
        <w:trPr>
          <w:trHeight w:val="223"/>
        </w:trPr>
        <w:tc>
          <w:tcPr>
            <w:tcW w:w="7980" w:type="dxa"/>
            <w:vAlign w:val="bottom"/>
          </w:tcPr>
          <w:p>
            <w:pPr>
              <w:ind w:left="720"/>
              <w:spacing w:after="0"/>
              <w:rPr>
                <w:sz w:val="20"/>
                <w:szCs w:val="20"/>
                <w:color w:val="auto"/>
              </w:rPr>
            </w:pPr>
            <w:r>
              <w:rPr>
                <w:rFonts w:ascii="Arial" w:cs="Arial" w:eastAsia="Arial" w:hAnsi="Arial"/>
                <w:sz w:val="18"/>
                <w:szCs w:val="18"/>
                <w:color w:val="32406B"/>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21,992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34,032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Research and development expenses were $22.0 million for the period from June 3, 2020 (inception) to December 31, 2020 and consisted primarily of the following:</w:t>
      </w:r>
    </w:p>
    <w:p>
      <w:pPr>
        <w:spacing w:after="0" w:line="76" w:lineRule="exact"/>
        <w:rPr>
          <w:sz w:val="20"/>
          <w:szCs w:val="20"/>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$14.8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$1.4 million of clinical trial expenses related to start-up activities for our clinical trials for the ADG20 program;</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$1.0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$1.3 million of non-clinical studies expenses associated with the ADG20 program;</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$1.7 million of personnel-related costs, including salaries, bonuses and other compensation-related costs, including stock-based compensation of $0.1 million;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7"/>
        </w:numPr>
        <w:rPr>
          <w:rFonts w:ascii="Arial" w:cs="Arial" w:eastAsia="Arial" w:hAnsi="Arial"/>
          <w:sz w:val="18"/>
          <w:szCs w:val="18"/>
          <w:color w:val="32406B"/>
        </w:rPr>
      </w:pPr>
      <w:r>
        <w:rPr>
          <w:rFonts w:ascii="Arial" w:cs="Arial" w:eastAsia="Arial" w:hAnsi="Arial"/>
          <w:sz w:val="18"/>
          <w:szCs w:val="18"/>
          <w:color w:val="32406B"/>
        </w:rPr>
        <w:t>$1.7 million of external discovery-related and other costs.</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32406B"/>
        </w:rPr>
        <w:t>The contract manufacturing, clinical and other external research and development costs for our ADG20 program were incurred in connection with our first-in-human Phase 1 clinical trial to evaluate ADG20 and our Phase 2/3 STAMP trial of ADG20 for the treatment of COVID-19.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Research and development expenses were $34.0 million for the three months ended March 31, 2021 and consisted primarily of the following:</w:t>
      </w:r>
    </w:p>
    <w:p>
      <w:pPr>
        <w:spacing w:after="0" w:line="154" w:lineRule="exact"/>
        <w:rPr>
          <w:sz w:val="20"/>
          <w:szCs w:val="20"/>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$20.4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$7.5 million of clinical trial expenses related to start-up activities for our clinical trials for the ADG20 program, including site initiation and patient enrollment;</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$1.8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8"/>
        </w:numPr>
        <w:rPr>
          <w:rFonts w:ascii="Arial" w:cs="Arial" w:eastAsia="Arial" w:hAnsi="Arial"/>
          <w:sz w:val="18"/>
          <w:szCs w:val="18"/>
          <w:color w:val="32406B"/>
        </w:rPr>
      </w:pPr>
      <w:r>
        <w:rPr>
          <w:rFonts w:ascii="Arial" w:cs="Arial" w:eastAsia="Arial" w:hAnsi="Arial"/>
          <w:sz w:val="18"/>
          <w:szCs w:val="18"/>
          <w:color w:val="32406B"/>
        </w:rPr>
        <w:t>$0.9 million of non-clinical studies expenses associated with the ADG20 program;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102</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$2.3 million of personnel-related costs, including salaries, bonuses and other compensation-related costs, including stock-based compensation of $0.3 million;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69"/>
        </w:numPr>
        <w:rPr>
          <w:rFonts w:ascii="Arial" w:cs="Arial" w:eastAsia="Arial" w:hAnsi="Arial"/>
          <w:sz w:val="18"/>
          <w:szCs w:val="18"/>
          <w:color w:val="32406B"/>
        </w:rPr>
      </w:pPr>
      <w:r>
        <w:rPr>
          <w:rFonts w:ascii="Arial" w:cs="Arial" w:eastAsia="Arial" w:hAnsi="Arial"/>
          <w:sz w:val="18"/>
          <w:szCs w:val="18"/>
          <w:color w:val="32406B"/>
        </w:rPr>
        <w:t>$1.1 million of external discovery-related and other costs.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contract manufacturing, clinical and other external research and development costs for our ADG20 program were incurred in connection with our first-in-human Phase 1 clinical trial to evaluate ADG20, which was initiated in February 2021, and our Phase 2/3 STAMP trial of ADG20 for the treatment of COVID-19, which was initiated in March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Acquired In-Process Research and Development Expenses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Acquired IPR&amp;D expenses of $40.1 million for the period from June 3, 2020 (inception) to December 31, 2020 consisted primarily of the $39.9 million of costs we incurred in July 2020 to acquire rights to Adimab’s antibodies relating to COVID-19 and SARS and related intellectual property and a license to certain of Adimab’s platform patents and technology for use in the research and development of our product candidates. We expensed the cost of the IPR&amp;D assets acquired because they had no alternative future use as of the acquisition date. The $39.9 million of costs to acquire the IPR&amp;D assets was determined as a result of our allocation of the $40.0 million aggregate fair value of the 5,000,000 shares of the Series A preferred stock that we issued to Adimab on the acquisition date in exchange for (i) the IPR&amp;D assets acquired from Adimab and (ii) 4,250,000 shares of our common stock that we repurchased from Adimab on that same date. We allocated the $40.0 million fair value of the 5,000,000 shares of Series A preferred to the IPR&amp;D assets and to the repurchased common stock based on their relative fair values on the acquisition date. We determined the fair value of the 5,000,000 shares of Series A preferred stock based on the $8.00 price per share paid for the stock by new investors in our Series A preferred stock financing, which closed on the same date as the date on which we acquired the intellectual property rights and license from Adimab.</w:t>
      </w:r>
    </w:p>
    <w:p>
      <w:pPr>
        <w:spacing w:after="0" w:line="16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Acquired IPR&amp;D expenses of $1.0 million for the three months ended March 31, 2021 consisted of the cost we incurred in the period under the Adimab Assignment Agreement for a milestone payment that became due to Adimab in February 2021 upon the dosing of the first patient in a Phase 1 clinical trial evaluating ADG20. The amount of this contingent payment was recognized as an IPR&amp;D expense based on the nature of the associated assets acquired from Adimab on the date of the milestone achievement.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Selling, General and Administrative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32406B"/>
                <w:w w:val="94"/>
              </w:rPr>
              <w:t>Period from</w:t>
            </w:r>
          </w:p>
        </w:tc>
        <w:tc>
          <w:tcPr>
            <w:tcW w:w="6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32406B"/>
                <w:w w:val="95"/>
              </w:rPr>
              <w:t>Three Months</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32406B"/>
                <w:w w:val="94"/>
              </w:rPr>
              <w:t>(Inception) to</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3"/>
              </w:rPr>
              <w:t>Ended</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20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32406B"/>
                <w:w w:val="91"/>
              </w:rPr>
              <w:t>December 31, 2020</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32406B"/>
              </w:rPr>
              <w:t>March 31, 2021</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960"/>
              <w:spacing w:after="0" w:line="142" w:lineRule="exact"/>
              <w:rPr>
                <w:sz w:val="20"/>
                <w:szCs w:val="20"/>
                <w:color w:val="auto"/>
              </w:rPr>
            </w:pPr>
            <w:r>
              <w:rPr>
                <w:rFonts w:ascii="Arial" w:cs="Arial" w:eastAsia="Arial" w:hAnsi="Arial"/>
                <w:sz w:val="14"/>
                <w:szCs w:val="14"/>
                <w:b w:val="1"/>
                <w:bCs w:val="1"/>
                <w:color w:val="32406B"/>
                <w:w w:val="95"/>
              </w:rPr>
              <w:t>(in thousands)</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32406B"/>
              </w:rPr>
              <w:t>Personnel related (including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1,239</w:t>
            </w: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1,494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32406B"/>
              </w:rPr>
              <w:t>Professional and consultant fees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32406B"/>
              </w:rPr>
              <w:t>1,849</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32406B"/>
              </w:rPr>
              <w:t>1,969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32406B"/>
              </w:rPr>
              <w:t>Other</w:t>
            </w: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32406B"/>
              </w:rPr>
              <w:t>122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214</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32406B"/>
              </w:rPr>
              <w:t>Total selling, general and administrative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3,210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Selling, general and administrative expenses were $3.2 million for the period from June 3, 2020 (inception) to December 31, 2020 and consisted primarily of:</w:t>
      </w:r>
    </w:p>
    <w:p>
      <w:pPr>
        <w:spacing w:after="0" w:line="76" w:lineRule="exact"/>
        <w:rPr>
          <w:sz w:val="20"/>
          <w:szCs w:val="20"/>
          <w:color w:val="auto"/>
        </w:rPr>
      </w:pPr>
    </w:p>
    <w:p>
      <w:pPr>
        <w:ind w:left="1080" w:hanging="532"/>
        <w:spacing w:after="0" w:line="277" w:lineRule="auto"/>
        <w:tabs>
          <w:tab w:leader="none" w:pos="108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$1.2 million of personnel-related costs, including salaries, bonuses and other compensation-related costs, including stock-based compensation of $30,000;</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0"/>
        </w:numPr>
        <w:rPr>
          <w:rFonts w:ascii="Arial" w:cs="Arial" w:eastAsia="Arial" w:hAnsi="Arial"/>
          <w:sz w:val="18"/>
          <w:szCs w:val="18"/>
          <w:color w:val="32406B"/>
        </w:rPr>
      </w:pPr>
      <w:r>
        <w:rPr>
          <w:rFonts w:ascii="Arial" w:cs="Arial" w:eastAsia="Arial" w:hAnsi="Arial"/>
          <w:sz w:val="18"/>
          <w:szCs w:val="18"/>
          <w:color w:val="32406B"/>
        </w:rPr>
        <w:t>$1.2 million of professional service fees, including corporate legal costs as well as costs related to intellectual property, legal and compliance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103</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7"/>
          <w:szCs w:val="17"/>
          <w:color w:val="32406B"/>
        </w:rPr>
      </w:pPr>
      <w:r>
        <w:rPr>
          <w:rFonts w:ascii="Arial" w:cs="Arial" w:eastAsia="Arial" w:hAnsi="Arial"/>
          <w:sz w:val="17"/>
          <w:szCs w:val="17"/>
          <w:color w:val="32406B"/>
        </w:rPr>
        <w:t>$0.6 million of market research costs relating to developing our potential commercialization plans and brand-related matters; and</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71"/>
        </w:numPr>
        <w:rPr>
          <w:rFonts w:ascii="Arial" w:cs="Arial" w:eastAsia="Arial" w:hAnsi="Arial"/>
          <w:sz w:val="18"/>
          <w:szCs w:val="18"/>
          <w:color w:val="32406B"/>
        </w:rPr>
      </w:pPr>
      <w:r>
        <w:rPr>
          <w:rFonts w:ascii="Arial" w:cs="Arial" w:eastAsia="Arial" w:hAnsi="Arial"/>
          <w:sz w:val="18"/>
          <w:szCs w:val="18"/>
          <w:color w:val="32406B"/>
        </w:rPr>
        <w:t>$0.1 million related to non-capital software and hardware and other office-related expenses.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Selling, general and administrative expenses were $3.7 million for the three months ended March 31, 2021 and consisted primarily of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$1.5 million of personnel-related costs, including salaries, bonuses and other compensation-related costs, including stock-based compensation of $0.3 million;</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$1.1 million of professional service fees, including corporate legal costs as well as costs related to intellectual property, legal and compliance costs;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72"/>
        </w:numPr>
        <w:rPr>
          <w:rFonts w:ascii="Arial" w:cs="Arial" w:eastAsia="Arial" w:hAnsi="Arial"/>
          <w:sz w:val="16"/>
          <w:szCs w:val="16"/>
          <w:color w:val="32406B"/>
        </w:rPr>
      </w:pPr>
      <w:r>
        <w:rPr>
          <w:rFonts w:ascii="Arial" w:cs="Arial" w:eastAsia="Arial" w:hAnsi="Arial"/>
          <w:sz w:val="16"/>
          <w:szCs w:val="16"/>
          <w:color w:val="32406B"/>
        </w:rPr>
        <w:t>$0.9 million of market research costs relating to developing our potential commercialization plans and consumer brand-related matters; and</w:t>
      </w:r>
    </w:p>
    <w:p>
      <w:pPr>
        <w:spacing w:after="0" w:line="153" w:lineRule="exact"/>
        <w:rPr>
          <w:rFonts w:ascii="Arial" w:cs="Arial" w:eastAsia="Arial" w:hAnsi="Arial"/>
          <w:sz w:val="16"/>
          <w:szCs w:val="16"/>
          <w:color w:val="32406B"/>
        </w:rPr>
      </w:pPr>
    </w:p>
    <w:p>
      <w:pPr>
        <w:ind w:left="1080" w:hanging="532"/>
        <w:spacing w:after="0"/>
        <w:tabs>
          <w:tab w:leader="none" w:pos="1080" w:val="left"/>
        </w:tabs>
        <w:numPr>
          <w:ilvl w:val="0"/>
          <w:numId w:val="72"/>
        </w:numPr>
        <w:rPr>
          <w:rFonts w:ascii="Arial" w:cs="Arial" w:eastAsia="Arial" w:hAnsi="Arial"/>
          <w:sz w:val="18"/>
          <w:szCs w:val="18"/>
          <w:color w:val="32406B"/>
        </w:rPr>
      </w:pPr>
      <w:r>
        <w:rPr>
          <w:rFonts w:ascii="Arial" w:cs="Arial" w:eastAsia="Arial" w:hAnsi="Arial"/>
          <w:sz w:val="18"/>
          <w:szCs w:val="18"/>
          <w:color w:val="32406B"/>
        </w:rPr>
        <w:t>$0.2 million related to non-capital software and hardware and other office-related expenses.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Interest income for the period from June 3, 2020 (inception) to December 31, 2020 and for the three months ended March 31, 2021 was $8,000 and $9,000, respectively, consisting of interest earned on our cash and cash equivalents.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Sources of Liquidity</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Since our inception in June 2020, we have not generated any revenue from any sources, including from product sales, and have incurred significant operating losses and negative cash flows from operations. We expect to incur significant expenses and operating losses for the foreseeable future as we advance the clinical development of our product candidates. To date, we have funded our operations with proceeds from sales of our preferred stock. Through March 31, 2021, we had received net proceeds of $129.5 million from sales of our preferred stock. As of March 31, 2021, we had cash and cash equivalents of $91.2 million. In addition, in April 2021, we received gross proceeds of $335.5 million from sales of our Series C preferred stock.</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summarizes our sources and uses of cash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32406B"/>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32406B"/>
                <w:w w:val="98"/>
              </w:rPr>
              <w:t>Three Months</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32406B"/>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32406B"/>
              </w:rPr>
              <w:t>Ended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32406B"/>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32406B"/>
              </w:rPr>
              <w:t>March 31, 2021</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32406B"/>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32406B"/>
              </w:rPr>
              <w:t>Net cash used in operating activities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32406B"/>
              </w:rPr>
              <w:t>(14,571)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(23,741)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32406B"/>
              </w:rPr>
              <w:t>Net cash provided by financing activities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2406B"/>
              </w:rPr>
              <w:t>129,559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Net increase in cash and cash equivalents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32406B"/>
              </w:rPr>
              <w:t>114,988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2406B"/>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(23,741)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Operating Activities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During the period from June 3, 2020 (inception) to December 31, 2020, operating activities used $14.6 million of cash, primarily due to our net loss of $65.3 million, partially offset by non-cash charges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104</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32406B"/>
        </w:rPr>
        <w:t>$40.1 million and net cash provided by changes in our operating assets and liabilities of $10.7 million. Net cash provided by changes in our operating assets and liabilities consisted of an $8.2 million increase in accounts payable and a $4.9 million increase in accrued expenses, both partially offset by a $2.4 million increase in prepaid expenses and other 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was primarily due to prepayments for external research and development activities.</w:t>
      </w:r>
    </w:p>
    <w:p>
      <w:pPr>
        <w:spacing w:after="0" w:line="178"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During the three months ended March 31, 2021, operating activities used $23.7 million of cash, primarily resulting from our net loss of $38.7 million, partially offset by non-cash charges of $0.6 million and net cash provided by changes in our operating assets and liabilities of $14.4 million. Net cash provided by changes in our operating assets and liabilities for the three months ended March 31, 2021 consisted primarily of a $12.4 million increase in accrued expenses and a $3.2 million increase in accounts payable, both partially offset by a $1.2 million increase in prepaid expenses and other current assets. The increases in accounts payable, accrued expenses and prepaid expenses were primarily due to increased external costs associated with our research and development activities, including clinical trials and manufacturing.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Investing Activities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We had no cash used in or provided by investing activities for the period from June 3, 2020 (inception) to December 31, 2020 or for the three months ended March 31,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Financing Activities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During the period from June 3, 2020 (inception) to December 31, 2020, net cash provided by financing activities was $129.6 million, primarily related to net proceeds of $49.7 million from the issuance of our Series A preferred stock in July 2020 and net proceeds of $79.8 million from the issuance of our Series B preferred stock in October and November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had no cash used in or provided by financing activities for the three months ended March 31, 2021.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Funding Requirements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w:t>
      </w:r>
    </w:p>
    <w:p>
      <w:pPr>
        <w:spacing w:after="0" w:line="8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the rate of progress in the development of AGD20 and our other product candidates;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the extent to which we develop, in-license or acquire other product candidates and technologies in our pipeline;</w:t>
      </w:r>
    </w:p>
    <w:p>
      <w:pPr>
        <w:spacing w:after="0" w:line="130"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the number and development requirements of product candidates that we may pursue;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3"/>
        </w:numPr>
        <w:rPr>
          <w:rFonts w:ascii="Arial" w:cs="Arial" w:eastAsia="Arial" w:hAnsi="Arial"/>
          <w:sz w:val="18"/>
          <w:szCs w:val="18"/>
          <w:color w:val="32406B"/>
        </w:rPr>
      </w:pPr>
      <w:r>
        <w:rPr>
          <w:rFonts w:ascii="Arial" w:cs="Arial" w:eastAsia="Arial" w:hAnsi="Arial"/>
          <w:sz w:val="18"/>
          <w:szCs w:val="18"/>
          <w:color w:val="32406B"/>
        </w:rPr>
        <w:t>the costs, timing and outcome of regulatory review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105</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need and ability to hire additional research, clinical, development, scientific and manufacturing personnel;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costs we incur in maintaining business operations;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need to implement additional internal systems and infrastructure;</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effect of competing technological, product and market developments;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revenue, if any, received from commercial sales of our product candidates for which we receive marketing approval;</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costs of operating as a public company; and</w:t>
      </w:r>
    </w:p>
    <w:p>
      <w:pPr>
        <w:spacing w:after="0" w:line="130"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74"/>
        </w:numPr>
        <w:rPr>
          <w:rFonts w:ascii="Arial" w:cs="Arial" w:eastAsia="Arial" w:hAnsi="Arial"/>
          <w:sz w:val="18"/>
          <w:szCs w:val="18"/>
          <w:color w:val="32406B"/>
        </w:rPr>
      </w:pPr>
      <w:r>
        <w:rPr>
          <w:rFonts w:ascii="Arial" w:cs="Arial" w:eastAsia="Arial" w:hAnsi="Arial"/>
          <w:sz w:val="18"/>
          <w:szCs w:val="18"/>
          <w:color w:val="32406B"/>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believe that the net proceeds from this offering, together with our existing cash and cash equivalents, will enable us to fund our operating expenses and capital expenditure requirements into the first quarter of 2023. We have based this estimate on assumptions that may prove to be wrong, and we could exhaust our available capital resources sooner than we expect.</w:t>
      </w:r>
    </w:p>
    <w:p>
      <w:pPr>
        <w:spacing w:after="0" w:line="184"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106</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32406B"/>
        </w:rPr>
        <w:t>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summarizes our contractual obligations as of December 31, 2020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32406B"/>
                <w:w w:val="99"/>
              </w:rPr>
              <w:t>Payments Due by Period</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32406B"/>
              </w:rPr>
              <w:t>Total</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32406B"/>
                <w:w w:val="95"/>
              </w:rPr>
              <w:t>Less than</w:t>
            </w:r>
          </w:p>
        </w:tc>
        <w:tc>
          <w:tcPr>
            <w:tcW w:w="560" w:type="dxa"/>
            <w:vAlign w:val="bottom"/>
          </w:tcPr>
          <w:p>
            <w:pPr>
              <w:spacing w:after="0"/>
              <w:rPr>
                <w:sz w:val="10"/>
                <w:szCs w:val="10"/>
                <w:color w:val="auto"/>
              </w:rPr>
            </w:pPr>
          </w:p>
        </w:tc>
        <w:tc>
          <w:tcPr>
            <w:tcW w:w="11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32406B"/>
              </w:rPr>
              <w:t>1 to 3</w:t>
            </w:r>
          </w:p>
        </w:tc>
        <w:tc>
          <w:tcPr>
            <w:tcW w:w="14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32406B"/>
                <w:w w:val="94"/>
              </w:rPr>
              <w:t>4 to 5</w:t>
            </w:r>
          </w:p>
        </w:tc>
        <w:tc>
          <w:tcPr>
            <w:tcW w:w="2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32406B"/>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00" w:type="dxa"/>
            <w:vAlign w:val="bottom"/>
          </w:tcPr>
          <w:p>
            <w:pPr>
              <w:jc w:val="right"/>
              <w:ind w:right="18"/>
              <w:spacing w:after="0"/>
              <w:rPr>
                <w:sz w:val="20"/>
                <w:szCs w:val="20"/>
                <w:color w:val="auto"/>
              </w:rPr>
            </w:pPr>
            <w:r>
              <w:rPr>
                <w:rFonts w:ascii="Arial" w:cs="Arial" w:eastAsia="Arial" w:hAnsi="Arial"/>
                <w:sz w:val="14"/>
                <w:szCs w:val="14"/>
                <w:b w:val="1"/>
                <w:bCs w:val="1"/>
                <w:color w:val="32406B"/>
              </w:rPr>
              <w:t>1 Year</w:t>
            </w:r>
          </w:p>
        </w:tc>
        <w:tc>
          <w:tcPr>
            <w:tcW w:w="5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32406B"/>
              </w:rPr>
              <w:t>Years</w:t>
            </w: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32406B"/>
                <w:w w:val="83"/>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32406B"/>
              </w:rPr>
              <w:t>5 Years</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32406B"/>
              </w:rPr>
              <w:t>Manufacturing agreement</w:t>
            </w:r>
            <w:r>
              <w:rPr>
                <w:rFonts w:ascii="Arial" w:cs="Arial" w:eastAsia="Arial" w:hAnsi="Arial"/>
                <w:sz w:val="15"/>
                <w:szCs w:val="15"/>
                <w:color w:val="32406B"/>
              </w:rPr>
              <w:t>(1)</w:t>
            </w:r>
          </w:p>
        </w:tc>
        <w:tc>
          <w:tcPr>
            <w:tcW w:w="1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0"/>
              </w:rPr>
              <w:t>$142,865</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89"/>
              </w:rPr>
              <w:t>$21,799</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0"/>
              </w:rPr>
              <w:t>$121,066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6"/>
              </w:rPr>
              <w:t>$ —</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32406B"/>
              </w:rPr>
              <w:t>License agreement</w:t>
            </w:r>
          </w:p>
        </w:tc>
        <w:tc>
          <w:tcPr>
            <w:tcW w:w="1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150</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2406B"/>
              </w:rPr>
              <w:t>150</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2406B"/>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32406B"/>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Total</w:t>
            </w:r>
            <w:r>
              <w:rPr>
                <w:rFonts w:ascii="Arial" w:cs="Arial" w:eastAsia="Arial" w:hAnsi="Arial"/>
                <w:sz w:val="15"/>
                <w:szCs w:val="15"/>
                <w:color w:val="32406B"/>
              </w:rPr>
              <w:t>(2)</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0"/>
              </w:rPr>
              <w:t>$143,015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9"/>
              </w:rPr>
              <w:t>$21,949</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0"/>
              </w:rPr>
              <w:t>$121,066</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32406B"/>
              </w:rPr>
              <w:t>$ —</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2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58" w:lineRule="auto"/>
        <w:tabs>
          <w:tab w:leader="none" w:pos="54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Amounts represent minimum purchase commitments under an arrangement with our CDMO for commercial supply. The table reflects obligations that are non-cancelable as of December 31, 2020, based on the expected due dates for such purchases.</w:t>
      </w:r>
    </w:p>
    <w:p>
      <w:pPr>
        <w:spacing w:after="0" w:line="1" w:lineRule="exact"/>
        <w:rPr>
          <w:rFonts w:ascii="Arial" w:cs="Arial" w:eastAsia="Arial" w:hAnsi="Arial"/>
          <w:sz w:val="18"/>
          <w:szCs w:val="18"/>
          <w:color w:val="32406B"/>
        </w:rPr>
      </w:pPr>
    </w:p>
    <w:p>
      <w:pPr>
        <w:ind w:left="540" w:right="20" w:hanging="424"/>
        <w:spacing w:after="0" w:line="260" w:lineRule="auto"/>
        <w:tabs>
          <w:tab w:leader="none" w:pos="540" w:val="left"/>
        </w:tabs>
        <w:numPr>
          <w:ilvl w:val="0"/>
          <w:numId w:val="75"/>
        </w:numPr>
        <w:rPr>
          <w:rFonts w:ascii="Arial" w:cs="Arial" w:eastAsia="Arial" w:hAnsi="Arial"/>
          <w:sz w:val="18"/>
          <w:szCs w:val="18"/>
          <w:color w:val="32406B"/>
        </w:rPr>
      </w:pPr>
      <w:r>
        <w:rPr>
          <w:rFonts w:ascii="Arial" w:cs="Arial" w:eastAsia="Arial" w:hAnsi="Arial"/>
          <w:sz w:val="18"/>
          <w:szCs w:val="18"/>
          <w:color w:val="32406B"/>
        </w:rPr>
        <w:t>Through December 31, 2020, we have operated as a virtual company. Therefore, we do not maintain a corporate headquarters or have material leasing arrangements.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have a manufacturing agreement with WuXi, which outlines the terms and conditions under which it will manufacture ADG20 drug substance for commercial use. Our requirements for manufacture of ADG20 for the years ending December 31, 2021 and 2022, the payments for which will extend into 2023, are governed by a binding, forecasted schedule and are presented in the preceding table.</w:t>
      </w:r>
    </w:p>
    <w:p>
      <w:pPr>
        <w:spacing w:after="0" w:line="18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Under a separate cell line license agreement with WuXi, as of December 31, 2020, we were obligated to pay a license fee of $0.2 million to WuXi, which was an accrued expense as of December 31, 2020 and March 31, 2021. Under the agreement, we are obligated to pay royalties in the range of 0.3% to 0.5% to WuXi based on our net sales of any products covered by the license. However, if we use WuXi to manufacture all of our commercial supplies, no royalties would be owed by us to WuXi for net sales of licensed products. We have an option to buy out our royalty obligations by making a one-time payment of $15.0 million to WuXi. These royalty payments are not included in the preceding table as the amount and timing of such payments are not known.</w:t>
      </w:r>
    </w:p>
    <w:p>
      <w:pPr>
        <w:spacing w:after="0" w:line="19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Under the Adimab Assignment Agreement, we are obligated to pay Adimab up to $16.5 million upon the achievement of specified development and regulatory milestones for the first product licensed under the agreement that achieves specified development and regulatory events and up to $8.1 million upon the achievement of specified development and regulatory milestones for the second product licensed under the agreement that achieves such development and regulatory events. 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 the agreement upon dosing of the first patient in a Phase 2 clinical trial evaluating ADG20 for the prevention of COVID-19, which obligated us to make a $2.5 million payment to Adimab. We made the payment in June 2021. The next potential milestone payment that we may be obligated to make is a $4.0 million milestone payment for the first dosing of the first subject in the first Phase 3 clinical trial of a product licensed under the agreement. In addition, we are obligated to pay Adimab royalties of a mid single-digit percentage based on our net sales of any products covered by the rights assigned. Further, we are obligated to pay Adimab royalties of a specified percentage in the range of 45% to 55% of any compulsory sublicense consideration received by us in lieu of certain royalty payments. These milestone and royalty payments are not included in the preceding table as the amount and timing of such payments are not known. For additional information, see “Business—Licensing, Collaborations and Partnerships—Assignment and License Agreement with Adimab” and “Certain Relationships and Related Party Transactions” appearing elsewhere in this prospectus.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107</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Under the agreement, we are obligated to pay Adimab a quarterly fee of $1.3 million, which obligation may be cancelled at our option at any time.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Under the Adimab Collaboration Agreement, 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 These milestone and royalty payments are not included in the preceding table as the amount and timing of such payments are not known. For additional information, see “Business— Licensing, Collaborations and Partnerships—Collaboration Agreement with Adimab” and “Certain Relationships and Related Party Transactions” appearing elsewhere in this prospectus.</w:t>
      </w:r>
    </w:p>
    <w:p>
      <w:pPr>
        <w:spacing w:after="0" w:line="180"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enter into other contracts in the normal course of business with CROs, contract manufacturing organizations and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 Accordingly, these payments are not included in the preceding table as the amount and timing of such payments are not known.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Critical Accounting Policies and Significant Judgments and Estimates</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While our significant accounting policies are described in more detail in Note 2 to our consolidated financial statements appearing at the end of this prospectus, we believe the following accounting policies used in the preparation of our consolidated financial statements require the most significant judgments and estimates.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Accrued Research and Development Expenses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part of the process of preparing our consolidated financial statements, we are required to estimate our accrued research and development expenses. This process involves estimating the level of service performed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108</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32406B"/>
        </w:rPr>
        <w:t>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67"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CROs in connection with performing non-clinical studies, preclinical studies and clinical trials;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CDMOs related to the production of our product candidates for non-clinical studies, preclinical studies and clinical trials;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6"/>
        </w:numPr>
        <w:rPr>
          <w:rFonts w:ascii="Arial" w:cs="Arial" w:eastAsia="Arial" w:hAnsi="Arial"/>
          <w:sz w:val="18"/>
          <w:szCs w:val="18"/>
          <w:color w:val="32406B"/>
        </w:rPr>
      </w:pPr>
      <w:r>
        <w:rPr>
          <w:rFonts w:ascii="Arial" w:cs="Arial" w:eastAsia="Arial" w:hAnsi="Arial"/>
          <w:sz w:val="18"/>
          <w:szCs w:val="18"/>
          <w:color w:val="32406B"/>
        </w:rPr>
        <w:t>other providers and vendors in connection with research and development activities.</w:t>
      </w:r>
    </w:p>
    <w:p>
      <w:pPr>
        <w:spacing w:after="0" w:line="22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CDMOs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Asset Acquisitions and Acquired In-Process 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measure and recognize asset acquisitions that are not deemed to be business combinations based on the cost to acquire the asset or group of assets, which includes transaction costs. Goodwill is not recognized in asset acquisitions. In an asset acquisition, the cost allocated to acquire IPR&amp;D with no alternative future use is recognized as expense on the acquisition date.</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We concluded that the agreement under which we acquired rights to Adimab’s antibodies relating to COVID-19 and SARS and related intellectual property and a license to certain of Adimab’s platform patents and technology in June 2020 represented an asset acquisition of IPR&amp;D assets with no alternative future use. We further concluded that the arrangement did not qualify as a business combination because substantially all of the fair value of the assets acquired was concentrated in a single asset.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109</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32406B"/>
        </w:rPr>
        <w:t>option-pricing model. We have issued awards with only service-based vesting conditions.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We have issued awards with only service-based vesting conditions through March 31, 2021.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166"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In future periods, we expect stock-based compensation expense to increase due to our existing unrecognized stock-based compensation expense and to additional stock-based awards we expect to grant to continue to attract new hires and retain our existing employees.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Determination of Fair Value of Common Stock</w:t>
      </w:r>
    </w:p>
    <w:p>
      <w:pPr>
        <w:spacing w:after="0" w:line="117"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As there has been no public market for our common stock prior to this offering,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prepared in accordance with the guidance outlined in the American Institute of Certified Public Accountants’ Accounting and Valuation Guide</w:t>
      </w:r>
      <w:r>
        <w:rPr>
          <w:rFonts w:ascii="Arial" w:cs="Arial" w:eastAsia="Arial" w:hAnsi="Arial"/>
          <w:sz w:val="16"/>
          <w:szCs w:val="16"/>
          <w:i w:val="1"/>
          <w:iCs w:val="1"/>
          <w:color w:val="32406B"/>
        </w:rPr>
        <w:t>, Valuation of Privately-Held Company Equity Securities Issued as Compensation.</w:t>
      </w:r>
      <w:r>
        <w:rPr>
          <w:rFonts w:ascii="Arial" w:cs="Arial" w:eastAsia="Arial" w:hAnsi="Arial"/>
          <w:sz w:val="16"/>
          <w:szCs w:val="16"/>
          <w:color w:val="32406B"/>
        </w:rPr>
        <w:t xml:space="preserve"> Our common stock valuations were prepared using either a current value method, or CVM, an option pricing method, or OPM, or a hybrid method. To estimate our enterprise value, the CVM used an asset approach and the OPM and hybrid methods used a market approach. Under the CVM, once the fair value of the enterprise is established based on the balance sheet, the value is allocated to the various series of preferred and common stock based on their respective liquidation preferences or conversion values, whichever is greater.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6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These third-party valuations were performed at various dates, which resulted in valuations of our common stock of $0.00 per share as of June 19, 2020, $0.78 per share as of July 9, 2020, $4.61 per share as of October 31, 2020, $8.36 as of March 15, 2021, $10.14 as of May 1, 2021 and $12.81 as of June 23, 2021. In addition to considering the results of these third-party valuations, our board of directors considered various objective and subjective factors to determine the fair value of common stock as of each grant date,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32406B"/>
        </w:rPr>
      </w:pPr>
      <w:r>
        <w:rPr>
          <w:rFonts w:ascii="Arial" w:cs="Arial" w:eastAsia="Arial" w:hAnsi="Arial"/>
          <w:sz w:val="18"/>
          <w:szCs w:val="18"/>
          <w:color w:val="32406B"/>
        </w:rPr>
        <w:t>the prices at which we sold our preferred stock and the superior rights and preferences of our preferred stock relative to those of our common stock at the time of each grant;</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32406B"/>
        </w:rPr>
      </w:pPr>
      <w:r>
        <w:rPr>
          <w:rFonts w:ascii="Arial" w:cs="Arial" w:eastAsia="Arial" w:hAnsi="Arial"/>
          <w:sz w:val="18"/>
          <w:szCs w:val="18"/>
          <w:color w:val="32406B"/>
        </w:rPr>
        <w:t>the progress of our research and development programs, including the status of preclinical studies and clinical trials for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110</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our stage of development and our business strategy;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external market conditions affecting the biotechnology industry and trends within the biotechnology industry;</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the competitive landscape for similar products for the treatment and prevention of COVID-19;</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our financial position, including cash on hand, and our historical and forecasted performance and operating results;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the lack of an active public market for our common stock and our preferred stock;</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the likelihood of achieving a liquidity event, such as an initial public offering, or IPO, or a sale of our company, given prevailing market conditions; and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78"/>
        </w:numPr>
        <w:rPr>
          <w:rFonts w:ascii="Arial" w:cs="Arial" w:eastAsia="Arial" w:hAnsi="Arial"/>
          <w:sz w:val="18"/>
          <w:szCs w:val="18"/>
          <w:color w:val="32406B"/>
        </w:rPr>
      </w:pPr>
      <w:r>
        <w:rPr>
          <w:rFonts w:ascii="Arial" w:cs="Arial" w:eastAsia="Arial" w:hAnsi="Arial"/>
          <w:sz w:val="18"/>
          <w:szCs w:val="18"/>
          <w:color w:val="32406B"/>
        </w:rPr>
        <w:t>the analysis of IPOs and the market performance of similar companies in the biopharmaceutical industry.</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Option Grants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The following table summarizes by grant date the number of shares subject to options granted since June 3, 2020 (inception), the per share exercise price of the options, the per share fair value of our common stock on each grant date and the per share estimated fair value of the options: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32406B"/>
                <w:w w:val="97"/>
              </w:rPr>
              <w:t>Number of</w:t>
            </w:r>
          </w:p>
        </w:tc>
        <w:tc>
          <w:tcPr>
            <w:tcW w:w="3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32406B"/>
              </w:rPr>
              <w:t>Per Share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32406B"/>
                <w:w w:val="91"/>
              </w:rPr>
              <w:t>Per Share</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4"/>
              </w:rPr>
              <w:t>Per Share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32406B"/>
                <w:w w:val="88"/>
              </w:rPr>
              <w:t>Shares Subject</w:t>
            </w:r>
          </w:p>
        </w:tc>
        <w:tc>
          <w:tcPr>
            <w:tcW w:w="3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32406B"/>
              </w:rPr>
              <w:t>Exercise</w:t>
            </w:r>
          </w:p>
        </w:tc>
        <w:tc>
          <w:tcPr>
            <w:tcW w:w="300" w:type="dxa"/>
            <w:vAlign w:val="bottom"/>
          </w:tcPr>
          <w:p>
            <w:pPr>
              <w:spacing w:after="0"/>
              <w:rPr>
                <w:sz w:val="12"/>
                <w:szCs w:val="12"/>
                <w:color w:val="auto"/>
              </w:rPr>
            </w:pPr>
          </w:p>
        </w:tc>
        <w:tc>
          <w:tcPr>
            <w:tcW w:w="17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32406B"/>
                <w:w w:val="95"/>
              </w:rPr>
              <w:t>Fair Value of</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32406B"/>
                <w:w w:val="95"/>
              </w:rPr>
              <w:t>Estimated Fair</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32406B"/>
              </w:rPr>
              <w:t>Grant Date</w:t>
            </w:r>
          </w:p>
        </w:tc>
        <w:tc>
          <w:tcPr>
            <w:tcW w:w="40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1"/>
              </w:rPr>
              <w:t>to Options</w:t>
            </w:r>
          </w:p>
        </w:tc>
        <w:tc>
          <w:tcPr>
            <w:tcW w:w="30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32406B"/>
              </w:rPr>
              <w:t>Price of</w:t>
            </w:r>
          </w:p>
        </w:tc>
        <w:tc>
          <w:tcPr>
            <w:tcW w:w="30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32406B"/>
              </w:rPr>
              <w:t>Common Stock</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1"/>
              </w:rPr>
              <w:t>Value of</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32406B"/>
                <w:w w:val="96"/>
              </w:rPr>
              <w:t>Granted</w:t>
            </w:r>
          </w:p>
        </w:tc>
        <w:tc>
          <w:tcPr>
            <w:tcW w:w="300" w:type="dxa"/>
            <w:vAlign w:val="bottom"/>
          </w:tcPr>
          <w:p>
            <w:pPr>
              <w:spacing w:after="0"/>
              <w:rPr>
                <w:sz w:val="15"/>
                <w:szCs w:val="15"/>
                <w:color w:val="auto"/>
              </w:rPr>
            </w:pPr>
          </w:p>
        </w:tc>
        <w:tc>
          <w:tcPr>
            <w:tcW w:w="9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32406B"/>
              </w:rPr>
              <w:t>Options</w:t>
            </w:r>
          </w:p>
        </w:tc>
        <w:tc>
          <w:tcPr>
            <w:tcW w:w="300" w:type="dxa"/>
            <w:vAlign w:val="bottom"/>
          </w:tcPr>
          <w:p>
            <w:pPr>
              <w:spacing w:after="0"/>
              <w:rPr>
                <w:sz w:val="15"/>
                <w:szCs w:val="15"/>
                <w:color w:val="auto"/>
              </w:rPr>
            </w:pPr>
          </w:p>
        </w:tc>
        <w:tc>
          <w:tcPr>
            <w:tcW w:w="1720" w:type="dxa"/>
            <w:vAlign w:val="bottom"/>
            <w:gridSpan w:val="3"/>
          </w:tcPr>
          <w:p>
            <w:pPr>
              <w:jc w:val="center"/>
              <w:ind w:right="760"/>
              <w:spacing w:after="0" w:line="158" w:lineRule="exact"/>
              <w:rPr>
                <w:sz w:val="20"/>
                <w:szCs w:val="20"/>
                <w:color w:val="auto"/>
              </w:rPr>
            </w:pPr>
            <w:r>
              <w:rPr>
                <w:rFonts w:ascii="Arial" w:cs="Arial" w:eastAsia="Arial" w:hAnsi="Arial"/>
                <w:sz w:val="14"/>
                <w:szCs w:val="14"/>
                <w:b w:val="1"/>
                <w:bCs w:val="1"/>
                <w:color w:val="32406B"/>
                <w:w w:val="95"/>
              </w:rPr>
              <w:t>on Grant Date</w:t>
            </w:r>
          </w:p>
        </w:tc>
        <w:tc>
          <w:tcPr>
            <w:tcW w:w="10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32406B"/>
                <w:w w:val="94"/>
              </w:rPr>
              <w:t>Options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32406B"/>
              </w:rPr>
              <w:t>June 19, 2020</w:t>
            </w:r>
          </w:p>
        </w:tc>
        <w:tc>
          <w:tcPr>
            <w:tcW w:w="4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6,943,240</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$0.01</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32406B"/>
                <w:w w:val="84"/>
              </w:rPr>
              <w:t>$0.01</w:t>
            </w:r>
          </w:p>
        </w:tc>
        <w:tc>
          <w:tcPr>
            <w:tcW w:w="7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$0.01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32406B"/>
                <w:w w:val="94"/>
              </w:rPr>
              <w:t>September 28, 2020</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32406B"/>
              </w:rPr>
              <w:t>2,968,070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32406B"/>
              </w:rPr>
              <w:t>$0.78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420"/>
              <w:spacing w:after="0"/>
              <w:rPr>
                <w:sz w:val="20"/>
                <w:szCs w:val="20"/>
                <w:color w:val="auto"/>
              </w:rPr>
            </w:pPr>
            <w:r>
              <w:rPr>
                <w:rFonts w:ascii="Arial" w:cs="Arial" w:eastAsia="Arial" w:hAnsi="Arial"/>
                <w:sz w:val="18"/>
                <w:szCs w:val="18"/>
                <w:color w:val="32406B"/>
              </w:rPr>
              <w:t>$1.00</w:t>
            </w:r>
            <w:r>
              <w:rPr>
                <w:rFonts w:ascii="Arial" w:cs="Arial" w:eastAsia="Arial" w:hAnsi="Arial"/>
                <w:sz w:val="15"/>
                <w:szCs w:val="15"/>
                <w:color w:val="32406B"/>
              </w:rPr>
              <w:t>(1)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32406B"/>
              </w:rPr>
              <w:t>$0.68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32406B"/>
              </w:rPr>
              <w:t>January 13,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32406B"/>
              </w:rPr>
              <w:t>2,513,000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$4.61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$4.61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$2.95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32406B"/>
              </w:rPr>
              <w:t>April 13, 2021</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32406B"/>
              </w:rPr>
              <w:t>1,198,750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32406B"/>
              </w:rPr>
              <w:t>$8.36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420"/>
              <w:spacing w:after="0"/>
              <w:rPr>
                <w:sz w:val="20"/>
                <w:szCs w:val="20"/>
                <w:color w:val="auto"/>
              </w:rPr>
            </w:pPr>
            <w:r>
              <w:rPr>
                <w:rFonts w:ascii="Arial" w:cs="Arial" w:eastAsia="Arial" w:hAnsi="Arial"/>
                <w:sz w:val="18"/>
                <w:szCs w:val="18"/>
                <w:color w:val="32406B"/>
              </w:rPr>
              <w:t>$8.36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32406B"/>
              </w:rPr>
              <w:t>$5.50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32406B"/>
              </w:rPr>
              <w:t>May 7,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32406B"/>
              </w:rPr>
              <w:t>6,341,740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10.14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32406B"/>
              </w:rPr>
              <w:t>$</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10.14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$6.68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32406B"/>
              </w:rPr>
              <w:t>June 30, 2021</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32406B"/>
              </w:rPr>
              <w:t>2,025,070</w:t>
            </w:r>
          </w:p>
        </w:tc>
        <w:tc>
          <w:tcPr>
            <w:tcW w:w="440" w:type="dxa"/>
            <w:vAlign w:val="bottom"/>
            <w:gridSpan w:val="2"/>
          </w:tcPr>
          <w:p>
            <w:pPr>
              <w:ind w:left="300"/>
              <w:spacing w:after="0"/>
              <w:rPr>
                <w:sz w:val="20"/>
                <w:szCs w:val="20"/>
                <w:color w:val="auto"/>
              </w:rPr>
            </w:pPr>
            <w:r>
              <w:rPr>
                <w:rFonts w:ascii="Arial" w:cs="Arial" w:eastAsia="Arial" w:hAnsi="Arial"/>
                <w:sz w:val="18"/>
                <w:szCs w:val="18"/>
                <w:color w:val="32406B"/>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32406B"/>
              </w:rPr>
              <w:t>12.81</w:t>
            </w:r>
          </w:p>
        </w:tc>
        <w:tc>
          <w:tcPr>
            <w:tcW w:w="440" w:type="dxa"/>
            <w:vAlign w:val="bottom"/>
            <w:gridSpan w:val="2"/>
          </w:tcPr>
          <w:p>
            <w:pPr>
              <w:ind w:left="300"/>
              <w:spacing w:after="0"/>
              <w:rPr>
                <w:sz w:val="20"/>
                <w:szCs w:val="20"/>
                <w:color w:val="auto"/>
              </w:rPr>
            </w:pPr>
            <w:r>
              <w:rPr>
                <w:rFonts w:ascii="Arial" w:cs="Arial" w:eastAsia="Arial" w:hAnsi="Arial"/>
                <w:sz w:val="18"/>
                <w:szCs w:val="18"/>
                <w:color w:val="32406B"/>
              </w:rPr>
              <w:t>$</w:t>
            </w:r>
          </w:p>
        </w:tc>
        <w:tc>
          <w:tcPr>
            <w:tcW w:w="1580" w:type="dxa"/>
            <w:vAlign w:val="bottom"/>
            <w:gridSpan w:val="2"/>
          </w:tcPr>
          <w:p>
            <w:pPr>
              <w:ind w:left="420"/>
              <w:spacing w:after="0"/>
              <w:rPr>
                <w:sz w:val="20"/>
                <w:szCs w:val="20"/>
                <w:color w:val="auto"/>
              </w:rPr>
            </w:pPr>
            <w:r>
              <w:rPr>
                <w:rFonts w:ascii="Arial" w:cs="Arial" w:eastAsia="Arial" w:hAnsi="Arial"/>
                <w:sz w:val="18"/>
                <w:szCs w:val="18"/>
                <w:color w:val="32406B"/>
              </w:rPr>
              <w:t>12.81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32406B"/>
              </w:rPr>
              <w:t>$8.23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32406B"/>
              </w:rPr>
              <w:t>July 4,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32406B"/>
              </w:rPr>
              <w:t>1,861,460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32406B"/>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32406B"/>
              </w:rPr>
              <w:t>12.81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32406B"/>
              </w:rPr>
              <w:t>$</w:t>
            </w: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32406B"/>
              </w:rPr>
              <w:t>12.81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9" w:lineRule="auto"/>
        <w:tabs>
          <w:tab w:leader="none" w:pos="540" w:val="left"/>
        </w:tabs>
        <w:numPr>
          <w:ilvl w:val="0"/>
          <w:numId w:val="79"/>
        </w:numPr>
        <w:rPr>
          <w:rFonts w:ascii="Arial" w:cs="Arial" w:eastAsia="Arial" w:hAnsi="Arial"/>
          <w:sz w:val="18"/>
          <w:szCs w:val="18"/>
          <w:color w:val="32406B"/>
        </w:rPr>
      </w:pPr>
      <w:r>
        <w:rPr>
          <w:rFonts w:ascii="Arial" w:cs="Arial" w:eastAsia="Arial" w:hAnsi="Arial"/>
          <w:sz w:val="18"/>
          <w:szCs w:val="18"/>
          <w:color w:val="32406B"/>
        </w:rPr>
        <w:t>At the time of the option grant on September 28, 2020, our board of directors determined that the fair value of our common stock of $0.78 per share reasonably reflected the fair value of our common stock as of the grant date, based on a contemporaneous valuation obtained. However, as described below, the fair value of our common stock at the date of this grant was adjusted in connection with a retrospective fair value assessment for accounting purposes.</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In the course of preparing for this offering, in April 2021, we performed a retrospective fair value assessment and concluded that the fair value of our common stock underlying stock options that we granted on September 28, 2020 was $1.00 per share for accounting purposes. This reassessed value was based, in part, upon a third-party valuation of our common stock prepared on a retrospective basis as of September 28, 2020. The third-party retrospective valuation was prepared using an OPM, which used a market approach to determine our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111</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enterprise value. We applied the fair value of our common stock from our retrospective fair value assessment to determine the fair value of these awards and calculate stock-based compensation expense for accounting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Off-Balance Sheet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Recently Issued Accounting Pronouncements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 description of recently issued accounting pronouncements that may potentially impact our financial position, results of operations and cash flows is disclosed in Note 2 to our consolidated financial statements appearing at the end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Internal Control over Financial Reporting</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We identified a material weakness in our internal control over financial reporting that existed as of March 31, 2021. See “Risk Factors—We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Emerging Growth Company Status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Quantitative and Qualitative Disclosures About Market Risk</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As of December 31, 2020, we had cash and cash equivalents of $115.0 million, which consisted of cash and a money market fund. As of March 31, 2021, we had cash and cash equivalents of $91.2 million, which consisted of cash and a money market fund. Interest income is sensitive to changes in the general level of interest rates; however, due to the nature of these investments, an immediate 10% change in interest rates would not have a material impact on the fair value of our investment portfolio. As of December 31, 2020 and March 31, 2021, we had no debt outstanding. Therefore, we are not exposed to interest rate risk with respect to debt.</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are not currently exposed to significant market risk related to changes in foreign currency exchange rates. Our operations may be subject to fluctuations in foreign currency exchange rates in the future.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112</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81"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ADG20 is designed to be a potent, long-acting and broadly neutralizing antibody for both the treatment and prevention of COVID-19 as either a single or combination agent. Unlike other antibody-based therapies specifically targeting SARS-CoV-2, ADG20 has demonstrated in non-clinical studies an ability to neutralize SARS-CoV-2, including variants of concern, as well as a broad range of SARS-like viruses with neutralization potency at IC</w:t>
      </w:r>
      <w:r>
        <w:rPr>
          <w:rFonts w:ascii="Arial" w:cs="Arial" w:eastAsia="Arial" w:hAnsi="Arial"/>
          <w:sz w:val="14"/>
          <w:szCs w:val="14"/>
          <w:color w:val="32406B"/>
        </w:rPr>
        <w:t>50</w:t>
      </w:r>
      <w:r>
        <w:rPr>
          <w:rFonts w:ascii="Arial" w:cs="Arial" w:eastAsia="Arial" w:hAnsi="Arial"/>
          <w:sz w:val="17"/>
          <w:szCs w:val="17"/>
          <w:color w:val="32406B"/>
        </w:rPr>
        <w:t xml:space="preserve"> (half maximal inhibitory concentrations) of approximately 0.01 mcg/mL or less in live-virus cellular assays. We believe this demonstrated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the day following administration of ADG20 were similar to or exceeded peak serum neutralizing antibody titers generated after two doses of mRNA or adenovirus-based COVID-19 vaccines.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8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w:t>
      </w:r>
    </w:p>
    <w:p>
      <w:pPr>
        <w:spacing w:after="0" w:line="2" w:lineRule="exact"/>
        <w:rPr>
          <w:sz w:val="20"/>
          <w:szCs w:val="20"/>
          <w:color w:val="auto"/>
        </w:rPr>
      </w:pPr>
    </w:p>
    <w:p>
      <w:pPr>
        <w:jc w:val="both"/>
        <w:ind w:left="120" w:hanging="4"/>
        <w:spacing w:after="0" w:line="252" w:lineRule="auto"/>
        <w:tabs>
          <w:tab w:leader="none" w:pos="376" w:val="left"/>
        </w:tabs>
        <w:numPr>
          <w:ilvl w:val="0"/>
          <w:numId w:val="80"/>
        </w:numPr>
        <w:rPr>
          <w:rFonts w:ascii="Arial" w:cs="Arial" w:eastAsia="Arial" w:hAnsi="Arial"/>
          <w:sz w:val="18"/>
          <w:szCs w:val="18"/>
          <w:color w:val="32406B"/>
        </w:rPr>
      </w:pPr>
      <w:r>
        <w:rPr>
          <w:rFonts w:ascii="Arial" w:cs="Arial" w:eastAsia="Arial" w:hAnsi="Arial"/>
          <w:sz w:val="18"/>
          <w:szCs w:val="18"/>
          <w:color w:val="32406B"/>
        </w:rPr>
        <w:t>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9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Our vision is to discover, develop and commercialize antibody-based solutions not only for the current COVID-19 pandemic, but also to address future potential coronavirus outbreaks. To enable this vision,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113</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32406B"/>
        </w:rPr>
        <w:t>discovery efforts are focused on broadly neutralizing antibodies that target conserved epitopes across multiple members of the coronavirus family. We optimize our candidate molecules to improve breadth, potency, half-life and developability. Key elements that differentiate our approach include:</w:t>
      </w:r>
    </w:p>
    <w:p>
      <w:pPr>
        <w:jc w:val="both"/>
        <w:ind w:left="120" w:right="20" w:hanging="4"/>
        <w:spacing w:after="0" w:line="253" w:lineRule="auto"/>
        <w:tabs>
          <w:tab w:leader="none" w:pos="419" w:val="left"/>
        </w:tabs>
        <w:numPr>
          <w:ilvl w:val="0"/>
          <w:numId w:val="81"/>
        </w:numPr>
        <w:rPr>
          <w:rFonts w:ascii="Arial" w:cs="Arial" w:eastAsia="Arial" w:hAnsi="Arial"/>
          <w:sz w:val="18"/>
          <w:szCs w:val="18"/>
          <w:color w:val="32406B"/>
        </w:rPr>
      </w:pPr>
      <w:r>
        <w:rPr>
          <w:rFonts w:ascii="Arial" w:cs="Arial" w:eastAsia="Arial" w:hAnsi="Arial"/>
          <w:sz w:val="18"/>
          <w:szCs w:val="18"/>
          <w:color w:val="32406B"/>
        </w:rPr>
        <w:t>recognition of the importance of broadly neutralizing antibodies; (2) industry-leading B-cell mining, protein engineering and developability screening capabilities through our partnership with Adimab; and (3) development of antibodies with reduced risk of clinical resistance. We believe that a mAb therapy that provides potent and broad neutralizing activity, convenient outpatient administration and both rapid and durable protection will have the potential to address the limitations of currently available treatment and prevention options for COVID-19 as well as future diseases that may arise from SARS-like viruses with pandemic potential.</w:t>
      </w:r>
    </w:p>
    <w:p>
      <w:pPr>
        <w:spacing w:after="0" w:line="19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founding scientists designed and engineered ADG20 with the goal of creating a highly active and broad mAb-based therapeutic candidate for both the treatment and prevention of COVID-19. They focused on isolating an antibody capable of broadly neutralizing the entire viral class of SARS-like viruses, known as sarbecoviruses, as opposed to only neutralizing SARS-CoV-2.</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We have completed enrollment in our first-in-human Phase 1 clinical trial in healthy volunteers. Interim data demonstrated that ADG20 was well tolerated and displayed a pharmacokinetic profile consistent with an extended half-life mAb. In addition, the serum virus neutralizing antibody titers measured the day following administration of ADG20 were similar to or exceeded peak serum neutralizing antibody titers generated after two doses of mRNA or adenovirus-based COVID-19 vaccines. For the treatment of mild to moderate COVID-19 in patients at high risk of disease progression, we are conducting our STAMP trial, a combined Phase 2/3 global clinical trial designed to provide a path to applying for EUA and/or filing a BLA for marketing approval in 2022, and commercial launch thereafter, if ADG20 is approved. We may not meet our time frames for submission for an EUA or a BLA, and if we do meet such timelines, there is no guarantee the FDA would approve our submission, or on the time frame we have indicated. For the prevention of COVID-19, we are conducting our EVADE trial, a combined Phase 2/3 clinical trial in both post-exposure and pre-exposure populations. If these clinical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as well. In addition, we are developing a clinical plan to support the use of ADG20 in the pediatric population for both the treatment and prevention of COVID-19.</w:t>
      </w:r>
    </w:p>
    <w:p>
      <w:pPr>
        <w:spacing w:after="0" w:line="16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are also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against COVID-19 as new variants of SARS-CoV-2 emerge, as well as against future potential outbreaks of disease that may arise from additional SARS-like viruses with pandemic potential. In addition, we plan to leverage the robust antibody discovery and development capabilities that have enabled our expedited advancement of ADG20 into clinical trials to develop therapeutic or preventative options for other respiratory viral infections, such as additional coronaviruses and seasonal and pandemic influenza. In addition to building a portfolio of broadly neutralizing antibodies, we are leveraging our knowledge around broadly neutralizing antibody responses to inform the rational design of coronavirus vaccine antigens.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History and Team</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were founded in June 2020 to develop of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with appropriate infectious disease resources and development expertise,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114</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32406B"/>
        </w:rPr>
        <w:t>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Since our inception, we have raised approximately $470 million of capital from leading institutional healthcare investors and our partners. Our leadership team has more than 100 years of combined development and commercialization experience with small and large molecules in infectious disease, as well as decades of domain expertise in B-cell immunology of viral diseases.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Strategy</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5" w:lineRule="exact"/>
        <w:rPr>
          <w:sz w:val="20"/>
          <w:szCs w:val="20"/>
          <w:color w:val="auto"/>
        </w:rPr>
      </w:pPr>
    </w:p>
    <w:p>
      <w:pPr>
        <w:jc w:val="both"/>
        <w:ind w:left="1080" w:hanging="532"/>
        <w:spacing w:after="0" w:line="277" w:lineRule="auto"/>
        <w:tabs>
          <w:tab w:leader="none" w:pos="1080" w:val="left"/>
        </w:tabs>
        <w:numPr>
          <w:ilvl w:val="0"/>
          <w:numId w:val="82"/>
        </w:numPr>
        <w:rPr>
          <w:rFonts w:ascii="Arial" w:cs="Arial" w:eastAsia="Arial" w:hAnsi="Arial"/>
          <w:sz w:val="17"/>
          <w:szCs w:val="17"/>
          <w:color w:val="32406B"/>
        </w:rPr>
      </w:pPr>
      <w:r>
        <w:rPr>
          <w:rFonts w:ascii="Arial" w:cs="Arial" w:eastAsia="Arial" w:hAnsi="Arial"/>
          <w:sz w:val="17"/>
          <w:szCs w:val="17"/>
          <w:b w:val="1"/>
          <w:bCs w:val="1"/>
          <w:color w:val="32406B"/>
        </w:rPr>
        <w:t xml:space="preserve">Leverage our team’s collective expertise in development, manufacturing and commercialization to efficiently bring ADG20 to patients. </w:t>
      </w:r>
      <w:r>
        <w:rPr>
          <w:rFonts w:ascii="Arial" w:cs="Arial" w:eastAsia="Arial" w:hAnsi="Arial"/>
          <w:sz w:val="17"/>
          <w:szCs w:val="17"/>
          <w:color w:val="32406B"/>
        </w:rPr>
        <w:t>Since our inception, we have assembled a team with deep and specific expertise in discovering, developing, manufacturing and</w:t>
      </w:r>
      <w:r>
        <w:rPr>
          <w:rFonts w:ascii="Arial" w:cs="Arial" w:eastAsia="Arial" w:hAnsi="Arial"/>
          <w:sz w:val="17"/>
          <w:szCs w:val="17"/>
          <w:b w:val="1"/>
          <w:bCs w:val="1"/>
          <w:color w:val="32406B"/>
        </w:rPr>
        <w:t xml:space="preserve"> </w:t>
      </w:r>
      <w:r>
        <w:rPr>
          <w:rFonts w:ascii="Arial" w:cs="Arial" w:eastAsia="Arial" w:hAnsi="Arial"/>
          <w:sz w:val="17"/>
          <w:szCs w:val="17"/>
          <w:color w:val="32406B"/>
        </w:rPr>
        <w:t>commercializing novel treatments for infectious diseases, including extensive experience with developing mAb therapies. Based on our team’s successful track record, collectively, we believe we will be able to execute on the clinical, regulatory, manufacturing and commercialization plan for ADG20, as well as any future programs, in an efficient manner.</w:t>
      </w:r>
    </w:p>
    <w:p>
      <w:pPr>
        <w:spacing w:after="0" w:line="73" w:lineRule="exact"/>
        <w:rPr>
          <w:rFonts w:ascii="Arial" w:cs="Arial" w:eastAsia="Arial" w:hAnsi="Arial"/>
          <w:sz w:val="17"/>
          <w:szCs w:val="17"/>
          <w:color w:val="32406B"/>
        </w:rPr>
      </w:pPr>
    </w:p>
    <w:p>
      <w:pPr>
        <w:jc w:val="both"/>
        <w:ind w:left="1080" w:hanging="532"/>
        <w:spacing w:after="0" w:line="285" w:lineRule="auto"/>
        <w:tabs>
          <w:tab w:leader="none" w:pos="1080" w:val="left"/>
        </w:tabs>
        <w:numPr>
          <w:ilvl w:val="0"/>
          <w:numId w:val="82"/>
        </w:numPr>
        <w:rPr>
          <w:rFonts w:ascii="Arial" w:cs="Arial" w:eastAsia="Arial" w:hAnsi="Arial"/>
          <w:sz w:val="16"/>
          <w:szCs w:val="16"/>
          <w:color w:val="32406B"/>
        </w:rPr>
      </w:pPr>
      <w:r>
        <w:rPr>
          <w:rFonts w:ascii="Arial" w:cs="Arial" w:eastAsia="Arial" w:hAnsi="Arial"/>
          <w:sz w:val="16"/>
          <w:szCs w:val="16"/>
          <w:b w:val="1"/>
          <w:bCs w:val="1"/>
          <w:color w:val="32406B"/>
        </w:rPr>
        <w:t>Complete development and obtain global approval for our lead product candidate, ADG20, for both the treatment and prevention of COVID-19</w:t>
      </w:r>
      <w:r>
        <w:rPr>
          <w:rFonts w:ascii="Arial" w:cs="Arial" w:eastAsia="Arial" w:hAnsi="Arial"/>
          <w:sz w:val="16"/>
          <w:szCs w:val="16"/>
          <w:color w:val="32406B"/>
        </w:rPr>
        <w:t>. Our clinical development plan for ADG20 includes two global clinical trials to demonstrate the efficacy and safety of</w:t>
      </w:r>
      <w:r>
        <w:rPr>
          <w:rFonts w:ascii="Arial" w:cs="Arial" w:eastAsia="Arial" w:hAnsi="Arial"/>
          <w:sz w:val="16"/>
          <w:szCs w:val="16"/>
          <w:b w:val="1"/>
          <w:bCs w:val="1"/>
          <w:color w:val="32406B"/>
        </w:rPr>
        <w:t xml:space="preserve"> </w:t>
      </w:r>
      <w:r>
        <w:rPr>
          <w:rFonts w:ascii="Arial" w:cs="Arial" w:eastAsia="Arial" w:hAnsi="Arial"/>
          <w:sz w:val="16"/>
          <w:szCs w:val="16"/>
          <w:color w:val="32406B"/>
        </w:rPr>
        <w:t>ADG20 for treatment and prevention of COVID-19, respectively. We have completed enrollment in our first-in-human Phase 1 clinical trial in healthy volunteers. Interim data demonstrated that ADG20 was well tolerated and displayed a pharmacokinetic profile consistent with an extended half-life mAb. In addition, the serum virus neutralizing antibody titers measured the day following administration of ADG20 were similar to or exceeded peak serum neutralizing antibody titers generated after two doses of mRNA or adenovirus-based COVID-19 vaccines. For the treatment of mild to moderate COVID-19 in patients at high risk of disease progression, we are conducting our Phase 2/3 STAMP trial, which is designed to provide a path to applying for emergency use authorization and/or filing a BLA for marketing approval in 2022, and commercial launch thereafter, if ADG20 is approved. We may not meet our time frames for submission for an EUA or a BLA, and if we do meet such timelines, there is no guarantee the FDA would approve our submission, or on the time frame we have indicated. This clinical trial includes an interim analysis for efficacy, which has the potential to support an EUA. The clinical data from the interim analysis will be further supplemented with nonclinical virological data demonstrating broad neutralizing activity against a comprehensive panel of known SARS-CoV-2 variants, including variants that are partially or fully resistant to certain currently available mAb therapies and vaccines. Similarly, we are conducting our Phase 2/3 global clinical trial, EVADE, to evaluate ADG20 in the prevention of symptomatic COVID-19 in two separate populations: (1) individuals with known exposure to a person with laboratory-confirmed SARS-CoV-2 infection, also known as post-exposure prophylaxis, and (2) individuals who are at increased risk for SARS-CoV-2 infection, also known as pre-exposure prophylaxis, including those at increased risk of poor vaccine response.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115</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080" w:hanging="532"/>
        <w:spacing w:after="0" w:line="288" w:lineRule="auto"/>
        <w:tabs>
          <w:tab w:leader="none" w:pos="1080" w:val="left"/>
        </w:tabs>
        <w:numPr>
          <w:ilvl w:val="0"/>
          <w:numId w:val="83"/>
        </w:numPr>
        <w:rPr>
          <w:rFonts w:ascii="Arial" w:cs="Arial" w:eastAsia="Arial" w:hAnsi="Arial"/>
          <w:sz w:val="16"/>
          <w:szCs w:val="16"/>
          <w:color w:val="32406B"/>
        </w:rPr>
      </w:pPr>
      <w:r>
        <w:rPr>
          <w:rFonts w:ascii="Arial" w:cs="Arial" w:eastAsia="Arial" w:hAnsi="Arial"/>
          <w:sz w:val="16"/>
          <w:szCs w:val="16"/>
          <w:b w:val="1"/>
          <w:bCs w:val="1"/>
          <w:color w:val="32406B"/>
        </w:rPr>
        <w:t xml:space="preserve">Successfully commercialize ADG20, if approved. </w:t>
      </w:r>
      <w:r>
        <w:rPr>
          <w:rFonts w:ascii="Arial" w:cs="Arial" w:eastAsia="Arial" w:hAnsi="Arial"/>
          <w:sz w:val="16"/>
          <w:szCs w:val="16"/>
          <w:color w:val="32406B"/>
        </w:rPr>
        <w:t>We believe ADG20 will have several attractive clinical and commercial attributes,</w:t>
      </w:r>
      <w:r>
        <w:rPr>
          <w:rFonts w:ascii="Arial" w:cs="Arial" w:eastAsia="Arial" w:hAnsi="Arial"/>
          <w:sz w:val="16"/>
          <w:szCs w:val="16"/>
          <w:b w:val="1"/>
          <w:bCs w:val="1"/>
          <w:color w:val="32406B"/>
        </w:rPr>
        <w:t xml:space="preserve"> </w:t>
      </w:r>
      <w:r>
        <w:rPr>
          <w:rFonts w:ascii="Arial" w:cs="Arial" w:eastAsia="Arial" w:hAnsi="Arial"/>
          <w:sz w:val="16"/>
          <w:szCs w:val="16"/>
          <w:color w:val="32406B"/>
        </w:rPr>
        <w:t>including (1) potent and broad neutralizing activity across sarbecoviruses, including against SARS-CoV-2 and known, circulating variants of concern; (2) rapid onset of protection; (3) differentiated durability; (4) convenient, single-dose IM injection for use in the outpatient setting; (5) ability to both complement and supplement currently available COVID-19 vaccines, including for immunocompromised individuals; (6) high titer, high yield manufacturing process; (7) standard refrigeration requirements to facilitate worldwide distribution and storage; and (8) long shelf life to enable stockpiling. Our plan for the commercialization of ADG20 involves direct 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In other markets, such as Latin America, Asia-Pacific, including China, and Middle Eastern and African countries, we intend to commercialize ADG20 through partnerships. For example, in July 2021, we entered into a license agreement with Biocon to combat the ongoing COVID-19 crisis in southern Asia.</w:t>
      </w:r>
    </w:p>
    <w:p>
      <w:pPr>
        <w:spacing w:after="0" w:line="68" w:lineRule="exact"/>
        <w:rPr>
          <w:rFonts w:ascii="Arial" w:cs="Arial" w:eastAsia="Arial" w:hAnsi="Arial"/>
          <w:sz w:val="16"/>
          <w:szCs w:val="16"/>
          <w:color w:val="32406B"/>
        </w:rPr>
      </w:pPr>
    </w:p>
    <w:p>
      <w:pPr>
        <w:jc w:val="both"/>
        <w:ind w:left="1080" w:hanging="532"/>
        <w:spacing w:after="0" w:line="254" w:lineRule="auto"/>
        <w:tabs>
          <w:tab w:leader="none" w:pos="1080" w:val="left"/>
        </w:tabs>
        <w:numPr>
          <w:ilvl w:val="0"/>
          <w:numId w:val="83"/>
        </w:numPr>
        <w:rPr>
          <w:rFonts w:ascii="Arial" w:cs="Arial" w:eastAsia="Arial" w:hAnsi="Arial"/>
          <w:sz w:val="18"/>
          <w:szCs w:val="18"/>
          <w:color w:val="32406B"/>
        </w:rPr>
      </w:pPr>
      <w:r>
        <w:rPr>
          <w:rFonts w:ascii="Arial" w:cs="Arial" w:eastAsia="Arial" w:hAnsi="Arial"/>
          <w:sz w:val="18"/>
          <w:szCs w:val="18"/>
          <w:b w:val="1"/>
          <w:bCs w:val="1"/>
          <w:color w:val="32406B"/>
        </w:rPr>
        <w:t xml:space="preserve">Continue to secure additional manufacturing capacity with trusted CDMO partners to enable a worldwide commercial launch. </w:t>
      </w:r>
      <w:r>
        <w:rPr>
          <w:rFonts w:ascii="Arial" w:cs="Arial" w:eastAsia="Arial" w:hAnsi="Arial"/>
          <w:sz w:val="18"/>
          <w:szCs w:val="18"/>
          <w:color w:val="32406B"/>
        </w:rPr>
        <w:t>Due to ongoing worldwide manufacturing capacity constraints, we have identified and secured the necessary manufacturing capabilities and capacity to enable the development and commercialization of ADG20. In partnership with WuXi Biologics (Hong Kong) Limited, or WuXi, we have developed a high titer, high yield manufacturing process and a formulation that enables IM delivery and have manufactured all the required doses for our STAMP and EVADE clinical trials. We have also selected WuXi as our initial commercial manufacturing partner and believe we have secured sufficient capacity for our initial commercial launch, if ADG20 is approved. We are continuing to evaluate access to additional capacity at both WuXi and other CDMOs to ensure we can meet expected long-term commercial demand.</w:t>
      </w:r>
    </w:p>
    <w:p>
      <w:pPr>
        <w:spacing w:after="0" w:line="97" w:lineRule="exact"/>
        <w:rPr>
          <w:rFonts w:ascii="Arial" w:cs="Arial" w:eastAsia="Arial" w:hAnsi="Arial"/>
          <w:sz w:val="18"/>
          <w:szCs w:val="18"/>
          <w:color w:val="32406B"/>
        </w:rPr>
      </w:pPr>
    </w:p>
    <w:p>
      <w:pPr>
        <w:jc w:val="both"/>
        <w:ind w:left="1080" w:right="20" w:hanging="532"/>
        <w:spacing w:after="0" w:line="274" w:lineRule="auto"/>
        <w:tabs>
          <w:tab w:leader="none" w:pos="1080" w:val="left"/>
        </w:tabs>
        <w:numPr>
          <w:ilvl w:val="0"/>
          <w:numId w:val="83"/>
        </w:numPr>
        <w:rPr>
          <w:rFonts w:ascii="Arial" w:cs="Arial" w:eastAsia="Arial" w:hAnsi="Arial"/>
          <w:sz w:val="17"/>
          <w:szCs w:val="17"/>
          <w:color w:val="32406B"/>
        </w:rPr>
      </w:pPr>
      <w:r>
        <w:rPr>
          <w:rFonts w:ascii="Arial" w:cs="Arial" w:eastAsia="Arial" w:hAnsi="Arial"/>
          <w:sz w:val="17"/>
          <w:szCs w:val="17"/>
          <w:b w:val="1"/>
          <w:bCs w:val="1"/>
          <w:color w:val="32406B"/>
        </w:rPr>
        <w:t xml:space="preserve">Develop additional antibodies for use in potential combination with ADG20 to address future potential variants of SARS-CoV-2 and other sarbecovirus outbreaks. </w:t>
      </w:r>
      <w:r>
        <w:rPr>
          <w:rFonts w:ascii="Arial" w:cs="Arial" w:eastAsia="Arial" w:hAnsi="Arial"/>
          <w:sz w:val="17"/>
          <w:szCs w:val="17"/>
          <w:color w:val="32406B"/>
        </w:rPr>
        <w:t>The current COVID-19 pandemic has been exacerbated by the global emergence and spread of</w:t>
      </w:r>
      <w:r>
        <w:rPr>
          <w:rFonts w:ascii="Arial" w:cs="Arial" w:eastAsia="Arial" w:hAnsi="Arial"/>
          <w:sz w:val="17"/>
          <w:szCs w:val="17"/>
          <w:b w:val="1"/>
          <w:bCs w:val="1"/>
          <w:color w:val="32406B"/>
        </w:rPr>
        <w:t xml:space="preserve"> </w:t>
      </w:r>
      <w:r>
        <w:rPr>
          <w:rFonts w:ascii="Arial" w:cs="Arial" w:eastAsia="Arial" w:hAnsi="Arial"/>
          <w:sz w:val="17"/>
          <w:szCs w:val="17"/>
          <w:color w:val="32406B"/>
        </w:rPr>
        <w:t>SARS-CoV-2 variants with varying levels of resistance to existing therapies, highlighting the need for proactive planning to allow for a rapid and effective response against future coronavirus outbreaks. We are building a portfolio of broadly neutralizing antibodies that target viral epitopes distinct from that targeted by ADG20. We believe combinations of these antibodies, including with ADG20, have the potential to further enhance the breadth and effectiveness of our products.</w:t>
      </w:r>
    </w:p>
    <w:p>
      <w:pPr>
        <w:spacing w:after="0" w:line="78" w:lineRule="exact"/>
        <w:rPr>
          <w:rFonts w:ascii="Arial" w:cs="Arial" w:eastAsia="Arial" w:hAnsi="Arial"/>
          <w:sz w:val="17"/>
          <w:szCs w:val="17"/>
          <w:color w:val="32406B"/>
        </w:rPr>
      </w:pPr>
    </w:p>
    <w:p>
      <w:pPr>
        <w:jc w:val="both"/>
        <w:ind w:left="1080" w:hanging="532"/>
        <w:spacing w:after="0" w:line="277" w:lineRule="auto"/>
        <w:tabs>
          <w:tab w:leader="none" w:pos="1080" w:val="left"/>
        </w:tabs>
        <w:numPr>
          <w:ilvl w:val="0"/>
          <w:numId w:val="83"/>
        </w:numPr>
        <w:rPr>
          <w:rFonts w:ascii="Arial" w:cs="Arial" w:eastAsia="Arial" w:hAnsi="Arial"/>
          <w:sz w:val="17"/>
          <w:szCs w:val="17"/>
          <w:color w:val="32406B"/>
        </w:rPr>
      </w:pPr>
      <w:r>
        <w:rPr>
          <w:rFonts w:ascii="Arial" w:cs="Arial" w:eastAsia="Arial" w:hAnsi="Arial"/>
          <w:sz w:val="17"/>
          <w:szCs w:val="17"/>
          <w:b w:val="1"/>
          <w:bCs w:val="1"/>
          <w:color w:val="32406B"/>
        </w:rPr>
        <w:t xml:space="preserve">Leverage relationships with Adimab and academic institutions to discover additional antibody-based solutions to address coronaviruses and influenza infections. </w:t>
      </w:r>
      <w:r>
        <w:rPr>
          <w:rFonts w:ascii="Arial" w:cs="Arial" w:eastAsia="Arial" w:hAnsi="Arial"/>
          <w:sz w:val="17"/>
          <w:szCs w:val="17"/>
          <w:color w:val="32406B"/>
        </w:rPr>
        <w:t>Our ongoing relationship with Adimab provides us with access to Adimab’s unique B-cell</w:t>
      </w:r>
      <w:r>
        <w:rPr>
          <w:rFonts w:ascii="Arial" w:cs="Arial" w:eastAsia="Arial" w:hAnsi="Arial"/>
          <w:sz w:val="17"/>
          <w:szCs w:val="17"/>
          <w:b w:val="1"/>
          <w:bCs w:val="1"/>
          <w:color w:val="32406B"/>
        </w:rPr>
        <w:t xml:space="preserve"> </w:t>
      </w:r>
      <w:r>
        <w:rPr>
          <w:rFonts w:ascii="Arial" w:cs="Arial" w:eastAsia="Arial" w:hAnsi="Arial"/>
          <w:sz w:val="17"/>
          <w:szCs w:val="17"/>
          <w:color w:val="32406B"/>
        </w:rPr>
        <w:t>mining and protein engineering capabilities. We believe this relationship will allow us to further expand our portfolio with additional uniquely differentiated antibodies for coronaviruses as well as influenza. In addition, we collaborate with academic institutions for the discovery of vaccine immunogens that elicit broadly protective immune responses against influenza and coronaviruses.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Background on Coronaviruses</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Coronaviruses comprise a large family of viruses that are grouped into four genera: alphacoronavirus, betacoronavirus, gammacoronavirus and deltacoronavirus. Over the past 20 years, three pathogenic novel betacoronaviruses have spilled over into the human population from animal reservoirs to cause outbreaks of deadly pneumonia, including COVID-19, SARS and MERS. In many parts of the world, humans live in close proximity to animal species harboring sarbecoviruses, a lineage of betacoronaviruses that are capable of using human angiotensin-converting enzyme 2, or hACE2, receptors, and enabling infection in humans. In particular, bats are known to host such viruses, and large bat populations exist alongside humans in certain regions across the world, including eastern Europe, East Africa and southern China. Furthermore, bats are capable of carrying multiple sarbecoviruses, allowing for genetic recombination and the emergence of viral variants with higher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116</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32406B"/>
        </w:rPr>
        <w:t>propensity for transmission to humans. Current estimates suggest that between 6% and 23% of bats harbor viruses with such transmission potential. Not surprisingly, humans living in close proximity to bat populations have been infected by SARS-like coronaviruses. For example, approximately 0.5% to 3% of the rural population in southern China have antibody responses to these viruses, demonstrating past infection. This highlights the zoonotic nature of the sarbecovirus lineage, which includes both SARS-CoV-1 and SARS-CoV-2. Continued human intrusion into previously undeveloped habitats and increased exposure to these viral reservoirs are likely to result in more frequent occurrences of viral spillover, with potentially catastrophic consequences.</w:t>
      </w:r>
    </w:p>
    <w:p>
      <w:pPr>
        <w:spacing w:after="0" w:line="19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COVID-19, the disease caused by SARS-CoV-2 and its variants, has given rise to a global pandemic that swept rapidly throughout the world in 2020. The genome of SARS-CoV-2 encodes a spike, or S, protein, which is the surface protein common to all members of the coronavirus family and mediates attachment and entry into host cells. The S protein is the major antigen target for the host immune response, and neutralizing antibodies to this protein are associated with protection from infection and disease. For this reason, S protein is the primary target for currently available vaccines and therapeutic mAbs.</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COVID-19 remains a significant global health crisis and case numbers continue to rise. According to estimates as of May 20, 2021 from the Johns Hopkins University, there have been approximately 165 million cases of laboratory-confirmed COVID-19 and 3.4 million COVID-19-related deaths worldwide, with over 33 million laboratory-confirmed cases of COVID-19 and more than 587,000 COVID-19-related deaths in the United States. Disease modeling conducted by several different organizations have further suggested that these estimates significantly undercount the true number of infections and deaths related to COVID-19.</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Of significant current concern is the emergence of a number of SARS-CoV-2 variants with increased transmissibility and/or the ability to evade neutralizing antibodies. These variants include Alpha (B.1.1.7), which was first detected in the United Kingdom; Beta (B.1.351), which was first detected in South Africa; Gamma (P.1), which was first detected in Brazil and shares phenotypic characteristics with B.1.351, and Delta (B.1.617.2), which was first detected in India. Since their initial detection, all of these variants have spread rapidly worldwide, with confirmed cases in the United States, Canada and several European countries, indicating that these variants may be more contagious than the original SARS-CoV-2. As of the two weeks ended July 17, 2021, the Delta (B.1.617.2) variant accounted for approximately 80% of all new COVID-19 cases in the United States and was rapidly increasing. Emergence of the Delta variant in the United States has been accompanied by an increase in COVID-19 cases and hospitalizations. In addition to these well-known variants, additional novel variants have emerged in the United States, including Epsilon (B.1.429/427) and Iota (B.1.526), which were first detected in California and New York, respectively.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117</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A subset of these variants, notably Beta (B.1.351), Gamma (P.1) and Delta (B.1.617.2), have caused reinfections and breakthrough infections in individuals with pre-existing antibody responses due to prior infection or vaccination, indicating that pre-existing antibodies do not necessarily fully protect against these variants. For example, in the Brazilian city of Manaus, despite a high rate of prior infection as indicated by an estimated seroprevalence of 76% in October 2020, a second wave of COVID-19 cases began in November 2020, which resulted in a significant increase in hospitalizations and deaths. As illustrated in the timeline below, this second COVID-19 wave closely coincided with the emergence of the Gamma (P.1) variant in the city. More recently, we have seen the global emergence and spread of the Delta variant with increases in case loads and hospitalizations, even in countries, such as the United Kingdom and the United States, with relatively high vaccination rates.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Infection Rates in Manaus, Brazil Demonstrate a Surge in Infections Following the Emergence of the P.1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171450</wp:posOffset>
            </wp:positionV>
            <wp:extent cx="4723130" cy="39001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2313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Current Approaches for Treatment and Prevention of COVID-19 and Their Limitations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In response to the ongoing pandemic, multiple agents have been discovered, developed and authorized at an unprecedented speed to address COVID-19.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118</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Vaccines for Prevention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Several vaccines have been authorized for the prevention of COVID-19 under public health emergency guidelines both in the United States and abroad. These include mRNA-based vaccines, such as Moderna’s mRNA-1273 and Pfizer/BioNTech’s BNT162b2, and adenovirus-based vaccines, such as AstraZeneca’s Vaxzevria/Covishield, or AZD1222, and Janssen’s JNJ-78436735. While available COVID-19 vaccines have demonstrated meaningful efficacy in preventing COVID-19, we believe additional solutions for the prevention of COVID-19 are required given considerable uncertainty related to multiple factors, including:</w:t>
      </w:r>
    </w:p>
    <w:p>
      <w:pPr>
        <w:spacing w:after="0" w:line="93" w:lineRule="exact"/>
        <w:rPr>
          <w:sz w:val="20"/>
          <w:szCs w:val="20"/>
          <w:color w:val="auto"/>
        </w:rPr>
      </w:pPr>
    </w:p>
    <w:p>
      <w:pPr>
        <w:jc w:val="both"/>
        <w:ind w:left="1080" w:hanging="532"/>
        <w:spacing w:after="0" w:line="273" w:lineRule="auto"/>
        <w:tabs>
          <w:tab w:leader="none" w:pos="1080" w:val="left"/>
        </w:tabs>
        <w:numPr>
          <w:ilvl w:val="0"/>
          <w:numId w:val="84"/>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Efficacy against viral variants. </w:t>
      </w:r>
      <w:r>
        <w:rPr>
          <w:rFonts w:ascii="Arial" w:cs="Arial" w:eastAsia="Arial" w:hAnsi="Arial"/>
          <w:sz w:val="17"/>
          <w:szCs w:val="17"/>
          <w:color w:val="32406B"/>
        </w:rPr>
        <w:t>While COVID-19 vaccines have demonstrated meaningful efficacy in preventing infection by the original</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strain of COVID-19, emerging evidence shows lower levels of protection against certain variants. A recent Israeli study demonstrated that a disproportionate number of breakthrough infections in Pfizer/BioNTech vaccine recipients are caused by the Beta (B.1.351) variant, and more recent real-world use data from Israel suggests lower vaccine effectiveness against the Delta variant. Clinical trials have also shown reduced efficacy against viral variants. For example, a trial conducted in South Africa showed 10.4% efficacy for the AstraZeneca vaccine Vaxzevria against mild to moderate infections caused by the Beta (B.1.351) variant.</w:t>
      </w:r>
    </w:p>
    <w:p>
      <w:pPr>
        <w:spacing w:after="0" w:line="83" w:lineRule="exact"/>
        <w:rPr>
          <w:rFonts w:ascii="Arial" w:cs="Arial" w:eastAsia="Arial" w:hAnsi="Arial"/>
          <w:sz w:val="17"/>
          <w:szCs w:val="17"/>
          <w:color w:val="32406B"/>
        </w:rPr>
      </w:pPr>
    </w:p>
    <w:p>
      <w:pPr>
        <w:jc w:val="both"/>
        <w:ind w:left="1080" w:right="20" w:hanging="532"/>
        <w:spacing w:after="0" w:line="279" w:lineRule="auto"/>
        <w:tabs>
          <w:tab w:leader="none" w:pos="1080" w:val="left"/>
        </w:tabs>
        <w:numPr>
          <w:ilvl w:val="0"/>
          <w:numId w:val="84"/>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Delayed onset of protection. </w:t>
      </w:r>
      <w:r>
        <w:rPr>
          <w:rFonts w:ascii="Arial" w:cs="Arial" w:eastAsia="Arial" w:hAnsi="Arial"/>
          <w:sz w:val="17"/>
          <w:szCs w:val="17"/>
          <w:color w:val="32406B"/>
        </w:rPr>
        <w:t>The peak neutralizing antibody response conferred by currently available vaccines is usually 10 to 14 days</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after the final dose of the vaccine, resulting in a period of time during which an individual can be infected with SARS-CoV-2 and develop COVID-19, despite having received the vaccine. Furthermore, given that certain vaccines require two doses, three to four weeks apart, the total time from the first vaccine dose to peak neutralizing antibody response can be several weeks.</w:t>
      </w:r>
    </w:p>
    <w:p>
      <w:pPr>
        <w:spacing w:after="0" w:line="76" w:lineRule="exact"/>
        <w:rPr>
          <w:rFonts w:ascii="Arial" w:cs="Arial" w:eastAsia="Arial" w:hAnsi="Arial"/>
          <w:sz w:val="17"/>
          <w:szCs w:val="17"/>
          <w:color w:val="32406B"/>
        </w:rPr>
      </w:pPr>
    </w:p>
    <w:p>
      <w:pPr>
        <w:jc w:val="both"/>
        <w:ind w:left="1080" w:hanging="532"/>
        <w:spacing w:after="0" w:line="259"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Level of protection in immunocompromised individuals. </w:t>
      </w:r>
      <w:r>
        <w:rPr>
          <w:rFonts w:ascii="Arial" w:cs="Arial" w:eastAsia="Arial" w:hAnsi="Arial"/>
          <w:sz w:val="18"/>
          <w:szCs w:val="18"/>
          <w:color w:val="32406B"/>
        </w:rPr>
        <w:t>Since vaccines leverage an individual’s existing immune system to generate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protection, vaccines may have little to no effectiveness against infection and disease in those who have compromised immune systems. Preliminary data shows that these individuals mount poor antibody responses to mRNA vaccines, demonstrating the unmet medical need for effective preventative options for immunocompromised populations.</w:t>
      </w:r>
    </w:p>
    <w:p>
      <w:pPr>
        <w:spacing w:after="0" w:line="92"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Perceived tolerability and safety. </w:t>
      </w:r>
      <w:r>
        <w:rPr>
          <w:rFonts w:ascii="Arial" w:cs="Arial" w:eastAsia="Arial" w:hAnsi="Arial"/>
          <w:sz w:val="18"/>
          <w:szCs w:val="18"/>
          <w:color w:val="32406B"/>
        </w:rPr>
        <w:t>While currently available vaccines have demonstrated acceptable safety and tolerability profiles, there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continue to be negative perceptions of vaccine safety that have been exacerbated by government holds on certain vaccines, as well as widespread publicity regarding rare, but potentially severe, side effects.</w:t>
      </w:r>
    </w:p>
    <w:p>
      <w:pPr>
        <w:spacing w:after="0" w:line="89" w:lineRule="exact"/>
        <w:rPr>
          <w:rFonts w:ascii="Arial" w:cs="Arial" w:eastAsia="Arial" w:hAnsi="Arial"/>
          <w:sz w:val="18"/>
          <w:szCs w:val="18"/>
          <w:color w:val="32406B"/>
        </w:rPr>
      </w:pPr>
    </w:p>
    <w:p>
      <w:pPr>
        <w:jc w:val="both"/>
        <w:ind w:left="1080" w:hanging="532"/>
        <w:spacing w:after="0" w:line="257"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Vaccine hesitancy. </w:t>
      </w:r>
      <w:r>
        <w:rPr>
          <w:rFonts w:ascii="Arial" w:cs="Arial" w:eastAsia="Arial" w:hAnsi="Arial"/>
          <w:sz w:val="18"/>
          <w:szCs w:val="18"/>
          <w:color w:val="32406B"/>
        </w:rPr>
        <w:t>Due to a constellation of perceived safety, side effect and quality concerns, according to an April 2021 survey</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conducted by CBS News, approximately 40% of Americans are reluctant to receive a COVID vaccine, including 22% who outright refuse to receive a vaccine. As a result, as of June 20, 2021, 45% of the U.S. population had been fully vaccinated. Globally, vaccine hesitancy is consistent with the U.S. figures. In a Gallup poll conducted in April 2021, in 79 out of 117 countries surveyed, the number of people who said they were willing to be vaccinated was below 70%.</w:t>
      </w:r>
    </w:p>
    <w:p>
      <w:pPr>
        <w:spacing w:after="0" w:line="93"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Durability of response, including the potential need for booster shots. </w:t>
      </w:r>
      <w:r>
        <w:rPr>
          <w:rFonts w:ascii="Arial" w:cs="Arial" w:eastAsia="Arial" w:hAnsi="Arial"/>
          <w:sz w:val="18"/>
          <w:szCs w:val="18"/>
          <w:color w:val="32406B"/>
        </w:rPr>
        <w:t>The length of protection conferred by currently available vaccines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is uncertain, and recent announcements from the makers of some of these vaccines indicate that periodic administration of booster vaccines will likely be required, similar to the influenza vaccine.</w:t>
      </w:r>
    </w:p>
    <w:p>
      <w:pPr>
        <w:spacing w:after="0" w:line="89" w:lineRule="exact"/>
        <w:rPr>
          <w:rFonts w:ascii="Arial" w:cs="Arial" w:eastAsia="Arial" w:hAnsi="Arial"/>
          <w:sz w:val="18"/>
          <w:szCs w:val="18"/>
          <w:color w:val="32406B"/>
        </w:rPr>
      </w:pPr>
    </w:p>
    <w:p>
      <w:pPr>
        <w:jc w:val="both"/>
        <w:ind w:left="1080" w:hanging="532"/>
        <w:spacing w:after="0" w:line="255"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Ability to achieve herd immunity. </w:t>
      </w:r>
      <w:r>
        <w:rPr>
          <w:rFonts w:ascii="Arial" w:cs="Arial" w:eastAsia="Arial" w:hAnsi="Arial"/>
          <w:sz w:val="18"/>
          <w:szCs w:val="18"/>
          <w:color w:val="32406B"/>
        </w:rPr>
        <w:t>Many countries, including developed nations, have low vaccination rates due to multiple factors, such as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limited vaccine availability as well as vaccine hesitancy. For example, only 33% of available vaccine doses had been purchased by low-and middle-income countries, which constitute over 80% of the global population. As of June 20, 2021, less than 10% of the world’s population had been fully vaccinated. As long as significant numbers of people globally are not vaccinated, COVID-19 and disease caused by SARS-CoV-2 variants can continue to circulate. In addition, vaccination of the pediatric population is believed to be critical to achieving herd immunity.</w:t>
      </w:r>
    </w:p>
    <w:p>
      <w:pPr>
        <w:spacing w:after="0" w:line="97"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84"/>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Availability and adoption in children. </w:t>
      </w:r>
      <w:r>
        <w:rPr>
          <w:rFonts w:ascii="Arial" w:cs="Arial" w:eastAsia="Arial" w:hAnsi="Arial"/>
          <w:sz w:val="18"/>
          <w:szCs w:val="18"/>
          <w:color w:val="32406B"/>
        </w:rPr>
        <w:t>While children generally do not develop the severe consequences of COVID-19 seen in adults,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studies have shown that they are still capable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119</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4" w:lineRule="auto"/>
        <w:rPr>
          <w:sz w:val="20"/>
          <w:szCs w:val="20"/>
          <w:color w:val="auto"/>
        </w:rPr>
      </w:pPr>
      <w:r>
        <w:rPr>
          <w:rFonts w:ascii="Arial" w:cs="Arial" w:eastAsia="Arial" w:hAnsi="Arial"/>
          <w:sz w:val="18"/>
          <w:szCs w:val="18"/>
          <w:color w:val="32406B"/>
        </w:rPr>
        <w:t>transmitting SARS-CoV-2. Given that approximately 25% of the global population is under the age of 15, herd immunity is unlikely to be achieved until effective options for prevention are widely adopted in this population. Although an EUA was recently granted for use of the Pfizer/BioNTech vaccine in adolescents aged 12 to 15 years, the timing of vaccine availability for younger school-age children remains fluid. Further, data collected in April 2021 by the Kaiser Family Foundation suggest that only about a third of parents plan to vaccinate their children when vaccines first become available to them. The anticipated delay in widespread childhood vaccination, coupled with the rise in new variants relatively resistant to vaccine-induced immunity, have the potential to further impact the achievement of herd immunity.</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mAbs for Treatment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Recent approvals of mAbs for the treatment of Ebola Virus Disease and multi-drug resistant human immunodeficiency virus, or HIV, infection demonstrate their promise for the treatment of viral infections. Some SARS-CoV-2 mAb therapies, either as a monotherapy or a combination cocktail, have been granted an EUA in the United States and India and are available for use as unauthorized products in certain EU member states for the treatment of mild to moderate COVID-19 in patients at high risk of disease progression. These available mAbs include bamlanivimab, bamlanivimab/etesevimab, casirivimab/imdevimab, regdanvimab, and sotrovimab.</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Limitations of Currently Available mAbs</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 xml:space="preserve">The recent emergence of SARS-CoV-2 variants has attenuated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neutralization activity of certain currently available mAbs. For example, the U.S. Food and Drug Administration, or the FDA, recently revoked the EUA for bamlanivimab due to its lack of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activity against key variants of concern as a single agent and distribution of a second agent, bamlanvimab/etesevimab, was paused in the United States due to data showing that the combined frequency of two variants resistant to this product, the Gamma (P.1) and Beta (B.1.351) variants, exceeded 11% in the United States. Consistent with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data showing more pronounced loss of neutralization activity for casirivimab and bamlanivimab/etesevimab against the Gamma variant compared to the Alpha variant, preliminary real-world use data from Italy suggest lower clinical efficacy for casirivimab/imdevimab and bamlanivimab/etesevimab against infections due to the Gamma variant.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Publications regarding real-world use of these agents under EUA show that large numbers of otherwise eligible patients who were referred for therapy ultimately did not receive it. In Europe, IV administration in outpatient settings by community nurses or general practitioners remains very limited due to lack of appropriate infrastructure and sites of care.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Approach to COVID-19 and Development of Coronavirus mAbs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7"/>
          <w:szCs w:val="17"/>
          <w:color w:val="32406B"/>
        </w:rPr>
      </w:pPr>
      <w:r>
        <w:rPr>
          <w:rFonts w:ascii="Arial" w:cs="Arial" w:eastAsia="Arial" w:hAnsi="Arial"/>
          <w:sz w:val="17"/>
          <w:szCs w:val="17"/>
          <w:color w:val="32406B"/>
        </w:rPr>
        <w:t>High potency and broad neutralizing activity to address SARS-CoV-2, including variants of concern, and additional SARS-like viruses;</w:t>
      </w:r>
    </w:p>
    <w:p>
      <w:pPr>
        <w:spacing w:after="0" w:line="142" w:lineRule="exact"/>
        <w:rPr>
          <w:rFonts w:ascii="Arial" w:cs="Arial" w:eastAsia="Arial" w:hAnsi="Arial"/>
          <w:sz w:val="17"/>
          <w:szCs w:val="17"/>
          <w:color w:val="32406B"/>
        </w:rPr>
      </w:pPr>
    </w:p>
    <w:p>
      <w:pPr>
        <w:ind w:left="1080" w:hanging="532"/>
        <w:spacing w:after="0" w:line="277" w:lineRule="auto"/>
        <w:tabs>
          <w:tab w:leader="none" w:pos="1080" w:val="left"/>
        </w:tabs>
        <w:numPr>
          <w:ilvl w:val="0"/>
          <w:numId w:val="85"/>
        </w:numPr>
        <w:rPr>
          <w:rFonts w:ascii="Arial" w:cs="Arial" w:eastAsia="Arial" w:hAnsi="Arial"/>
          <w:sz w:val="18"/>
          <w:szCs w:val="18"/>
          <w:color w:val="32406B"/>
        </w:rPr>
      </w:pPr>
      <w:r>
        <w:rPr>
          <w:rFonts w:ascii="Arial" w:cs="Arial" w:eastAsia="Arial" w:hAnsi="Arial"/>
          <w:sz w:val="18"/>
          <w:szCs w:val="18"/>
          <w:color w:val="32406B"/>
        </w:rPr>
        <w:t>Multiple mechanisms of action, including direct virus neutralization by blocking viral entry into the host cell and elimination of infected host cells through innate immune effector activity to clear infection;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120</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Convenient outpatient administration as a single-dose IM injection;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86"/>
        </w:numPr>
        <w:rPr>
          <w:rFonts w:ascii="Arial" w:cs="Arial" w:eastAsia="Arial" w:hAnsi="Arial"/>
          <w:sz w:val="18"/>
          <w:szCs w:val="18"/>
          <w:color w:val="32406B"/>
        </w:rPr>
      </w:pPr>
      <w:r>
        <w:rPr>
          <w:rFonts w:ascii="Arial" w:cs="Arial" w:eastAsia="Arial" w:hAnsi="Arial"/>
          <w:sz w:val="18"/>
          <w:szCs w:val="18"/>
          <w:color w:val="32406B"/>
        </w:rPr>
        <w:t>Ability to provide both rapid and durable protection with potential protection against COVID-19 for up to one year.</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 Fc portion binds to host cell receptors to activate the innate immune system to eliminate infected host cells and is a key determinant of serum half-life. Key elements that differentiate our approach include:</w:t>
      </w:r>
    </w:p>
    <w:p>
      <w:pPr>
        <w:spacing w:after="0" w:line="88" w:lineRule="exact"/>
        <w:rPr>
          <w:sz w:val="20"/>
          <w:szCs w:val="20"/>
          <w:color w:val="auto"/>
        </w:rPr>
      </w:pPr>
    </w:p>
    <w:p>
      <w:pPr>
        <w:jc w:val="both"/>
        <w:ind w:left="1080" w:right="20" w:hanging="532"/>
        <w:spacing w:after="0" w:line="281" w:lineRule="auto"/>
        <w:tabs>
          <w:tab w:leader="none" w:pos="1080" w:val="left"/>
        </w:tabs>
        <w:numPr>
          <w:ilvl w:val="0"/>
          <w:numId w:val="87"/>
        </w:numPr>
        <w:rPr>
          <w:rFonts w:ascii="Arial" w:cs="Arial" w:eastAsia="Arial" w:hAnsi="Arial"/>
          <w:sz w:val="17"/>
          <w:szCs w:val="17"/>
          <w:color w:val="32406B"/>
        </w:rPr>
      </w:pPr>
      <w:r>
        <w:rPr>
          <w:rFonts w:ascii="Arial" w:cs="Arial" w:eastAsia="Arial" w:hAnsi="Arial"/>
          <w:sz w:val="17"/>
          <w:szCs w:val="17"/>
          <w:b w:val="1"/>
          <w:bCs w:val="1"/>
          <w:color w:val="32406B"/>
        </w:rPr>
        <w:t xml:space="preserve">Recognition of the importance of broadly neutralizing antibodies: </w:t>
      </w:r>
      <w:r>
        <w:rPr>
          <w:rFonts w:ascii="Arial" w:cs="Arial" w:eastAsia="Arial" w:hAnsi="Arial"/>
          <w:sz w:val="17"/>
          <w:szCs w:val="17"/>
          <w:color w:val="32406B"/>
        </w:rPr>
        <w:t>From the outset, we chose to focus on mAbs capable of broadly</w:t>
      </w:r>
      <w:r>
        <w:rPr>
          <w:rFonts w:ascii="Arial" w:cs="Arial" w:eastAsia="Arial" w:hAnsi="Arial"/>
          <w:sz w:val="17"/>
          <w:szCs w:val="17"/>
          <w:b w:val="1"/>
          <w:bCs w:val="1"/>
          <w:color w:val="32406B"/>
        </w:rPr>
        <w:t xml:space="preserve"> </w:t>
      </w:r>
      <w:r>
        <w:rPr>
          <w:rFonts w:ascii="Arial" w:cs="Arial" w:eastAsia="Arial" w:hAnsi="Arial"/>
          <w:sz w:val="17"/>
          <w:szCs w:val="17"/>
          <w:color w:val="32406B"/>
        </w:rPr>
        <w:t>neutralizing not only SARS-CoV-2 and its variants, but also the entire viral class of sarbecoviruses that target the hACE2 receptor. Our rationale was driven by the recognition that COVID-19 is a continuation of previous human coronavirus outbreaks, including SARS and MERS, and the likelihood that future variants and other viral outbreaks will continue to emerge.</w:t>
      </w:r>
    </w:p>
    <w:p>
      <w:pPr>
        <w:spacing w:after="0" w:line="70" w:lineRule="exact"/>
        <w:rPr>
          <w:rFonts w:ascii="Arial" w:cs="Arial" w:eastAsia="Arial" w:hAnsi="Arial"/>
          <w:sz w:val="17"/>
          <w:szCs w:val="17"/>
          <w:color w:val="32406B"/>
        </w:rPr>
      </w:pPr>
    </w:p>
    <w:p>
      <w:pPr>
        <w:jc w:val="both"/>
        <w:ind w:left="1080" w:hanging="532"/>
        <w:spacing w:after="0" w:line="294" w:lineRule="auto"/>
        <w:tabs>
          <w:tab w:leader="none" w:pos="1080" w:val="left"/>
        </w:tabs>
        <w:numPr>
          <w:ilvl w:val="0"/>
          <w:numId w:val="87"/>
        </w:numPr>
        <w:rPr>
          <w:rFonts w:ascii="Arial" w:cs="Arial" w:eastAsia="Arial" w:hAnsi="Arial"/>
          <w:sz w:val="16"/>
          <w:szCs w:val="16"/>
          <w:color w:val="32406B"/>
        </w:rPr>
      </w:pPr>
      <w:r>
        <w:rPr>
          <w:rFonts w:ascii="Arial" w:cs="Arial" w:eastAsia="Arial" w:hAnsi="Arial"/>
          <w:sz w:val="16"/>
          <w:szCs w:val="16"/>
          <w:b w:val="1"/>
          <w:bCs w:val="1"/>
          <w:color w:val="32406B"/>
        </w:rPr>
        <w:t xml:space="preserve">Industry-leading B-cell mining, protein engineering and developability screening capabilities through our partnership with Adimab: </w:t>
      </w:r>
      <w:r>
        <w:rPr>
          <w:rFonts w:ascii="Arial" w:cs="Arial" w:eastAsia="Arial" w:hAnsi="Arial"/>
          <w:sz w:val="16"/>
          <w:szCs w:val="16"/>
          <w:color w:val="32406B"/>
        </w:rPr>
        <w:t>We leverage nature’s solutions using Adimab’s deep B-cell mining capabilities to isolate broadly neutralizing antibodies from a</w:t>
      </w:r>
      <w:r>
        <w:rPr>
          <w:rFonts w:ascii="Arial" w:cs="Arial" w:eastAsia="Arial" w:hAnsi="Arial"/>
          <w:sz w:val="16"/>
          <w:szCs w:val="16"/>
          <w:b w:val="1"/>
          <w:bCs w:val="1"/>
          <w:color w:val="32406B"/>
        </w:rPr>
        <w:t xml:space="preserve"> </w:t>
      </w:r>
      <w:r>
        <w:rPr>
          <w:rFonts w:ascii="Arial" w:cs="Arial" w:eastAsia="Arial" w:hAnsi="Arial"/>
          <w:sz w:val="16"/>
          <w:szCs w:val="16"/>
          <w:color w:val="32406B"/>
        </w:rPr>
        <w:t>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65" w:lineRule="exact"/>
        <w:rPr>
          <w:rFonts w:ascii="Arial" w:cs="Arial" w:eastAsia="Arial" w:hAnsi="Arial"/>
          <w:sz w:val="16"/>
          <w:szCs w:val="16"/>
          <w:color w:val="32406B"/>
        </w:rPr>
      </w:pPr>
    </w:p>
    <w:p>
      <w:pPr>
        <w:jc w:val="both"/>
        <w:ind w:left="1080" w:hanging="532"/>
        <w:spacing w:after="0" w:line="269" w:lineRule="auto"/>
        <w:tabs>
          <w:tab w:leader="none" w:pos="1080" w:val="left"/>
        </w:tabs>
        <w:numPr>
          <w:ilvl w:val="0"/>
          <w:numId w:val="87"/>
        </w:numPr>
        <w:rPr>
          <w:rFonts w:ascii="Arial" w:cs="Arial" w:eastAsia="Arial" w:hAnsi="Arial"/>
          <w:sz w:val="17"/>
          <w:szCs w:val="17"/>
          <w:color w:val="32406B"/>
        </w:rPr>
      </w:pPr>
      <w:r>
        <w:rPr>
          <w:rFonts w:ascii="Arial" w:cs="Arial" w:eastAsia="Arial" w:hAnsi="Arial"/>
          <w:sz w:val="17"/>
          <w:szCs w:val="17"/>
          <w:b w:val="1"/>
          <w:bCs w:val="1"/>
          <w:color w:val="32406B"/>
        </w:rPr>
        <w:t xml:space="preserve">Reduced risk of clinical resistance: </w:t>
      </w:r>
      <w:r>
        <w:rPr>
          <w:rFonts w:ascii="Arial" w:cs="Arial" w:eastAsia="Arial" w:hAnsi="Arial"/>
          <w:sz w:val="17"/>
          <w:szCs w:val="17"/>
          <w:color w:val="32406B"/>
        </w:rPr>
        <w:t>We are developing antibodies that target conserved residues in the receptor-binding domain, or RBD,</w:t>
      </w:r>
      <w:r>
        <w:rPr>
          <w:rFonts w:ascii="Arial" w:cs="Arial" w:eastAsia="Arial" w:hAnsi="Arial"/>
          <w:sz w:val="17"/>
          <w:szCs w:val="17"/>
          <w:b w:val="1"/>
          <w:bCs w:val="1"/>
          <w:color w:val="32406B"/>
        </w:rPr>
        <w:t xml:space="preserve"> </w:t>
      </w:r>
      <w:r>
        <w:rPr>
          <w:rFonts w:ascii="Arial" w:cs="Arial" w:eastAsia="Arial" w:hAnsi="Arial"/>
          <w:sz w:val="17"/>
          <w:szCs w:val="17"/>
          <w:color w:val="32406B"/>
        </w:rPr>
        <w:t xml:space="preserve">of the viral S protein. Importantly, these residues are distinct from those recognized by more narrowly targeted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 In contrast, many of the SARS-CoV-2-specific antibodies that are currently available or in development target residues that are both variable and commonly recognized by public antibodies. The combination of variable residues and immune selection pressure exerted by antibodies elicited by vaccination and natural infection has led to the emergence of SARS-CoV-2 variants with reduced susceptibility to some of the mAbs currently available under EUA. In contrast, our broadly neutralizing antibodies, including ADG20, have maintained neutralizing activity </w:t>
      </w:r>
      <w:r>
        <w:rPr>
          <w:rFonts w:ascii="Arial" w:cs="Arial" w:eastAsia="Arial" w:hAnsi="Arial"/>
          <w:sz w:val="17"/>
          <w:szCs w:val="17"/>
          <w:i w:val="1"/>
          <w:iCs w:val="1"/>
          <w:color w:val="32406B"/>
        </w:rPr>
        <w:t>in</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vitro </w:t>
      </w:r>
      <w:r>
        <w:rPr>
          <w:rFonts w:ascii="Arial" w:cs="Arial" w:eastAsia="Arial" w:hAnsi="Arial"/>
          <w:sz w:val="17"/>
          <w:szCs w:val="17"/>
          <w:color w:val="32406B"/>
        </w:rPr>
        <w:t>against these known and emerging variants. Furthermore, the frequency of circulating variants with mutations in the residues targeted</w:t>
      </w:r>
      <w:r>
        <w:rPr>
          <w:rFonts w:ascii="Arial" w:cs="Arial" w:eastAsia="Arial" w:hAnsi="Arial"/>
          <w:sz w:val="17"/>
          <w:szCs w:val="17"/>
          <w:i w:val="1"/>
          <w:iCs w:val="1"/>
          <w:color w:val="32406B"/>
        </w:rPr>
        <w:t xml:space="preserve"> </w:t>
      </w:r>
      <w:r>
        <w:rPr>
          <w:rFonts w:ascii="Arial" w:cs="Arial" w:eastAsia="Arial" w:hAnsi="Arial"/>
          <w:sz w:val="17"/>
          <w:szCs w:val="17"/>
          <w:color w:val="32406B"/>
        </w:rPr>
        <w:t>by our antibodies has been extremely low.</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Our Discovery of ADG20</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Our founding scientists designed and engineered ADG20 with the goal of creating a highly active and broad mAb-based therapeutic candidate for both the treatment and prevention of COVID-19. They focused on isolating an antibody capable of broadly neutralizing the entire viral class of SARS-like viruses from the sarbecovirus lineage, including diverse family members such as SARS-CoV-1, WIV1, SHC014 and SARS-CoV-2, as opposed to only neutralizing SARS-CoV-2.</w:t>
      </w:r>
    </w:p>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To achieve this objective, a blood sample was obtained from a survivor of the 2003 SARS outbreak who had never been exposed to SARS-CoV-2. After purification, the B-cells were sorted based on reactivity to SARS-CoV-2, enabling us to isolate and identify 200 antibodies that bound to the SARS-CoV-2 S protein. These antibodies were then evaluated for their breadth of neutralization against SARS-CoV-1, SARS-CoV-2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121</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WIV1. Out of the 200 antibodies, seven demonstrated broad neutralization potency, as shown in the graphic below.</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Seven Antibodies Isolated from a SARS Survivor Demonstrated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Significant Breadth of Viral Neutralization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77435" cy="33686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7743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Rather than immediately advancing one of these seven candidates into clinical development, we opted to improve the binding affinities, and thus neutralizing activities, of three of these antibodies using the Adimab protein engineering platform. Affinity maturation allowed us to increase the SARS-CoV-2 S protein binding affinity and neutralization potency of ADI-55688 by as much as 500- and 77-fold, respectively, as shown in the graphic below. Based on this enhanced profile, we selected to evaluate ADG2, the ADI-55688 progeny with the most improved binding affinity and neutralization potency, in additional preclinical studies.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122</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Protein Engineering Substantially Improved Binding to and Neutralization of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171450</wp:posOffset>
            </wp:positionV>
            <wp:extent cx="4783455" cy="22028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8345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 xml:space="preserve">To determine whether ADG2 retained its broad neutralization capability, we evaluated its activity against additional members of the sarbecovirus lineage. Clade 1 of this lineage is of particular concern as it includes members that can infect human cells using the hACE2 receptor. Of the Clade 1 viruses, authentic virus neutralization assays, which represent the relevant assays to evaluate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neutralization activity, are only available for SARS-CoV-1, SARS-CoV-2, WIV1 and SHC014. Among the Clade 1 viruses, SHC014 is the most genetically divergent from SARS-CoV-2, and therefore, the ability to neutralize both SARS-CoV-2 and SHC014 suggests an ability to neutralize the majority of viruses in the clade.</w:t>
      </w:r>
    </w:p>
    <w:p>
      <w:pPr>
        <w:spacing w:after="0" w:line="16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compared the activity of ADG2 with other currently available or clinical-stage mAbs against a subset of Clade 1 sarbecoviruses in authentic virus neutralization assays using transfected HeLa cells that express the hACE2 receptor and non-human primate Vero cells. ADG2 demonstrated high potency, defined as an IC</w:t>
      </w:r>
      <w:r>
        <w:rPr>
          <w:rFonts w:ascii="Arial" w:cs="Arial" w:eastAsia="Arial" w:hAnsi="Arial"/>
          <w:sz w:val="15"/>
          <w:szCs w:val="15"/>
          <w:color w:val="32406B"/>
        </w:rPr>
        <w:t>50</w:t>
      </w:r>
      <w:r>
        <w:rPr>
          <w:rFonts w:ascii="Arial" w:cs="Arial" w:eastAsia="Arial" w:hAnsi="Arial"/>
          <w:sz w:val="18"/>
          <w:szCs w:val="18"/>
          <w:color w:val="32406B"/>
        </w:rPr>
        <w:t xml:space="preserve"> value of 0.01 mcg/mL or less, against SARS-CoV-2 in the two different assays, whereas the potency of certain other antibodies was observed to vary. Importantly, ADG2 exhibited highly potent activity against the other Clade 1 viruses tested, including SARS-CoV-1, WIV1 and SHC014, whereas the other antibodies demonstrated either limited potency or were non-neutralizing, or N.N., at the highest concentration tested, as shown in the graphic below.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123</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ADG2 Shows Broad Neutralization Activity Across Diverse SARS-Related Coronaviruses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922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9458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further engineered ADG2 with an Fc region modification designed to extend the half-life to enable the potential for a single-dose administration to provide durable protection against COVID-19 for up to 12 months, which resulted in our lead product candidate, ADG20.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ADG20: Our Solution for the Treatment and Prevention of COVID-19</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ADG20, our lead product candidate, is designed to be a potent, broadly neutralizing antibody for both the treatment and prevention of COVID-19, including disease caused by variants, as either a single or combination agent. Unlike other antibody-based therapies specifically targeting SARS-CoV-2, ADG20 has demonstrated in non-clinical studies an ability to neutralize SARS-CoV-2, including variants of concern, as well as a broad range of sarbecoviruses with neutralization potency at IC</w:t>
      </w:r>
      <w:r>
        <w:rPr>
          <w:rFonts w:ascii="Arial" w:cs="Arial" w:eastAsia="Arial" w:hAnsi="Arial"/>
          <w:sz w:val="14"/>
          <w:szCs w:val="14"/>
          <w:color w:val="32406B"/>
        </w:rPr>
        <w:t>50</w:t>
      </w:r>
      <w:r>
        <w:rPr>
          <w:rFonts w:ascii="Arial" w:cs="Arial" w:eastAsia="Arial" w:hAnsi="Arial"/>
          <w:sz w:val="17"/>
          <w:szCs w:val="17"/>
          <w:color w:val="32406B"/>
        </w:rPr>
        <w:t xml:space="preserve"> of approximately 0.01 mcg/mL or less in live-virus cellular assays. In addition, ADG20 can be conveniently administered as a single-dose IM injection. We believe these and other attributes of ADG20 differentiate it from other antibodies that are either available under EUA or in development to address COVID-19.</w:t>
      </w:r>
    </w:p>
    <w:p>
      <w:pPr>
        <w:spacing w:after="0" w:line="17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Our clinical development plan for ADG20 includes two global clinical trials designed to demonstrate the safety and efficacy of ADG20 for the treatment and prevention of COVID-19, respectively. We have completed enrollment in our first-in-human Phase 1 clinical trial in healthy volunteers, which demonstrated that a single-dose of ADG20 was well tolerated at doses up to 500 mg IV and 600 mg IM and that the initial pharmacokinetic profile was consistent with an extended half-life mAb. In addition, the serum virus neutralizing antibody titers measured the day following administration of ADG20 were similar to or exceeded peak serum neutralizing antibody titers generated after two doses of mRNA or adenovirus-based COVID-19 vaccines. We are conducting two separate Phase 2/3 clinical trials to evaluate ADG20 for the treatment of COVID-19, which we refer to as our STAMP trial, and for the prevention of symptomatic COVID-19, which we refer to as our EVADE trial. For the treatment of mild to moderate COVID-19 in patients at high risk of disease progression, our STAMP trial is designed to provide a path to applying for EUA and/or filing a BLA for marketing approval in 2022, and commercial launch thereafter, if ADG20 is approved. We may not meet our time frames for submission for an EUA or a BLA, and if we do meet such timelines, there is no guarantee the FDA would approve our submission,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124</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32406B"/>
        </w:rPr>
        <w:t>or on the time frame we have indicated. Our EVADE trial is designed to evaluate the prevention of COVID-19 in both post-exposure and pre-exposure populations. We are also developing a clinical development strategy to support the use of ADG20 in the pediatric population.</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Key Advantages of ADG20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believe ADG20 will have the following key clinical and commercial advantages:</w:t>
      </w:r>
    </w:p>
    <w:p>
      <w:pPr>
        <w:spacing w:after="0" w:line="131" w:lineRule="exact"/>
        <w:rPr>
          <w:sz w:val="20"/>
          <w:szCs w:val="20"/>
          <w:color w:val="auto"/>
        </w:rPr>
      </w:pPr>
    </w:p>
    <w:p>
      <w:pPr>
        <w:jc w:val="both"/>
        <w:ind w:left="1080" w:right="20" w:hanging="532"/>
        <w:spacing w:after="0" w:line="263" w:lineRule="auto"/>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Broadly neutralizing activity across sarbecoviruses. </w:t>
      </w:r>
      <w:r>
        <w:rPr>
          <w:rFonts w:ascii="Arial" w:cs="Arial" w:eastAsia="Arial" w:hAnsi="Arial"/>
          <w:sz w:val="18"/>
          <w:szCs w:val="18"/>
          <w:color w:val="32406B"/>
        </w:rPr>
        <w:t>From the outset, we selected and engineered the mAb that became ADG20</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specifically for its ability to broadly neutralize not only SARS-CoV-2 and its variants, but also additional members of the sarbecovirus lineage.</w:t>
      </w:r>
    </w:p>
    <w:p>
      <w:pPr>
        <w:spacing w:after="0" w:line="89"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Rapid onset of protection. </w:t>
      </w:r>
      <w:r>
        <w:rPr>
          <w:rFonts w:ascii="Arial" w:cs="Arial" w:eastAsia="Arial" w:hAnsi="Arial"/>
          <w:sz w:val="18"/>
          <w:szCs w:val="18"/>
          <w:color w:val="32406B"/>
        </w:rPr>
        <w:t>Currently available COVID-19 vaccines can take several weeks, and often require multiple doses, to induce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peak neutralizing antibody response. As a mAb, ADG20 has the potential to confer more rapid protection post-dose against COVID-19 and its complications.</w:t>
      </w:r>
    </w:p>
    <w:p>
      <w:pPr>
        <w:spacing w:after="0" w:line="89"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Differentiated durability. </w:t>
      </w:r>
      <w:r>
        <w:rPr>
          <w:rFonts w:ascii="Arial" w:cs="Arial" w:eastAsia="Arial" w:hAnsi="Arial"/>
          <w:sz w:val="18"/>
          <w:szCs w:val="18"/>
          <w:color w:val="32406B"/>
        </w:rPr>
        <w:t>ADG20 has the potential to provide durable protection by virtue of its potency and half-life extension.</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Physiologically based pharmacokinetic modeling has suggested that a single-dose 300 mg IM injection of ADG20 may result in durable serum levels that we believe may provide protection for up to 12 months.</w:t>
      </w:r>
    </w:p>
    <w:p>
      <w:pPr>
        <w:spacing w:after="0" w:line="89" w:lineRule="exact"/>
        <w:rPr>
          <w:rFonts w:ascii="Arial" w:cs="Arial" w:eastAsia="Arial" w:hAnsi="Arial"/>
          <w:sz w:val="18"/>
          <w:szCs w:val="18"/>
          <w:color w:val="32406B"/>
        </w:rPr>
      </w:pPr>
    </w:p>
    <w:p>
      <w:pPr>
        <w:jc w:val="both"/>
        <w:ind w:left="1080" w:hanging="532"/>
        <w:spacing w:after="0" w:line="279" w:lineRule="auto"/>
        <w:tabs>
          <w:tab w:leader="none" w:pos="1080" w:val="left"/>
        </w:tabs>
        <w:numPr>
          <w:ilvl w:val="0"/>
          <w:numId w:val="88"/>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Convenient, single-dose IM injection for use in the outpatient setting. </w:t>
      </w:r>
      <w:r>
        <w:rPr>
          <w:rFonts w:ascii="Arial" w:cs="Arial" w:eastAsia="Arial" w:hAnsi="Arial"/>
          <w:sz w:val="17"/>
          <w:szCs w:val="17"/>
          <w:color w:val="32406B"/>
        </w:rPr>
        <w:t>Currently available COVID-19 mAbs are administered via IV</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infusions that require specialized facilities that are properly equipped to accommodate IV infusions in actively infected patients, which may lead to a delay in administration. In contrast, the low viscosity, high concentration formulation and high potency of ADG20 allow it to be delivered as a convenient, single-dose IM injection in traditional outpatient settings.</w:t>
      </w:r>
    </w:p>
    <w:p>
      <w:pPr>
        <w:spacing w:after="0" w:line="76" w:lineRule="exact"/>
        <w:rPr>
          <w:rFonts w:ascii="Arial" w:cs="Arial" w:eastAsia="Arial" w:hAnsi="Arial"/>
          <w:sz w:val="17"/>
          <w:szCs w:val="17"/>
          <w:color w:val="32406B"/>
        </w:rPr>
      </w:pPr>
    </w:p>
    <w:p>
      <w:pPr>
        <w:jc w:val="both"/>
        <w:ind w:left="1080" w:hanging="532"/>
        <w:spacing w:after="0" w:line="275" w:lineRule="auto"/>
        <w:tabs>
          <w:tab w:leader="none" w:pos="1080" w:val="left"/>
        </w:tabs>
        <w:numPr>
          <w:ilvl w:val="0"/>
          <w:numId w:val="88"/>
        </w:numPr>
        <w:rPr>
          <w:rFonts w:ascii="Arial" w:cs="Arial" w:eastAsia="Arial" w:hAnsi="Arial"/>
          <w:sz w:val="17"/>
          <w:szCs w:val="17"/>
          <w:color w:val="32406B"/>
        </w:rPr>
      </w:pPr>
      <w:r>
        <w:rPr>
          <w:rFonts w:ascii="Arial" w:cs="Arial" w:eastAsia="Arial" w:hAnsi="Arial"/>
          <w:sz w:val="17"/>
          <w:szCs w:val="17"/>
          <w:b w:val="1"/>
          <w:bCs w:val="1"/>
          <w:i w:val="1"/>
          <w:iCs w:val="1"/>
          <w:color w:val="32406B"/>
        </w:rPr>
        <w:t xml:space="preserve">Ability to both complement and supplement currently available COVID-19 vaccines, including for immunocompromised individuals. </w:t>
      </w:r>
      <w:r>
        <w:rPr>
          <w:rFonts w:ascii="Arial" w:cs="Arial" w:eastAsia="Arial" w:hAnsi="Arial"/>
          <w:sz w:val="17"/>
          <w:szCs w:val="17"/>
          <w:color w:val="32406B"/>
        </w:rPr>
        <w:t>ADG20 is designed to provide convenient, rapid and durable protection against COVID-19 and its complications, including for vulnerable individuals unlikely to mount a protective immune response to vaccines, such as the immunocompromised population. ADG20 has the potential to be used as either a complement (i.e., an alternative) or supplement (i.e., add-on) to vaccines, as well as a means to provide protection following an exposure to an individual with laboratory-confirmed COVID-19.</w:t>
      </w:r>
    </w:p>
    <w:p>
      <w:pPr>
        <w:spacing w:after="0" w:line="81"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High titer, high yield manufacturing process. </w:t>
      </w:r>
      <w:r>
        <w:rPr>
          <w:rFonts w:ascii="Arial" w:cs="Arial" w:eastAsia="Arial" w:hAnsi="Arial"/>
          <w:sz w:val="18"/>
          <w:szCs w:val="18"/>
          <w:color w:val="32406B"/>
        </w:rPr>
        <w:t>We have developed a proprietary process to manufacture ADG20 at a large scale that is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suitable for broad commercialization and enables a relatively low cost of goods.</w:t>
      </w:r>
    </w:p>
    <w:p>
      <w:pPr>
        <w:spacing w:after="0" w:line="71" w:lineRule="exact"/>
        <w:rPr>
          <w:rFonts w:ascii="Arial" w:cs="Arial" w:eastAsia="Arial" w:hAnsi="Arial"/>
          <w:sz w:val="18"/>
          <w:szCs w:val="18"/>
          <w:color w:val="32406B"/>
        </w:rPr>
      </w:pPr>
    </w:p>
    <w:p>
      <w:pPr>
        <w:jc w:val="both"/>
        <w:ind w:left="1080" w:right="20" w:hanging="532"/>
        <w:spacing w:after="0" w:line="274" w:lineRule="auto"/>
        <w:tabs>
          <w:tab w:leader="none" w:pos="1080" w:val="left"/>
        </w:tabs>
        <w:numPr>
          <w:ilvl w:val="0"/>
          <w:numId w:val="88"/>
        </w:numPr>
        <w:rPr>
          <w:rFonts w:ascii="Arial" w:cs="Arial" w:eastAsia="Arial" w:hAnsi="Arial"/>
          <w:sz w:val="17"/>
          <w:szCs w:val="17"/>
          <w:color w:val="32406B"/>
        </w:rPr>
      </w:pPr>
      <w:r>
        <w:rPr>
          <w:rFonts w:ascii="Arial" w:cs="Arial" w:eastAsia="Arial" w:hAnsi="Arial"/>
          <w:sz w:val="17"/>
          <w:szCs w:val="17"/>
          <w:b w:val="1"/>
          <w:bCs w:val="1"/>
          <w:i w:val="1"/>
          <w:iCs w:val="1"/>
          <w:color w:val="32406B"/>
        </w:rPr>
        <w:t>Potential for affordability</w:t>
      </w:r>
      <w:r>
        <w:rPr>
          <w:rFonts w:ascii="Arial" w:cs="Arial" w:eastAsia="Arial" w:hAnsi="Arial"/>
          <w:sz w:val="17"/>
          <w:szCs w:val="17"/>
          <w:b w:val="1"/>
          <w:bCs w:val="1"/>
          <w:color w:val="32406B"/>
        </w:rPr>
        <w:t>.</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An antibody therapy with a low cost of goods that is administered as a single IM injection with potential</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durability for up to 12 months has the potential to offer payors, providers and patients an affordable option to treat and prevent COVID-19. Recent initiatives by the Centers for Medicare &amp; Medicaid Services to decrease out-of-pocket costs to patients and increase reimbursement for COVID-19 antibody therapies to providers underscore the importance of ensuring affordable access to COVID-19 antibodies. We believe ADG20’s potential for affordability may allow for greater pricing flexibility to encourage broader access to ADG20 and appropriate use by government and private payors, physicians and patients.</w:t>
      </w:r>
    </w:p>
    <w:p>
      <w:pPr>
        <w:spacing w:after="0" w:line="82" w:lineRule="exact"/>
        <w:rPr>
          <w:rFonts w:ascii="Arial" w:cs="Arial" w:eastAsia="Arial" w:hAnsi="Arial"/>
          <w:sz w:val="17"/>
          <w:szCs w:val="17"/>
          <w:color w:val="32406B"/>
        </w:rPr>
      </w:pPr>
    </w:p>
    <w:p>
      <w:pPr>
        <w:jc w:val="both"/>
        <w:ind w:left="1080" w:right="20" w:hanging="532"/>
        <w:spacing w:after="0" w:line="263" w:lineRule="auto"/>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Standard refrigeration requirements to facilitate worldwide distribution and storage. </w:t>
      </w:r>
      <w:r>
        <w:rPr>
          <w:rFonts w:ascii="Arial" w:cs="Arial" w:eastAsia="Arial" w:hAnsi="Arial"/>
          <w:sz w:val="18"/>
          <w:szCs w:val="18"/>
          <w:color w:val="32406B"/>
        </w:rPr>
        <w:t>ADG20 may be conveniently stored under standard</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refrigerated conditions during distribution and prior to administration. We are in the process of confirming the long-term stability of ADG20 in sterile liquid form under refrigerated conditions.</w:t>
      </w:r>
    </w:p>
    <w:p>
      <w:pPr>
        <w:spacing w:after="0" w:line="89"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88"/>
        </w:numPr>
        <w:rPr>
          <w:rFonts w:ascii="Arial" w:cs="Arial" w:eastAsia="Arial" w:hAnsi="Arial"/>
          <w:sz w:val="18"/>
          <w:szCs w:val="18"/>
          <w:color w:val="32406B"/>
        </w:rPr>
      </w:pPr>
      <w:r>
        <w:rPr>
          <w:rFonts w:ascii="Arial" w:cs="Arial" w:eastAsia="Arial" w:hAnsi="Arial"/>
          <w:sz w:val="18"/>
          <w:szCs w:val="18"/>
          <w:b w:val="1"/>
          <w:bCs w:val="1"/>
          <w:i w:val="1"/>
          <w:iCs w:val="1"/>
          <w:color w:val="32406B"/>
        </w:rPr>
        <w:t xml:space="preserve">Long shelf life to enable stockpiling. </w:t>
      </w:r>
      <w:r>
        <w:rPr>
          <w:rFonts w:ascii="Arial" w:cs="Arial" w:eastAsia="Arial" w:hAnsi="Arial"/>
          <w:sz w:val="18"/>
          <w:szCs w:val="18"/>
          <w:color w:val="32406B"/>
        </w:rPr>
        <w:t>ADG20 has the potential to be developed as a lyophilized formulation to further extend the shelf life</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of the drug product under refrigerated conditions. Through a combination of the lyophilized form and the long-term frozen storage of the drug substance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125</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32406B"/>
        </w:rPr>
        <w:t>intermediate, we believe the shelf life of ADG20 can be further extended to enable stockpiling initiatives to address future potential coronavirus pandemics.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Mechanism of Action</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ADG20 has the potential to impact viral replication and subsequent disease through multiple mechanisms of action, including direct blocking of viral entry into the host cell, or neutralization, and elimination of infected host cells through Fc-mediated innate immune effector activity. The majority of antibodies, including ADG20, that neutralize SARS-CoV-2 target the S protein, and more specifically, target the surface that overlaps with the hACE2 receptor binding site.</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Public antibodies that are commonly elicited by natural SARS-CoV-2 infection have been categorized into three classes based on their shared epitopes and escape mutations. These public antibodies target variable amino acid residues that are likely not important for viral fitness, and thus are susceptible to mutation. A subset of the mutations, including those at the E484K, L452R and K417N/T residues that are present in multiple variants of concern, confers resistance to class 1 and class 2 antibodies, which likely emerged in response to immune pressure exerted on these amino acid residues by the commonly induced public antibodies.</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Class 1 antibodies, such as etesevimab, or LY-CoV016, and casirivimab, or REGN10933, are impacted by escape mutations at amino acid residue K417N/T, which are found in the Beta (B.1.351) and Gamma (P.1) variants. Class 2 antibodies, such as bamlanivimab, or LY-CoV555, and tixagevimab, or COV2-2196, are impacted by escape mutations at amino acid residue E484, which are found in Beta (B.1.351), Gamma (P.1), Iota (B.1.526) and Kappa (B.1.617.1) variants. Class 3 antibodies, such as imdevimab, or REGN10987, bind largely to variable residues and are thus associated with multiple potential routes of escape. As of May 5, 2021, variants containing mutations at key Class 3 residues have been detected in global sequence databases at frequencies exceeding 5.5%.</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The graphic below shows the amino acid sequences for RBDs of Clade 1 sarbecoviruses with SARS-CoV-2 in the top row. The graphic also shows the specific amino acid residues targeted by Class 1-3 antibodies and ADG20. When the amino acid residue at a certain position is the same or biochemically similar across viruses, it is considered to be conserved. These conserved residues are highlighted in the graphic below in green and yellow. When the amino acid residue at a certain position changes across viruses, it is considered variable. These variable residues are highlighted in the graphic below in red. Antibodies targeting residues that are conserved are more likely to be broadly neutralizing whereas those that target variable residues are more likely to lose effectiveness against viruses that have a different residue at that position.</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Class 1-3 Antibodies Target Variable Residues Associated with Viral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8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126</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 xml:space="preserve">In contrast to Class 1-3 antibodies, ADG20 employs a unique binding strategy. The amino acid residues that ADG20 engages are conserved, as highlighted in green and yellow above, which provides it with broadly neutralizing capabilities and suggests that these residues may be important to viral fitness, and thus less likely to mutate in the context of an infection. </w:t>
      </w:r>
      <w:r>
        <w:rPr>
          <w:rFonts w:ascii="Arial" w:cs="Arial" w:eastAsia="Arial" w:hAnsi="Arial"/>
          <w:sz w:val="16"/>
          <w:szCs w:val="16"/>
          <w:i w:val="1"/>
          <w:iCs w:val="1"/>
          <w:color w:val="32406B"/>
        </w:rPr>
        <w:t>In vitro</w:t>
      </w:r>
      <w:r>
        <w:rPr>
          <w:rFonts w:ascii="Arial" w:cs="Arial" w:eastAsia="Arial" w:hAnsi="Arial"/>
          <w:sz w:val="16"/>
          <w:szCs w:val="16"/>
          <w:color w:val="32406B"/>
        </w:rPr>
        <w:t>, serial viral passaging of virus in the presence of ADG20 leads to the emergence of mutations at position G504. As of June 15, 2021, mutations at this position were present at extremely low frequency (0.004%) among circulating SARS-CoV-2 isolates. In contrast, Class 1-3 antibodies that lack neutralization breadth typically select for multiple mutations in serial viral passage experiments, many of which are present at high frequency among circulating SARS-CoV-2 isolates, such as E484K and K417N. In addition, the binding site engaged by ADG20 is not readily targeted by public antibodies, which significantly limits immune pressure at these residues. A comparison of ADG20’s binding to the RBD of the SARS-CoV-2 S protein with that of Class 1-3 antibodies is illustrated in the molecular model presented below.</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ADG20 Targets a Unique Site on the RBD of the SARS-CoV-2 S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41573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32020"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 xml:space="preserve">In addition to neutralizing activity, ADG20 displays Fc-mediated innate immune effector activity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including antibody-dependent cellular cytotoxicity, or ADCC, antibody-dependent cellular phagocytosis, or ADCP, and antibody-dependent complement deposition, or ADCD. We believe this mechanism of action may help to clear infected host cells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and contribute to the control of SARS-CoV-2 infection.</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127</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Preclinical Data</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 xml:space="preserve">ADG20 has been evaluated in a series of </w:t>
      </w:r>
      <w:r>
        <w:rPr>
          <w:rFonts w:ascii="Arial" w:cs="Arial" w:eastAsia="Arial" w:hAnsi="Arial"/>
          <w:sz w:val="18"/>
          <w:szCs w:val="18"/>
          <w:i w:val="1"/>
          <w:iCs w:val="1"/>
          <w:color w:val="32406B"/>
        </w:rPr>
        <w:t>in vitro</w:t>
      </w:r>
      <w:r>
        <w:rPr>
          <w:rFonts w:ascii="Arial" w:cs="Arial" w:eastAsia="Arial" w:hAnsi="Arial"/>
          <w:sz w:val="18"/>
          <w:szCs w:val="18"/>
          <w:color w:val="32406B"/>
        </w:rPr>
        <w:t xml:space="preserve"> and </w:t>
      </w:r>
      <w:r>
        <w:rPr>
          <w:rFonts w:ascii="Arial" w:cs="Arial" w:eastAsia="Arial" w:hAnsi="Arial"/>
          <w:sz w:val="18"/>
          <w:szCs w:val="18"/>
          <w:i w:val="1"/>
          <w:iCs w:val="1"/>
          <w:color w:val="32406B"/>
        </w:rPr>
        <w:t>in vivo</w:t>
      </w:r>
      <w:r>
        <w:rPr>
          <w:rFonts w:ascii="Arial" w:cs="Arial" w:eastAsia="Arial" w:hAnsi="Arial"/>
          <w:sz w:val="18"/>
          <w:szCs w:val="18"/>
          <w:color w:val="32406B"/>
        </w:rPr>
        <w:t xml:space="preserve"> studies to demonstrate its potency and breadth as well as safety and efficacy in various animal models. </w:t>
      </w:r>
      <w:r>
        <w:rPr>
          <w:rFonts w:ascii="Arial" w:cs="Arial" w:eastAsia="Arial" w:hAnsi="Arial"/>
          <w:sz w:val="18"/>
          <w:szCs w:val="18"/>
          <w:i w:val="1"/>
          <w:iCs w:val="1"/>
          <w:color w:val="32406B"/>
        </w:rPr>
        <w:t>In vitro</w:t>
      </w:r>
      <w:r>
        <w:rPr>
          <w:rFonts w:ascii="Arial" w:cs="Arial" w:eastAsia="Arial" w:hAnsi="Arial"/>
          <w:sz w:val="18"/>
          <w:szCs w:val="18"/>
          <w:color w:val="32406B"/>
        </w:rPr>
        <w:t xml:space="preserve"> binding studies have demonstrated that ADG20 binds with high affinity to a diverse set of RBD subdomain 1, or RBD SD1, molecules from naturally circulating SARS-CoV-2 variants and related sarbecoviruses. Additional binding studies have indicated that the Fc modifications of ADG20 confer enhanced affinity to non-human primate and human neonatal Fc receptors, or FcRn, at low pH, which has translated into a prolonged serum half-life in non-human primates due to enhanced recycling via FcRn. In </w:t>
      </w:r>
      <w:r>
        <w:rPr>
          <w:rFonts w:ascii="Arial" w:cs="Arial" w:eastAsia="Arial" w:hAnsi="Arial"/>
          <w:sz w:val="18"/>
          <w:szCs w:val="18"/>
          <w:i w:val="1"/>
          <w:iCs w:val="1"/>
          <w:color w:val="32406B"/>
        </w:rPr>
        <w:t>in vitro</w:t>
      </w:r>
      <w:r>
        <w:rPr>
          <w:rFonts w:ascii="Arial" w:cs="Arial" w:eastAsia="Arial" w:hAnsi="Arial"/>
          <w:sz w:val="18"/>
          <w:szCs w:val="18"/>
          <w:color w:val="32406B"/>
        </w:rPr>
        <w:t xml:space="preserve"> studies, ADG20 has demonstrated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8"/>
          <w:szCs w:val="18"/>
          <w:i w:val="1"/>
          <w:iCs w:val="1"/>
          <w:color w:val="32406B"/>
        </w:rPr>
        <w:t>in vivo</w:t>
      </w:r>
      <w:r>
        <w:rPr>
          <w:rFonts w:ascii="Arial" w:cs="Arial" w:eastAsia="Arial" w:hAnsi="Arial"/>
          <w:sz w:val="18"/>
          <w:szCs w:val="18"/>
          <w:color w:val="32406B"/>
        </w:rPr>
        <w:t xml:space="preserve"> models, ADG20 demonstrated an ability to prevent and treat SARS-CoV-2 infection and associated disease as well as a prolonged serum half-life. Prophylactic administration of ADG2 or ADG20 provided protection against SARS-CoV-2 infection in three different animal models, and treatment with ADG2 reduced disease burden in animals infected with SARS-CoV-2.</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In Vitro Studies Demonstrated Potency and Broad Neutralization of SARS-CoV-2 and All Known Variants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 xml:space="preserve">In an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analysis conducted by an independent laboratory using authentic SARS-CoV-2 assays, we evaluated the potency and neutralizing activity of ADG20 against the Victoria virus strain, which is similar to the original Wuhan-Hu-1 virus strain, and the Alpha (B.1.1.7), Beta (B.1.351) and Gamma (P.1) and Delta (B.1.617.2) variants. ADG20 demonstrated robust viral neutralization activity against the original Victoria virus as well as all four variants. As shown in the table below, ADG20 displayed IC</w:t>
      </w:r>
      <w:r>
        <w:rPr>
          <w:rFonts w:ascii="Arial" w:cs="Arial" w:eastAsia="Arial" w:hAnsi="Arial"/>
          <w:sz w:val="14"/>
          <w:szCs w:val="14"/>
          <w:color w:val="32406B"/>
        </w:rPr>
        <w:t>50</w:t>
      </w:r>
      <w:r>
        <w:rPr>
          <w:rFonts w:ascii="Arial" w:cs="Arial" w:eastAsia="Arial" w:hAnsi="Arial"/>
          <w:sz w:val="17"/>
          <w:szCs w:val="17"/>
          <w:color w:val="32406B"/>
        </w:rPr>
        <w:t xml:space="preserve"> values of 0.01 mcg/mL or less and 99-100% maximum neutralization plateaus, demonstrating near complete neutralization of the total viral population for all five virus strains. In contrast, a subset of SARS-CoV-2-specific antibodies displayed substantial loss of neutralization activity against a subset of variants, with IC</w:t>
      </w:r>
      <w:r>
        <w:rPr>
          <w:rFonts w:ascii="Arial" w:cs="Arial" w:eastAsia="Arial" w:hAnsi="Arial"/>
          <w:sz w:val="14"/>
          <w:szCs w:val="14"/>
          <w:color w:val="32406B"/>
        </w:rPr>
        <w:t>50</w:t>
      </w:r>
      <w:r>
        <w:rPr>
          <w:rFonts w:ascii="Arial" w:cs="Arial" w:eastAsia="Arial" w:hAnsi="Arial"/>
          <w:sz w:val="17"/>
          <w:szCs w:val="17"/>
          <w:color w:val="32406B"/>
        </w:rPr>
        <w:t xml:space="preserve"> values exceeding 1 mcg/mL. The other antibodies in the table below were selected for inclusion because they represent mAb therapies that are either in late-stage development or have been granted an EUA in the United States and India or are available for use as unauthorized products in certain EU member states for the treatment of mild to moderate COVID-19 in patients at high risk of disease progression.</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ADG20 Displays Neutralizing Activity Against SARS-CoV-2 and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40" w:type="dxa"/>
            <w:vAlign w:val="bottom"/>
            <w:tcBorders>
              <w:bottom w:val="single" w:sz="8" w:color="32406B"/>
            </w:tcBorders>
          </w:tcPr>
          <w:p>
            <w:pPr>
              <w:spacing w:after="0"/>
              <w:rPr>
                <w:sz w:val="14"/>
                <w:szCs w:val="14"/>
                <w:color w:val="auto"/>
              </w:rPr>
            </w:pPr>
          </w:p>
        </w:tc>
        <w:tc>
          <w:tcPr>
            <w:tcW w:w="620" w:type="dxa"/>
            <w:vAlign w:val="bottom"/>
            <w:tcBorders>
              <w:bottom w:val="single" w:sz="8" w:color="32406B"/>
            </w:tcBorders>
          </w:tcPr>
          <w:p>
            <w:pPr>
              <w:spacing w:after="0"/>
              <w:rPr>
                <w:sz w:val="14"/>
                <w:szCs w:val="14"/>
                <w:color w:val="auto"/>
              </w:rPr>
            </w:pPr>
          </w:p>
        </w:tc>
        <w:tc>
          <w:tcPr>
            <w:tcW w:w="1560" w:type="dxa"/>
            <w:vAlign w:val="bottom"/>
            <w:tcBorders>
              <w:bottom w:val="single" w:sz="8" w:color="32406B"/>
            </w:tcBorders>
            <w:gridSpan w:val="2"/>
          </w:tcPr>
          <w:p>
            <w:pPr>
              <w:jc w:val="right"/>
              <w:ind w:right="514"/>
              <w:spacing w:after="0"/>
              <w:rPr>
                <w:sz w:val="20"/>
                <w:szCs w:val="20"/>
                <w:color w:val="auto"/>
              </w:rPr>
            </w:pPr>
            <w:r>
              <w:rPr>
                <w:rFonts w:ascii="Arial" w:cs="Arial" w:eastAsia="Arial" w:hAnsi="Arial"/>
                <w:sz w:val="14"/>
                <w:szCs w:val="14"/>
                <w:b w:val="1"/>
                <w:bCs w:val="1"/>
                <w:color w:val="32406B"/>
                <w:w w:val="99"/>
              </w:rPr>
              <w:t>IC</w:t>
            </w:r>
            <w:r>
              <w:rPr>
                <w:rFonts w:ascii="Arial" w:cs="Arial" w:eastAsia="Arial" w:hAnsi="Arial"/>
                <w:sz w:val="12"/>
                <w:szCs w:val="12"/>
                <w:b w:val="1"/>
                <w:bCs w:val="1"/>
                <w:color w:val="32406B"/>
                <w:w w:val="99"/>
              </w:rPr>
              <w:t>50</w:t>
            </w:r>
            <w:r>
              <w:rPr>
                <w:rFonts w:ascii="Arial" w:cs="Arial" w:eastAsia="Arial" w:hAnsi="Arial"/>
                <w:sz w:val="14"/>
                <w:szCs w:val="14"/>
                <w:b w:val="1"/>
                <w:bCs w:val="1"/>
                <w:color w:val="32406B"/>
                <w:w w:val="99"/>
              </w:rPr>
              <w:t xml:space="preserve"> (mcg/mL)</w:t>
            </w:r>
          </w:p>
        </w:tc>
        <w:tc>
          <w:tcPr>
            <w:tcW w:w="820" w:type="dxa"/>
            <w:vAlign w:val="bottom"/>
            <w:tcBorders>
              <w:bottom w:val="single" w:sz="8" w:color="32406B"/>
            </w:tcBorders>
          </w:tcPr>
          <w:p>
            <w:pPr>
              <w:spacing w:after="0"/>
              <w:rPr>
                <w:sz w:val="14"/>
                <w:szCs w:val="14"/>
                <w:color w:val="auto"/>
              </w:rPr>
            </w:pPr>
          </w:p>
        </w:tc>
        <w:tc>
          <w:tcPr>
            <w:tcW w:w="760" w:type="dxa"/>
            <w:vAlign w:val="bottom"/>
            <w:tcBorders>
              <w:bottom w:val="single" w:sz="8" w:color="32406B"/>
            </w:tcBorders>
          </w:tcPr>
          <w:p>
            <w:pPr>
              <w:spacing w:after="0"/>
              <w:rPr>
                <w:sz w:val="14"/>
                <w:szCs w:val="14"/>
                <w:color w:val="auto"/>
              </w:rPr>
            </w:pPr>
          </w:p>
        </w:tc>
        <w:tc>
          <w:tcPr>
            <w:tcW w:w="2160" w:type="dxa"/>
            <w:vAlign w:val="bottom"/>
            <w:tcBorders>
              <w:bottom w:val="single" w:sz="8" w:color="32406B"/>
            </w:tcBorders>
            <w:gridSpan w:val="3"/>
          </w:tcPr>
          <w:p>
            <w:pPr>
              <w:jc w:val="right"/>
              <w:ind w:right="134"/>
              <w:spacing w:after="0"/>
              <w:rPr>
                <w:sz w:val="20"/>
                <w:szCs w:val="20"/>
                <w:color w:val="auto"/>
              </w:rPr>
            </w:pPr>
            <w:r>
              <w:rPr>
                <w:rFonts w:ascii="Arial" w:cs="Arial" w:eastAsia="Arial" w:hAnsi="Arial"/>
                <w:sz w:val="14"/>
                <w:szCs w:val="14"/>
                <w:b w:val="1"/>
                <w:bCs w:val="1"/>
                <w:color w:val="32406B"/>
              </w:rPr>
              <w:t>Neutralization Plateau (%)</w:t>
            </w:r>
          </w:p>
        </w:tc>
        <w:tc>
          <w:tcPr>
            <w:tcW w:w="760" w:type="dxa"/>
            <w:vAlign w:val="bottom"/>
            <w:tcBorders>
              <w:bottom w:val="single" w:sz="8" w:color="32406B"/>
            </w:tcBorders>
          </w:tcPr>
          <w:p>
            <w:pPr>
              <w:spacing w:after="0"/>
              <w:rPr>
                <w:sz w:val="14"/>
                <w:szCs w:val="14"/>
                <w:color w:val="auto"/>
              </w:rPr>
            </w:pPr>
          </w:p>
        </w:tc>
      </w:tr>
      <w:tr>
        <w:trPr>
          <w:trHeight w:val="119"/>
        </w:trPr>
        <w:tc>
          <w:tcPr>
            <w:tcW w:w="3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ind w:left="160"/>
              <w:spacing w:after="0" w:line="119" w:lineRule="exact"/>
              <w:rPr>
                <w:sz w:val="20"/>
                <w:szCs w:val="20"/>
                <w:color w:val="auto"/>
              </w:rPr>
            </w:pPr>
            <w:r>
              <w:rPr>
                <w:rFonts w:ascii="Arial" w:cs="Arial" w:eastAsia="Arial" w:hAnsi="Arial"/>
                <w:sz w:val="13"/>
                <w:szCs w:val="13"/>
                <w:b w:val="1"/>
                <w:bCs w:val="1"/>
                <w:color w:val="32406B"/>
              </w:rPr>
              <w:t>Alpha</w:t>
            </w:r>
          </w:p>
        </w:tc>
        <w:tc>
          <w:tcPr>
            <w:tcW w:w="80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32406B"/>
              </w:rPr>
              <w:t>Beta</w:t>
            </w:r>
          </w:p>
        </w:tc>
        <w:tc>
          <w:tcPr>
            <w:tcW w:w="7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32406B"/>
              </w:rPr>
              <w:t>Gamma</w:t>
            </w:r>
          </w:p>
        </w:tc>
        <w:tc>
          <w:tcPr>
            <w:tcW w:w="82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32406B"/>
              </w:rPr>
              <w:t>Delta</w:t>
            </w:r>
          </w:p>
        </w:tc>
        <w:tc>
          <w:tcPr>
            <w:tcW w:w="760" w:type="dxa"/>
            <w:vAlign w:val="bottom"/>
          </w:tcPr>
          <w:p>
            <w:pPr>
              <w:spacing w:after="0"/>
              <w:rPr>
                <w:sz w:val="10"/>
                <w:szCs w:val="10"/>
                <w:color w:val="auto"/>
              </w:rPr>
            </w:pPr>
          </w:p>
        </w:tc>
        <w:tc>
          <w:tcPr>
            <w:tcW w:w="70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32406B"/>
              </w:rPr>
              <w:t>Alpha</w:t>
            </w:r>
          </w:p>
        </w:tc>
        <w:tc>
          <w:tcPr>
            <w:tcW w:w="70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32406B"/>
              </w:rPr>
              <w:t>Beta</w:t>
            </w:r>
          </w:p>
        </w:tc>
        <w:tc>
          <w:tcPr>
            <w:tcW w:w="7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32406B"/>
              </w:rPr>
              <w:t>Gamma</w:t>
            </w:r>
          </w:p>
        </w:tc>
        <w:tc>
          <w:tcPr>
            <w:tcW w:w="76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32406B"/>
              </w:rPr>
              <w:t>Delta</w:t>
            </w:r>
          </w:p>
        </w:tc>
      </w:tr>
      <w:tr>
        <w:trPr>
          <w:trHeight w:val="185"/>
        </w:trPr>
        <w:tc>
          <w:tcPr>
            <w:tcW w:w="3500" w:type="dxa"/>
            <w:vAlign w:val="bottom"/>
            <w:tcBorders>
              <w:bottom w:val="single" w:sz="8" w:color="32406B"/>
            </w:tcBorders>
          </w:tcPr>
          <w:p>
            <w:pPr>
              <w:spacing w:after="0"/>
              <w:rPr>
                <w:sz w:val="16"/>
                <w:szCs w:val="16"/>
                <w:color w:val="auto"/>
              </w:rPr>
            </w:pPr>
          </w:p>
        </w:tc>
        <w:tc>
          <w:tcPr>
            <w:tcW w:w="840" w:type="dxa"/>
            <w:vAlign w:val="bottom"/>
            <w:tcBorders>
              <w:bottom w:val="single" w:sz="8" w:color="32406B"/>
            </w:tcBorders>
          </w:tcPr>
          <w:p>
            <w:pPr>
              <w:jc w:val="right"/>
              <w:ind w:right="52"/>
              <w:spacing w:after="0"/>
              <w:rPr>
                <w:sz w:val="20"/>
                <w:szCs w:val="20"/>
                <w:color w:val="auto"/>
              </w:rPr>
            </w:pPr>
            <w:r>
              <w:rPr>
                <w:rFonts w:ascii="Arial" w:cs="Arial" w:eastAsia="Arial" w:hAnsi="Arial"/>
                <w:sz w:val="14"/>
                <w:szCs w:val="14"/>
                <w:b w:val="1"/>
                <w:bCs w:val="1"/>
                <w:color w:val="32406B"/>
              </w:rPr>
              <w:t>Victoria</w:t>
            </w:r>
          </w:p>
        </w:tc>
        <w:tc>
          <w:tcPr>
            <w:tcW w:w="620" w:type="dxa"/>
            <w:vAlign w:val="bottom"/>
            <w:tcBorders>
              <w:bottom w:val="single" w:sz="8" w:color="32406B"/>
            </w:tcBorders>
          </w:tcPr>
          <w:p>
            <w:pPr>
              <w:ind w:left="140"/>
              <w:spacing w:after="0"/>
              <w:rPr>
                <w:sz w:val="20"/>
                <w:szCs w:val="20"/>
                <w:color w:val="auto"/>
              </w:rPr>
            </w:pPr>
            <w:r>
              <w:rPr>
                <w:rFonts w:ascii="Arial" w:cs="Arial" w:eastAsia="Arial" w:hAnsi="Arial"/>
                <w:sz w:val="14"/>
                <w:szCs w:val="14"/>
                <w:b w:val="1"/>
                <w:bCs w:val="1"/>
                <w:color w:val="32406B"/>
              </w:rPr>
              <w:t>B.1.1.7</w:t>
            </w:r>
          </w:p>
        </w:tc>
        <w:tc>
          <w:tcPr>
            <w:tcW w:w="800" w:type="dxa"/>
            <w:vAlign w:val="bottom"/>
            <w:tcBorders>
              <w:bottom w:val="single" w:sz="8" w:color="32406B"/>
            </w:tcBorders>
          </w:tcPr>
          <w:p>
            <w:pPr>
              <w:jc w:val="right"/>
              <w:ind w:right="35"/>
              <w:spacing w:after="0"/>
              <w:rPr>
                <w:sz w:val="20"/>
                <w:szCs w:val="20"/>
                <w:color w:val="auto"/>
              </w:rPr>
            </w:pPr>
            <w:r>
              <w:rPr>
                <w:rFonts w:ascii="Arial" w:cs="Arial" w:eastAsia="Arial" w:hAnsi="Arial"/>
                <w:sz w:val="14"/>
                <w:szCs w:val="14"/>
                <w:b w:val="1"/>
                <w:bCs w:val="1"/>
                <w:color w:val="32406B"/>
              </w:rPr>
              <w:t>B.1.351</w:t>
            </w:r>
          </w:p>
        </w:tc>
        <w:tc>
          <w:tcPr>
            <w:tcW w:w="760" w:type="dxa"/>
            <w:vAlign w:val="bottom"/>
            <w:tcBorders>
              <w:bottom w:val="single" w:sz="8" w:color="32406B"/>
            </w:tcBorders>
          </w:tcPr>
          <w:p>
            <w:pPr>
              <w:jc w:val="right"/>
              <w:ind w:right="194"/>
              <w:spacing w:after="0"/>
              <w:rPr>
                <w:sz w:val="20"/>
                <w:szCs w:val="20"/>
                <w:color w:val="auto"/>
              </w:rPr>
            </w:pPr>
            <w:r>
              <w:rPr>
                <w:rFonts w:ascii="Arial" w:cs="Arial" w:eastAsia="Arial" w:hAnsi="Arial"/>
                <w:sz w:val="14"/>
                <w:szCs w:val="14"/>
                <w:b w:val="1"/>
                <w:bCs w:val="1"/>
                <w:color w:val="32406B"/>
              </w:rPr>
              <w:t>P.1</w:t>
            </w:r>
          </w:p>
        </w:tc>
        <w:tc>
          <w:tcPr>
            <w:tcW w:w="820" w:type="dxa"/>
            <w:vAlign w:val="bottom"/>
            <w:tcBorders>
              <w:bottom w:val="single" w:sz="8" w:color="32406B"/>
            </w:tcBorders>
          </w:tcPr>
          <w:p>
            <w:pPr>
              <w:jc w:val="right"/>
              <w:ind w:right="34"/>
              <w:spacing w:after="0"/>
              <w:rPr>
                <w:sz w:val="20"/>
                <w:szCs w:val="20"/>
                <w:color w:val="auto"/>
              </w:rPr>
            </w:pPr>
            <w:r>
              <w:rPr>
                <w:rFonts w:ascii="Arial" w:cs="Arial" w:eastAsia="Arial" w:hAnsi="Arial"/>
                <w:sz w:val="14"/>
                <w:szCs w:val="14"/>
                <w:b w:val="1"/>
                <w:bCs w:val="1"/>
                <w:color w:val="32406B"/>
              </w:rPr>
              <w:t>B.1.617.2</w:t>
            </w:r>
          </w:p>
        </w:tc>
        <w:tc>
          <w:tcPr>
            <w:tcW w:w="760" w:type="dxa"/>
            <w:vAlign w:val="bottom"/>
            <w:tcBorders>
              <w:bottom w:val="single" w:sz="8" w:color="32406B"/>
            </w:tcBorders>
          </w:tcPr>
          <w:p>
            <w:pPr>
              <w:jc w:val="right"/>
              <w:ind w:right="32"/>
              <w:spacing w:after="0"/>
              <w:rPr>
                <w:sz w:val="20"/>
                <w:szCs w:val="20"/>
                <w:color w:val="auto"/>
              </w:rPr>
            </w:pPr>
            <w:r>
              <w:rPr>
                <w:rFonts w:ascii="Arial" w:cs="Arial" w:eastAsia="Arial" w:hAnsi="Arial"/>
                <w:sz w:val="14"/>
                <w:szCs w:val="14"/>
                <w:b w:val="1"/>
                <w:bCs w:val="1"/>
                <w:color w:val="32406B"/>
              </w:rPr>
              <w:t>Victoria</w:t>
            </w:r>
          </w:p>
        </w:tc>
        <w:tc>
          <w:tcPr>
            <w:tcW w:w="700" w:type="dxa"/>
            <w:vAlign w:val="bottom"/>
            <w:tcBorders>
              <w:bottom w:val="single" w:sz="8" w:color="32406B"/>
            </w:tcBorders>
          </w:tcPr>
          <w:p>
            <w:pPr>
              <w:jc w:val="right"/>
              <w:ind w:right="55"/>
              <w:spacing w:after="0"/>
              <w:rPr>
                <w:sz w:val="20"/>
                <w:szCs w:val="20"/>
                <w:color w:val="auto"/>
              </w:rPr>
            </w:pPr>
            <w:r>
              <w:rPr>
                <w:rFonts w:ascii="Arial" w:cs="Arial" w:eastAsia="Arial" w:hAnsi="Arial"/>
                <w:sz w:val="14"/>
                <w:szCs w:val="14"/>
                <w:b w:val="1"/>
                <w:bCs w:val="1"/>
                <w:color w:val="32406B"/>
              </w:rPr>
              <w:t>B.1.1.7</w:t>
            </w:r>
          </w:p>
        </w:tc>
        <w:tc>
          <w:tcPr>
            <w:tcW w:w="700" w:type="dxa"/>
            <w:vAlign w:val="bottom"/>
            <w:tcBorders>
              <w:bottom w:val="single" w:sz="8" w:color="32406B"/>
            </w:tcBorders>
          </w:tcPr>
          <w:p>
            <w:pPr>
              <w:jc w:val="right"/>
              <w:ind w:right="34"/>
              <w:spacing w:after="0"/>
              <w:rPr>
                <w:sz w:val="20"/>
                <w:szCs w:val="20"/>
                <w:color w:val="auto"/>
              </w:rPr>
            </w:pPr>
            <w:r>
              <w:rPr>
                <w:rFonts w:ascii="Arial" w:cs="Arial" w:eastAsia="Arial" w:hAnsi="Arial"/>
                <w:sz w:val="14"/>
                <w:szCs w:val="14"/>
                <w:b w:val="1"/>
                <w:bCs w:val="1"/>
                <w:color w:val="32406B"/>
              </w:rPr>
              <w:t>B.1.351</w:t>
            </w:r>
          </w:p>
        </w:tc>
        <w:tc>
          <w:tcPr>
            <w:tcW w:w="760" w:type="dxa"/>
            <w:vAlign w:val="bottom"/>
            <w:tcBorders>
              <w:bottom w:val="single" w:sz="8" w:color="32406B"/>
            </w:tcBorders>
          </w:tcPr>
          <w:p>
            <w:pPr>
              <w:jc w:val="right"/>
              <w:ind w:right="194"/>
              <w:spacing w:after="0"/>
              <w:rPr>
                <w:sz w:val="20"/>
                <w:szCs w:val="20"/>
                <w:color w:val="auto"/>
              </w:rPr>
            </w:pPr>
            <w:r>
              <w:rPr>
                <w:rFonts w:ascii="Arial" w:cs="Arial" w:eastAsia="Arial" w:hAnsi="Arial"/>
                <w:sz w:val="14"/>
                <w:szCs w:val="14"/>
                <w:b w:val="1"/>
                <w:bCs w:val="1"/>
                <w:color w:val="32406B"/>
              </w:rPr>
              <w:t>P.1</w:t>
            </w:r>
          </w:p>
        </w:tc>
        <w:tc>
          <w:tcPr>
            <w:tcW w:w="760" w:type="dxa"/>
            <w:vAlign w:val="bottom"/>
            <w:tcBorders>
              <w:bottom w:val="single" w:sz="8" w:color="32406B"/>
            </w:tcBorders>
          </w:tcPr>
          <w:p>
            <w:pPr>
              <w:jc w:val="right"/>
              <w:spacing w:after="0"/>
              <w:rPr>
                <w:sz w:val="20"/>
                <w:szCs w:val="20"/>
                <w:color w:val="auto"/>
              </w:rPr>
            </w:pPr>
            <w:r>
              <w:rPr>
                <w:rFonts w:ascii="Arial" w:cs="Arial" w:eastAsia="Arial" w:hAnsi="Arial"/>
                <w:sz w:val="14"/>
                <w:szCs w:val="14"/>
                <w:b w:val="1"/>
                <w:bCs w:val="1"/>
                <w:color w:val="32406B"/>
              </w:rPr>
              <w:t>B.1.617.2</w:t>
            </w:r>
          </w:p>
        </w:tc>
      </w:tr>
      <w:tr>
        <w:trPr>
          <w:trHeight w:val="210"/>
        </w:trPr>
        <w:tc>
          <w:tcPr>
            <w:tcW w:w="3500" w:type="dxa"/>
            <w:vAlign w:val="bottom"/>
            <w:tcBorders>
              <w:bottom w:val="single" w:sz="8" w:color="32406B"/>
            </w:tcBorders>
            <w:shd w:val="clear" w:color="auto" w:fill="CCEEFF"/>
          </w:tcPr>
          <w:p>
            <w:pPr>
              <w:spacing w:after="0"/>
              <w:rPr>
                <w:sz w:val="20"/>
                <w:szCs w:val="20"/>
                <w:color w:val="auto"/>
              </w:rPr>
            </w:pPr>
            <w:r>
              <w:rPr>
                <w:rFonts w:ascii="Arial" w:cs="Arial" w:eastAsia="Arial" w:hAnsi="Arial"/>
                <w:sz w:val="18"/>
                <w:szCs w:val="18"/>
                <w:b w:val="1"/>
                <w:bCs w:val="1"/>
                <w:color w:val="32406B"/>
              </w:rPr>
              <w:t>ADG20</w:t>
            </w:r>
          </w:p>
        </w:tc>
        <w:tc>
          <w:tcPr>
            <w:tcW w:w="840" w:type="dxa"/>
            <w:vAlign w:val="bottom"/>
            <w:tcBorders>
              <w:bottom w:val="single" w:sz="8" w:color="32406B"/>
            </w:tcBorders>
            <w:shd w:val="clear" w:color="auto" w:fill="CCEEFF"/>
          </w:tcPr>
          <w:p>
            <w:pPr>
              <w:jc w:val="right"/>
              <w:ind w:right="52"/>
              <w:spacing w:after="0"/>
              <w:rPr>
                <w:sz w:val="20"/>
                <w:szCs w:val="20"/>
                <w:color w:val="auto"/>
              </w:rPr>
            </w:pPr>
            <w:r>
              <w:rPr>
                <w:rFonts w:ascii="Arial" w:cs="Arial" w:eastAsia="Arial" w:hAnsi="Arial"/>
                <w:sz w:val="18"/>
                <w:szCs w:val="18"/>
                <w:color w:val="32406B"/>
              </w:rPr>
              <w:t>0.004</w:t>
            </w:r>
          </w:p>
        </w:tc>
        <w:tc>
          <w:tcPr>
            <w:tcW w:w="620" w:type="dxa"/>
            <w:vAlign w:val="bottom"/>
            <w:tcBorders>
              <w:bottom w:val="single" w:sz="8" w:color="32406B"/>
            </w:tcBorders>
            <w:shd w:val="clear" w:color="auto" w:fill="CCEEFF"/>
          </w:tcPr>
          <w:p>
            <w:pPr>
              <w:ind w:left="180"/>
              <w:spacing w:after="0"/>
              <w:rPr>
                <w:sz w:val="20"/>
                <w:szCs w:val="20"/>
                <w:color w:val="auto"/>
              </w:rPr>
            </w:pPr>
            <w:r>
              <w:rPr>
                <w:rFonts w:ascii="Arial" w:cs="Arial" w:eastAsia="Arial" w:hAnsi="Arial"/>
                <w:sz w:val="18"/>
                <w:szCs w:val="18"/>
                <w:color w:val="32406B"/>
                <w:w w:val="93"/>
              </w:rPr>
              <w:t>0.006</w:t>
            </w:r>
          </w:p>
        </w:tc>
        <w:tc>
          <w:tcPr>
            <w:tcW w:w="800" w:type="dxa"/>
            <w:vAlign w:val="bottom"/>
            <w:tcBorders>
              <w:bottom w:val="single" w:sz="8" w:color="32406B"/>
            </w:tcBorders>
            <w:shd w:val="clear" w:color="auto" w:fill="CCEEFF"/>
          </w:tcPr>
          <w:p>
            <w:pPr>
              <w:jc w:val="right"/>
              <w:ind w:right="35"/>
              <w:spacing w:after="0"/>
              <w:rPr>
                <w:sz w:val="20"/>
                <w:szCs w:val="20"/>
                <w:color w:val="auto"/>
              </w:rPr>
            </w:pPr>
            <w:r>
              <w:rPr>
                <w:rFonts w:ascii="Arial" w:cs="Arial" w:eastAsia="Arial" w:hAnsi="Arial"/>
                <w:sz w:val="18"/>
                <w:szCs w:val="18"/>
                <w:color w:val="32406B"/>
              </w:rPr>
              <w:t>0.010</w:t>
            </w:r>
          </w:p>
        </w:tc>
        <w:tc>
          <w:tcPr>
            <w:tcW w:w="76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0.009</w:t>
            </w:r>
          </w:p>
        </w:tc>
        <w:tc>
          <w:tcPr>
            <w:tcW w:w="82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0.006</w:t>
            </w:r>
          </w:p>
        </w:tc>
        <w:tc>
          <w:tcPr>
            <w:tcW w:w="760" w:type="dxa"/>
            <w:vAlign w:val="bottom"/>
            <w:tcBorders>
              <w:bottom w:val="single" w:sz="8" w:color="32406B"/>
            </w:tcBorders>
            <w:shd w:val="clear" w:color="auto" w:fill="CCEEFF"/>
          </w:tcPr>
          <w:p>
            <w:pPr>
              <w:jc w:val="right"/>
              <w:ind w:right="32"/>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shd w:val="clear" w:color="auto" w:fill="CCEEFF"/>
          </w:tcPr>
          <w:p>
            <w:pPr>
              <w:jc w:val="right"/>
              <w:ind w:right="55"/>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100</w:t>
            </w:r>
          </w:p>
        </w:tc>
        <w:tc>
          <w:tcPr>
            <w:tcW w:w="76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99</w:t>
            </w:r>
          </w:p>
        </w:tc>
        <w:tc>
          <w:tcPr>
            <w:tcW w:w="760" w:type="dxa"/>
            <w:vAlign w:val="bottom"/>
            <w:tcBorders>
              <w:bottom w:val="single" w:sz="8" w:color="32406B"/>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r>
      <w:tr>
        <w:trPr>
          <w:trHeight w:val="210"/>
        </w:trPr>
        <w:tc>
          <w:tcPr>
            <w:tcW w:w="3500" w:type="dxa"/>
            <w:vAlign w:val="bottom"/>
            <w:tcBorders>
              <w:bottom w:val="single" w:sz="8" w:color="32406B"/>
            </w:tcBorders>
          </w:tcPr>
          <w:p>
            <w:pPr>
              <w:spacing w:after="0"/>
              <w:rPr>
                <w:sz w:val="20"/>
                <w:szCs w:val="20"/>
                <w:color w:val="auto"/>
              </w:rPr>
            </w:pPr>
            <w:r>
              <w:rPr>
                <w:rFonts w:ascii="Arial" w:cs="Arial" w:eastAsia="Arial" w:hAnsi="Arial"/>
                <w:sz w:val="18"/>
                <w:szCs w:val="18"/>
                <w:b w:val="1"/>
                <w:bCs w:val="1"/>
                <w:color w:val="32406B"/>
              </w:rPr>
              <w:t>AZD1061</w:t>
            </w:r>
          </w:p>
        </w:tc>
        <w:tc>
          <w:tcPr>
            <w:tcW w:w="840" w:type="dxa"/>
            <w:vAlign w:val="bottom"/>
            <w:tcBorders>
              <w:bottom w:val="single" w:sz="8" w:color="32406B"/>
            </w:tcBorders>
          </w:tcPr>
          <w:p>
            <w:pPr>
              <w:jc w:val="right"/>
              <w:ind w:right="52"/>
              <w:spacing w:after="0"/>
              <w:rPr>
                <w:sz w:val="20"/>
                <w:szCs w:val="20"/>
                <w:color w:val="auto"/>
              </w:rPr>
            </w:pPr>
            <w:r>
              <w:rPr>
                <w:rFonts w:ascii="Arial" w:cs="Arial" w:eastAsia="Arial" w:hAnsi="Arial"/>
                <w:sz w:val="18"/>
                <w:szCs w:val="18"/>
                <w:color w:val="32406B"/>
              </w:rPr>
              <w:t>0.013</w:t>
            </w:r>
          </w:p>
        </w:tc>
        <w:tc>
          <w:tcPr>
            <w:tcW w:w="620" w:type="dxa"/>
            <w:vAlign w:val="bottom"/>
            <w:tcBorders>
              <w:bottom w:val="single" w:sz="8" w:color="32406B"/>
            </w:tcBorders>
          </w:tcPr>
          <w:p>
            <w:pPr>
              <w:ind w:left="180"/>
              <w:spacing w:after="0"/>
              <w:rPr>
                <w:sz w:val="20"/>
                <w:szCs w:val="20"/>
                <w:color w:val="auto"/>
              </w:rPr>
            </w:pPr>
            <w:r>
              <w:rPr>
                <w:rFonts w:ascii="Arial" w:cs="Arial" w:eastAsia="Arial" w:hAnsi="Arial"/>
                <w:sz w:val="18"/>
                <w:szCs w:val="18"/>
                <w:color w:val="32406B"/>
                <w:w w:val="93"/>
              </w:rPr>
              <w:t>0.012</w:t>
            </w:r>
          </w:p>
        </w:tc>
        <w:tc>
          <w:tcPr>
            <w:tcW w:w="800" w:type="dxa"/>
            <w:vAlign w:val="bottom"/>
            <w:tcBorders>
              <w:bottom w:val="single" w:sz="8" w:color="32406B"/>
            </w:tcBorders>
          </w:tcPr>
          <w:p>
            <w:pPr>
              <w:jc w:val="right"/>
              <w:ind w:right="35"/>
              <w:spacing w:after="0"/>
              <w:rPr>
                <w:sz w:val="20"/>
                <w:szCs w:val="20"/>
                <w:color w:val="auto"/>
              </w:rPr>
            </w:pPr>
            <w:r>
              <w:rPr>
                <w:rFonts w:ascii="Arial" w:cs="Arial" w:eastAsia="Arial" w:hAnsi="Arial"/>
                <w:sz w:val="18"/>
                <w:szCs w:val="18"/>
                <w:color w:val="32406B"/>
              </w:rPr>
              <w:t>0.014</w:t>
            </w:r>
          </w:p>
        </w:tc>
        <w:tc>
          <w:tcPr>
            <w:tcW w:w="76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0.007</w:t>
            </w:r>
          </w:p>
        </w:tc>
        <w:tc>
          <w:tcPr>
            <w:tcW w:w="82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0.038</w:t>
            </w:r>
          </w:p>
        </w:tc>
        <w:tc>
          <w:tcPr>
            <w:tcW w:w="760" w:type="dxa"/>
            <w:vAlign w:val="bottom"/>
            <w:tcBorders>
              <w:bottom w:val="single" w:sz="8" w:color="32406B"/>
            </w:tcBorders>
          </w:tcPr>
          <w:p>
            <w:pPr>
              <w:jc w:val="right"/>
              <w:ind w:right="32"/>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tcPr>
          <w:p>
            <w:pPr>
              <w:jc w:val="right"/>
              <w:ind w:right="55"/>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100</w:t>
            </w:r>
          </w:p>
        </w:tc>
        <w:tc>
          <w:tcPr>
            <w:tcW w:w="76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100</w:t>
            </w:r>
          </w:p>
        </w:tc>
        <w:tc>
          <w:tcPr>
            <w:tcW w:w="760" w:type="dxa"/>
            <w:vAlign w:val="bottom"/>
            <w:tcBorders>
              <w:bottom w:val="single" w:sz="8" w:color="32406B"/>
            </w:tcBorders>
          </w:tcPr>
          <w:p>
            <w:pPr>
              <w:jc w:val="right"/>
              <w:spacing w:after="0"/>
              <w:rPr>
                <w:sz w:val="20"/>
                <w:szCs w:val="20"/>
                <w:color w:val="auto"/>
              </w:rPr>
            </w:pPr>
            <w:r>
              <w:rPr>
                <w:rFonts w:ascii="Arial" w:cs="Arial" w:eastAsia="Arial" w:hAnsi="Arial"/>
                <w:sz w:val="18"/>
                <w:szCs w:val="18"/>
                <w:color w:val="32406B"/>
              </w:rPr>
              <w:t>94</w:t>
            </w:r>
          </w:p>
        </w:tc>
      </w:tr>
      <w:tr>
        <w:trPr>
          <w:trHeight w:val="209"/>
        </w:trPr>
        <w:tc>
          <w:tcPr>
            <w:tcW w:w="3500" w:type="dxa"/>
            <w:vAlign w:val="bottom"/>
            <w:tcBorders>
              <w:bottom w:val="single" w:sz="8" w:color="32406B"/>
            </w:tcBorders>
            <w:shd w:val="clear" w:color="auto" w:fill="CCEEFF"/>
          </w:tcPr>
          <w:p>
            <w:pPr>
              <w:spacing w:after="0"/>
              <w:rPr>
                <w:sz w:val="20"/>
                <w:szCs w:val="20"/>
                <w:color w:val="auto"/>
              </w:rPr>
            </w:pPr>
            <w:r>
              <w:rPr>
                <w:rFonts w:ascii="Arial" w:cs="Arial" w:eastAsia="Arial" w:hAnsi="Arial"/>
                <w:sz w:val="18"/>
                <w:szCs w:val="18"/>
                <w:b w:val="1"/>
                <w:bCs w:val="1"/>
                <w:color w:val="32406B"/>
              </w:rPr>
              <w:t>AZD8895</w:t>
            </w:r>
          </w:p>
        </w:tc>
        <w:tc>
          <w:tcPr>
            <w:tcW w:w="840" w:type="dxa"/>
            <w:vAlign w:val="bottom"/>
            <w:tcBorders>
              <w:bottom w:val="single" w:sz="8" w:color="32406B"/>
            </w:tcBorders>
            <w:shd w:val="clear" w:color="auto" w:fill="CCEEFF"/>
          </w:tcPr>
          <w:p>
            <w:pPr>
              <w:jc w:val="right"/>
              <w:ind w:right="52"/>
              <w:spacing w:after="0"/>
              <w:rPr>
                <w:sz w:val="20"/>
                <w:szCs w:val="20"/>
                <w:color w:val="auto"/>
              </w:rPr>
            </w:pPr>
            <w:r>
              <w:rPr>
                <w:rFonts w:ascii="Arial" w:cs="Arial" w:eastAsia="Arial" w:hAnsi="Arial"/>
                <w:sz w:val="18"/>
                <w:szCs w:val="18"/>
                <w:color w:val="32406B"/>
              </w:rPr>
              <w:t>0.005</w:t>
            </w:r>
          </w:p>
        </w:tc>
        <w:tc>
          <w:tcPr>
            <w:tcW w:w="620" w:type="dxa"/>
            <w:vAlign w:val="bottom"/>
            <w:tcBorders>
              <w:bottom w:val="single" w:sz="8" w:color="32406B"/>
            </w:tcBorders>
            <w:shd w:val="clear" w:color="auto" w:fill="CCEEFF"/>
          </w:tcPr>
          <w:p>
            <w:pPr>
              <w:ind w:left="180"/>
              <w:spacing w:after="0"/>
              <w:rPr>
                <w:sz w:val="20"/>
                <w:szCs w:val="20"/>
                <w:color w:val="auto"/>
              </w:rPr>
            </w:pPr>
            <w:r>
              <w:rPr>
                <w:rFonts w:ascii="Arial" w:cs="Arial" w:eastAsia="Arial" w:hAnsi="Arial"/>
                <w:sz w:val="18"/>
                <w:szCs w:val="18"/>
                <w:color w:val="32406B"/>
                <w:w w:val="93"/>
              </w:rPr>
              <w:t>0.011</w:t>
            </w:r>
          </w:p>
        </w:tc>
        <w:tc>
          <w:tcPr>
            <w:tcW w:w="800" w:type="dxa"/>
            <w:vAlign w:val="bottom"/>
            <w:tcBorders>
              <w:bottom w:val="single" w:sz="8" w:color="32406B"/>
            </w:tcBorders>
            <w:shd w:val="clear" w:color="auto" w:fill="CCEEFF"/>
          </w:tcPr>
          <w:p>
            <w:pPr>
              <w:jc w:val="right"/>
              <w:ind w:right="35"/>
              <w:spacing w:after="0"/>
              <w:rPr>
                <w:sz w:val="20"/>
                <w:szCs w:val="20"/>
                <w:color w:val="auto"/>
              </w:rPr>
            </w:pPr>
            <w:r>
              <w:rPr>
                <w:rFonts w:ascii="Arial" w:cs="Arial" w:eastAsia="Arial" w:hAnsi="Arial"/>
                <w:sz w:val="18"/>
                <w:szCs w:val="18"/>
                <w:color w:val="32406B"/>
              </w:rPr>
              <w:t>0.046</w:t>
            </w:r>
          </w:p>
        </w:tc>
        <w:tc>
          <w:tcPr>
            <w:tcW w:w="76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0.046</w:t>
            </w:r>
          </w:p>
        </w:tc>
        <w:tc>
          <w:tcPr>
            <w:tcW w:w="82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0.003</w:t>
            </w:r>
          </w:p>
        </w:tc>
        <w:tc>
          <w:tcPr>
            <w:tcW w:w="760" w:type="dxa"/>
            <w:vAlign w:val="bottom"/>
            <w:tcBorders>
              <w:bottom w:val="single" w:sz="8" w:color="32406B"/>
            </w:tcBorders>
            <w:shd w:val="clear" w:color="auto" w:fill="CCEEFF"/>
          </w:tcPr>
          <w:p>
            <w:pPr>
              <w:jc w:val="right"/>
              <w:ind w:right="32"/>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shd w:val="clear" w:color="auto" w:fill="CCEEFF"/>
          </w:tcPr>
          <w:p>
            <w:pPr>
              <w:jc w:val="right"/>
              <w:ind w:right="55"/>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100</w:t>
            </w:r>
          </w:p>
        </w:tc>
        <w:tc>
          <w:tcPr>
            <w:tcW w:w="76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90</w:t>
            </w:r>
          </w:p>
        </w:tc>
        <w:tc>
          <w:tcPr>
            <w:tcW w:w="760" w:type="dxa"/>
            <w:vAlign w:val="bottom"/>
            <w:tcBorders>
              <w:bottom w:val="single" w:sz="8" w:color="32406B"/>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r>
      <w:tr>
        <w:trPr>
          <w:trHeight w:val="210"/>
        </w:trPr>
        <w:tc>
          <w:tcPr>
            <w:tcW w:w="3500" w:type="dxa"/>
            <w:vAlign w:val="bottom"/>
            <w:tcBorders>
              <w:bottom w:val="single" w:sz="8" w:color="32406B"/>
            </w:tcBorders>
          </w:tcPr>
          <w:p>
            <w:pPr>
              <w:spacing w:after="0"/>
              <w:rPr>
                <w:sz w:val="20"/>
                <w:szCs w:val="20"/>
                <w:color w:val="auto"/>
              </w:rPr>
            </w:pPr>
            <w:r>
              <w:rPr>
                <w:rFonts w:ascii="Arial" w:cs="Arial" w:eastAsia="Arial" w:hAnsi="Arial"/>
                <w:sz w:val="18"/>
                <w:szCs w:val="18"/>
                <w:b w:val="1"/>
                <w:bCs w:val="1"/>
                <w:color w:val="32406B"/>
              </w:rPr>
              <w:t>REGN10987</w:t>
            </w:r>
          </w:p>
        </w:tc>
        <w:tc>
          <w:tcPr>
            <w:tcW w:w="840" w:type="dxa"/>
            <w:vAlign w:val="bottom"/>
            <w:tcBorders>
              <w:bottom w:val="single" w:sz="8" w:color="32406B"/>
            </w:tcBorders>
          </w:tcPr>
          <w:p>
            <w:pPr>
              <w:jc w:val="right"/>
              <w:ind w:right="52"/>
              <w:spacing w:after="0"/>
              <w:rPr>
                <w:sz w:val="20"/>
                <w:szCs w:val="20"/>
                <w:color w:val="auto"/>
              </w:rPr>
            </w:pPr>
            <w:r>
              <w:rPr>
                <w:rFonts w:ascii="Arial" w:cs="Arial" w:eastAsia="Arial" w:hAnsi="Arial"/>
                <w:sz w:val="18"/>
                <w:szCs w:val="18"/>
                <w:color w:val="32406B"/>
              </w:rPr>
              <w:t>0.032</w:t>
            </w:r>
          </w:p>
        </w:tc>
        <w:tc>
          <w:tcPr>
            <w:tcW w:w="620" w:type="dxa"/>
            <w:vAlign w:val="bottom"/>
            <w:tcBorders>
              <w:bottom w:val="single" w:sz="8" w:color="32406B"/>
            </w:tcBorders>
          </w:tcPr>
          <w:p>
            <w:pPr>
              <w:ind w:left="180"/>
              <w:spacing w:after="0"/>
              <w:rPr>
                <w:sz w:val="20"/>
                <w:szCs w:val="20"/>
                <w:color w:val="auto"/>
              </w:rPr>
            </w:pPr>
            <w:r>
              <w:rPr>
                <w:rFonts w:ascii="Arial" w:cs="Arial" w:eastAsia="Arial" w:hAnsi="Arial"/>
                <w:sz w:val="18"/>
                <w:szCs w:val="18"/>
                <w:color w:val="32406B"/>
                <w:w w:val="93"/>
              </w:rPr>
              <w:t>0.028</w:t>
            </w:r>
          </w:p>
        </w:tc>
        <w:tc>
          <w:tcPr>
            <w:tcW w:w="800" w:type="dxa"/>
            <w:vAlign w:val="bottom"/>
            <w:tcBorders>
              <w:bottom w:val="single" w:sz="8" w:color="32406B"/>
            </w:tcBorders>
          </w:tcPr>
          <w:p>
            <w:pPr>
              <w:jc w:val="right"/>
              <w:ind w:right="35"/>
              <w:spacing w:after="0"/>
              <w:rPr>
                <w:sz w:val="20"/>
                <w:szCs w:val="20"/>
                <w:color w:val="auto"/>
              </w:rPr>
            </w:pPr>
            <w:r>
              <w:rPr>
                <w:rFonts w:ascii="Arial" w:cs="Arial" w:eastAsia="Arial" w:hAnsi="Arial"/>
                <w:sz w:val="18"/>
                <w:szCs w:val="18"/>
                <w:color w:val="32406B"/>
              </w:rPr>
              <w:t>0.007</w:t>
            </w:r>
          </w:p>
        </w:tc>
        <w:tc>
          <w:tcPr>
            <w:tcW w:w="76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0.013</w:t>
            </w:r>
          </w:p>
        </w:tc>
        <w:tc>
          <w:tcPr>
            <w:tcW w:w="82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0.017</w:t>
            </w:r>
          </w:p>
        </w:tc>
        <w:tc>
          <w:tcPr>
            <w:tcW w:w="760" w:type="dxa"/>
            <w:vAlign w:val="bottom"/>
            <w:tcBorders>
              <w:bottom w:val="single" w:sz="8" w:color="32406B"/>
            </w:tcBorders>
          </w:tcPr>
          <w:p>
            <w:pPr>
              <w:jc w:val="right"/>
              <w:ind w:right="32"/>
              <w:spacing w:after="0"/>
              <w:rPr>
                <w:sz w:val="20"/>
                <w:szCs w:val="20"/>
                <w:color w:val="auto"/>
              </w:rPr>
            </w:pPr>
            <w:r>
              <w:rPr>
                <w:rFonts w:ascii="Arial" w:cs="Arial" w:eastAsia="Arial" w:hAnsi="Arial"/>
                <w:sz w:val="18"/>
                <w:szCs w:val="18"/>
                <w:color w:val="32406B"/>
              </w:rPr>
              <w:t>97</w:t>
            </w:r>
          </w:p>
        </w:tc>
        <w:tc>
          <w:tcPr>
            <w:tcW w:w="700" w:type="dxa"/>
            <w:vAlign w:val="bottom"/>
            <w:tcBorders>
              <w:bottom w:val="single" w:sz="8" w:color="32406B"/>
            </w:tcBorders>
          </w:tcPr>
          <w:p>
            <w:pPr>
              <w:jc w:val="right"/>
              <w:ind w:right="55"/>
              <w:spacing w:after="0"/>
              <w:rPr>
                <w:sz w:val="20"/>
                <w:szCs w:val="20"/>
                <w:color w:val="auto"/>
              </w:rPr>
            </w:pPr>
            <w:r>
              <w:rPr>
                <w:rFonts w:ascii="Arial" w:cs="Arial" w:eastAsia="Arial" w:hAnsi="Arial"/>
                <w:sz w:val="18"/>
                <w:szCs w:val="18"/>
                <w:color w:val="32406B"/>
              </w:rPr>
              <w:t>95</w:t>
            </w:r>
          </w:p>
        </w:tc>
        <w:tc>
          <w:tcPr>
            <w:tcW w:w="70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97</w:t>
            </w:r>
          </w:p>
        </w:tc>
        <w:tc>
          <w:tcPr>
            <w:tcW w:w="76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93</w:t>
            </w:r>
          </w:p>
        </w:tc>
        <w:tc>
          <w:tcPr>
            <w:tcW w:w="760" w:type="dxa"/>
            <w:vAlign w:val="bottom"/>
            <w:tcBorders>
              <w:bottom w:val="single" w:sz="8" w:color="32406B"/>
            </w:tcBorders>
          </w:tcPr>
          <w:p>
            <w:pPr>
              <w:jc w:val="right"/>
              <w:spacing w:after="0"/>
              <w:rPr>
                <w:sz w:val="20"/>
                <w:szCs w:val="20"/>
                <w:color w:val="auto"/>
              </w:rPr>
            </w:pPr>
            <w:r>
              <w:rPr>
                <w:rFonts w:ascii="Arial" w:cs="Arial" w:eastAsia="Arial" w:hAnsi="Arial"/>
                <w:sz w:val="18"/>
                <w:szCs w:val="18"/>
                <w:color w:val="32406B"/>
              </w:rPr>
              <w:t>97</w:t>
            </w:r>
          </w:p>
        </w:tc>
      </w:tr>
      <w:tr>
        <w:trPr>
          <w:trHeight w:val="210"/>
        </w:trPr>
        <w:tc>
          <w:tcPr>
            <w:tcW w:w="3500" w:type="dxa"/>
            <w:vAlign w:val="bottom"/>
            <w:tcBorders>
              <w:bottom w:val="single" w:sz="8" w:color="32406B"/>
            </w:tcBorders>
            <w:shd w:val="clear" w:color="auto" w:fill="CCEEFF"/>
          </w:tcPr>
          <w:p>
            <w:pPr>
              <w:spacing w:after="0"/>
              <w:rPr>
                <w:sz w:val="20"/>
                <w:szCs w:val="20"/>
                <w:color w:val="auto"/>
              </w:rPr>
            </w:pPr>
            <w:r>
              <w:rPr>
                <w:rFonts w:ascii="Arial" w:cs="Arial" w:eastAsia="Arial" w:hAnsi="Arial"/>
                <w:sz w:val="18"/>
                <w:szCs w:val="18"/>
                <w:b w:val="1"/>
                <w:bCs w:val="1"/>
                <w:color w:val="32406B"/>
              </w:rPr>
              <w:t>REGN10933</w:t>
            </w:r>
          </w:p>
        </w:tc>
        <w:tc>
          <w:tcPr>
            <w:tcW w:w="840" w:type="dxa"/>
            <w:vAlign w:val="bottom"/>
            <w:tcBorders>
              <w:bottom w:val="single" w:sz="8" w:color="32406B"/>
            </w:tcBorders>
            <w:shd w:val="clear" w:color="auto" w:fill="CCEEFF"/>
          </w:tcPr>
          <w:p>
            <w:pPr>
              <w:jc w:val="right"/>
              <w:ind w:right="52"/>
              <w:spacing w:after="0"/>
              <w:rPr>
                <w:sz w:val="20"/>
                <w:szCs w:val="20"/>
                <w:color w:val="auto"/>
              </w:rPr>
            </w:pPr>
            <w:r>
              <w:rPr>
                <w:rFonts w:ascii="Arial" w:cs="Arial" w:eastAsia="Arial" w:hAnsi="Arial"/>
                <w:sz w:val="18"/>
                <w:szCs w:val="18"/>
                <w:color w:val="32406B"/>
              </w:rPr>
              <w:t>0.004</w:t>
            </w:r>
          </w:p>
        </w:tc>
        <w:tc>
          <w:tcPr>
            <w:tcW w:w="620" w:type="dxa"/>
            <w:vAlign w:val="bottom"/>
            <w:tcBorders>
              <w:bottom w:val="single" w:sz="8" w:color="32406B"/>
            </w:tcBorders>
            <w:shd w:val="clear" w:color="auto" w:fill="CCEEFF"/>
          </w:tcPr>
          <w:p>
            <w:pPr>
              <w:ind w:left="180"/>
              <w:spacing w:after="0"/>
              <w:rPr>
                <w:sz w:val="20"/>
                <w:szCs w:val="20"/>
                <w:color w:val="auto"/>
              </w:rPr>
            </w:pPr>
            <w:r>
              <w:rPr>
                <w:rFonts w:ascii="Arial" w:cs="Arial" w:eastAsia="Arial" w:hAnsi="Arial"/>
                <w:sz w:val="18"/>
                <w:szCs w:val="18"/>
                <w:color w:val="32406B"/>
                <w:w w:val="93"/>
              </w:rPr>
              <w:t>0.014</w:t>
            </w:r>
          </w:p>
        </w:tc>
        <w:tc>
          <w:tcPr>
            <w:tcW w:w="800" w:type="dxa"/>
            <w:vAlign w:val="bottom"/>
            <w:tcBorders>
              <w:bottom w:val="single" w:sz="8" w:color="32406B"/>
            </w:tcBorders>
            <w:shd w:val="clear" w:color="auto" w:fill="CCEEFF"/>
          </w:tcPr>
          <w:p>
            <w:pPr>
              <w:jc w:val="right"/>
              <w:ind w:right="35"/>
              <w:spacing w:after="0"/>
              <w:rPr>
                <w:sz w:val="20"/>
                <w:szCs w:val="20"/>
                <w:color w:val="auto"/>
              </w:rPr>
            </w:pPr>
            <w:r>
              <w:rPr>
                <w:rFonts w:ascii="Arial" w:cs="Arial" w:eastAsia="Arial" w:hAnsi="Arial"/>
                <w:sz w:val="18"/>
                <w:szCs w:val="18"/>
                <w:color w:val="32406B"/>
              </w:rPr>
              <w:t>3.284</w:t>
            </w:r>
          </w:p>
        </w:tc>
        <w:tc>
          <w:tcPr>
            <w:tcW w:w="76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6.177</w:t>
            </w:r>
          </w:p>
        </w:tc>
        <w:tc>
          <w:tcPr>
            <w:tcW w:w="82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0.003</w:t>
            </w:r>
          </w:p>
        </w:tc>
        <w:tc>
          <w:tcPr>
            <w:tcW w:w="760" w:type="dxa"/>
            <w:vAlign w:val="bottom"/>
            <w:tcBorders>
              <w:bottom w:val="single" w:sz="8" w:color="32406B"/>
            </w:tcBorders>
            <w:shd w:val="clear" w:color="auto" w:fill="CCEEFF"/>
          </w:tcPr>
          <w:p>
            <w:pPr>
              <w:jc w:val="right"/>
              <w:ind w:right="32"/>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shd w:val="clear" w:color="auto" w:fill="CCEEFF"/>
          </w:tcPr>
          <w:p>
            <w:pPr>
              <w:jc w:val="right"/>
              <w:ind w:right="55"/>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N/A</w:t>
            </w:r>
          </w:p>
        </w:tc>
        <w:tc>
          <w:tcPr>
            <w:tcW w:w="76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N/A</w:t>
            </w:r>
          </w:p>
        </w:tc>
        <w:tc>
          <w:tcPr>
            <w:tcW w:w="760" w:type="dxa"/>
            <w:vAlign w:val="bottom"/>
            <w:tcBorders>
              <w:bottom w:val="single" w:sz="8" w:color="32406B"/>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r>
      <w:tr>
        <w:trPr>
          <w:trHeight w:val="210"/>
        </w:trPr>
        <w:tc>
          <w:tcPr>
            <w:tcW w:w="3500" w:type="dxa"/>
            <w:vAlign w:val="bottom"/>
            <w:tcBorders>
              <w:bottom w:val="single" w:sz="8" w:color="32406B"/>
            </w:tcBorders>
          </w:tcPr>
          <w:p>
            <w:pPr>
              <w:spacing w:after="0"/>
              <w:rPr>
                <w:sz w:val="20"/>
                <w:szCs w:val="20"/>
                <w:color w:val="auto"/>
              </w:rPr>
            </w:pPr>
            <w:r>
              <w:rPr>
                <w:rFonts w:ascii="Arial" w:cs="Arial" w:eastAsia="Arial" w:hAnsi="Arial"/>
                <w:sz w:val="18"/>
                <w:szCs w:val="18"/>
                <w:b w:val="1"/>
                <w:bCs w:val="1"/>
                <w:color w:val="32406B"/>
              </w:rPr>
              <w:t>LY-CoV555</w:t>
            </w:r>
          </w:p>
        </w:tc>
        <w:tc>
          <w:tcPr>
            <w:tcW w:w="840" w:type="dxa"/>
            <w:vAlign w:val="bottom"/>
            <w:tcBorders>
              <w:bottom w:val="single" w:sz="8" w:color="32406B"/>
            </w:tcBorders>
          </w:tcPr>
          <w:p>
            <w:pPr>
              <w:jc w:val="right"/>
              <w:ind w:right="52"/>
              <w:spacing w:after="0"/>
              <w:rPr>
                <w:sz w:val="20"/>
                <w:szCs w:val="20"/>
                <w:color w:val="auto"/>
              </w:rPr>
            </w:pPr>
            <w:r>
              <w:rPr>
                <w:rFonts w:ascii="Arial" w:cs="Arial" w:eastAsia="Arial" w:hAnsi="Arial"/>
                <w:sz w:val="18"/>
                <w:szCs w:val="18"/>
                <w:color w:val="32406B"/>
              </w:rPr>
              <w:t>0.006</w:t>
            </w:r>
          </w:p>
        </w:tc>
        <w:tc>
          <w:tcPr>
            <w:tcW w:w="620" w:type="dxa"/>
            <w:vAlign w:val="bottom"/>
            <w:tcBorders>
              <w:bottom w:val="single" w:sz="8" w:color="32406B"/>
            </w:tcBorders>
          </w:tcPr>
          <w:p>
            <w:pPr>
              <w:ind w:left="180"/>
              <w:spacing w:after="0"/>
              <w:rPr>
                <w:sz w:val="20"/>
                <w:szCs w:val="20"/>
                <w:color w:val="auto"/>
              </w:rPr>
            </w:pPr>
            <w:r>
              <w:rPr>
                <w:rFonts w:ascii="Arial" w:cs="Arial" w:eastAsia="Arial" w:hAnsi="Arial"/>
                <w:sz w:val="18"/>
                <w:szCs w:val="18"/>
                <w:color w:val="32406B"/>
                <w:w w:val="93"/>
              </w:rPr>
              <w:t>0.009</w:t>
            </w:r>
          </w:p>
        </w:tc>
        <w:tc>
          <w:tcPr>
            <w:tcW w:w="800" w:type="dxa"/>
            <w:vAlign w:val="bottom"/>
            <w:tcBorders>
              <w:bottom w:val="single" w:sz="8" w:color="32406B"/>
            </w:tcBorders>
          </w:tcPr>
          <w:p>
            <w:pPr>
              <w:jc w:val="right"/>
              <w:ind w:right="35"/>
              <w:spacing w:after="0"/>
              <w:rPr>
                <w:sz w:val="20"/>
                <w:szCs w:val="20"/>
                <w:color w:val="auto"/>
              </w:rPr>
            </w:pPr>
            <w:r>
              <w:rPr>
                <w:rFonts w:ascii="Arial" w:cs="Arial" w:eastAsia="Arial" w:hAnsi="Arial"/>
                <w:sz w:val="18"/>
                <w:szCs w:val="18"/>
                <w:color w:val="32406B"/>
              </w:rPr>
              <w:t>&gt;10</w:t>
            </w:r>
          </w:p>
        </w:tc>
        <w:tc>
          <w:tcPr>
            <w:tcW w:w="76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&gt;10</w:t>
            </w:r>
          </w:p>
        </w:tc>
        <w:tc>
          <w:tcPr>
            <w:tcW w:w="82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8.311</w:t>
            </w:r>
          </w:p>
        </w:tc>
        <w:tc>
          <w:tcPr>
            <w:tcW w:w="760" w:type="dxa"/>
            <w:vAlign w:val="bottom"/>
            <w:tcBorders>
              <w:bottom w:val="single" w:sz="8" w:color="32406B"/>
            </w:tcBorders>
          </w:tcPr>
          <w:p>
            <w:pPr>
              <w:jc w:val="right"/>
              <w:ind w:right="32"/>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tcPr>
          <w:p>
            <w:pPr>
              <w:jc w:val="right"/>
              <w:ind w:right="55"/>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N/A</w:t>
            </w:r>
          </w:p>
        </w:tc>
        <w:tc>
          <w:tcPr>
            <w:tcW w:w="76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N/A</w:t>
            </w:r>
          </w:p>
        </w:tc>
        <w:tc>
          <w:tcPr>
            <w:tcW w:w="760" w:type="dxa"/>
            <w:vAlign w:val="bottom"/>
            <w:tcBorders>
              <w:bottom w:val="single" w:sz="8" w:color="32406B"/>
            </w:tcBorders>
          </w:tcPr>
          <w:p>
            <w:pPr>
              <w:jc w:val="right"/>
              <w:spacing w:after="0"/>
              <w:rPr>
                <w:sz w:val="20"/>
                <w:szCs w:val="20"/>
                <w:color w:val="auto"/>
              </w:rPr>
            </w:pPr>
            <w:r>
              <w:rPr>
                <w:rFonts w:ascii="Arial" w:cs="Arial" w:eastAsia="Arial" w:hAnsi="Arial"/>
                <w:sz w:val="18"/>
                <w:szCs w:val="18"/>
                <w:color w:val="32406B"/>
              </w:rPr>
              <w:t>N/A</w:t>
            </w:r>
          </w:p>
        </w:tc>
      </w:tr>
      <w:tr>
        <w:trPr>
          <w:trHeight w:val="209"/>
        </w:trPr>
        <w:tc>
          <w:tcPr>
            <w:tcW w:w="3500" w:type="dxa"/>
            <w:vAlign w:val="bottom"/>
            <w:tcBorders>
              <w:bottom w:val="single" w:sz="8" w:color="32406B"/>
            </w:tcBorders>
            <w:shd w:val="clear" w:color="auto" w:fill="CCEEFF"/>
          </w:tcPr>
          <w:p>
            <w:pPr>
              <w:spacing w:after="0"/>
              <w:rPr>
                <w:sz w:val="20"/>
                <w:szCs w:val="20"/>
                <w:color w:val="auto"/>
              </w:rPr>
            </w:pPr>
            <w:r>
              <w:rPr>
                <w:rFonts w:ascii="Arial" w:cs="Arial" w:eastAsia="Arial" w:hAnsi="Arial"/>
                <w:sz w:val="18"/>
                <w:szCs w:val="18"/>
                <w:b w:val="1"/>
                <w:bCs w:val="1"/>
                <w:color w:val="32406B"/>
              </w:rPr>
              <w:t>LY-CoV016</w:t>
            </w:r>
          </w:p>
        </w:tc>
        <w:tc>
          <w:tcPr>
            <w:tcW w:w="840" w:type="dxa"/>
            <w:vAlign w:val="bottom"/>
            <w:tcBorders>
              <w:bottom w:val="single" w:sz="8" w:color="32406B"/>
            </w:tcBorders>
            <w:shd w:val="clear" w:color="auto" w:fill="CCEEFF"/>
          </w:tcPr>
          <w:p>
            <w:pPr>
              <w:jc w:val="right"/>
              <w:ind w:right="52"/>
              <w:spacing w:after="0"/>
              <w:rPr>
                <w:sz w:val="20"/>
                <w:szCs w:val="20"/>
                <w:color w:val="auto"/>
              </w:rPr>
            </w:pPr>
            <w:r>
              <w:rPr>
                <w:rFonts w:ascii="Arial" w:cs="Arial" w:eastAsia="Arial" w:hAnsi="Arial"/>
                <w:sz w:val="18"/>
                <w:szCs w:val="18"/>
                <w:color w:val="32406B"/>
              </w:rPr>
              <w:t>0.034</w:t>
            </w:r>
          </w:p>
        </w:tc>
        <w:tc>
          <w:tcPr>
            <w:tcW w:w="620" w:type="dxa"/>
            <w:vAlign w:val="bottom"/>
            <w:tcBorders>
              <w:bottom w:val="single" w:sz="8" w:color="32406B"/>
            </w:tcBorders>
            <w:shd w:val="clear" w:color="auto" w:fill="CCEEFF"/>
          </w:tcPr>
          <w:p>
            <w:pPr>
              <w:ind w:left="180"/>
              <w:spacing w:after="0"/>
              <w:rPr>
                <w:sz w:val="20"/>
                <w:szCs w:val="20"/>
                <w:color w:val="auto"/>
              </w:rPr>
            </w:pPr>
            <w:r>
              <w:rPr>
                <w:rFonts w:ascii="Arial" w:cs="Arial" w:eastAsia="Arial" w:hAnsi="Arial"/>
                <w:sz w:val="18"/>
                <w:szCs w:val="18"/>
                <w:color w:val="32406B"/>
                <w:w w:val="93"/>
              </w:rPr>
              <w:t>3.225</w:t>
            </w:r>
          </w:p>
        </w:tc>
        <w:tc>
          <w:tcPr>
            <w:tcW w:w="800" w:type="dxa"/>
            <w:vAlign w:val="bottom"/>
            <w:tcBorders>
              <w:bottom w:val="single" w:sz="8" w:color="32406B"/>
            </w:tcBorders>
            <w:shd w:val="clear" w:color="auto" w:fill="CCEEFF"/>
          </w:tcPr>
          <w:p>
            <w:pPr>
              <w:jc w:val="right"/>
              <w:ind w:right="35"/>
              <w:spacing w:after="0"/>
              <w:rPr>
                <w:sz w:val="20"/>
                <w:szCs w:val="20"/>
                <w:color w:val="auto"/>
              </w:rPr>
            </w:pPr>
            <w:r>
              <w:rPr>
                <w:rFonts w:ascii="Arial" w:cs="Arial" w:eastAsia="Arial" w:hAnsi="Arial"/>
                <w:sz w:val="18"/>
                <w:szCs w:val="18"/>
                <w:color w:val="32406B"/>
              </w:rPr>
              <w:t>&gt;10</w:t>
            </w:r>
          </w:p>
        </w:tc>
        <w:tc>
          <w:tcPr>
            <w:tcW w:w="76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&gt;10</w:t>
            </w:r>
          </w:p>
        </w:tc>
        <w:tc>
          <w:tcPr>
            <w:tcW w:w="82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0.012</w:t>
            </w:r>
          </w:p>
        </w:tc>
        <w:tc>
          <w:tcPr>
            <w:tcW w:w="760" w:type="dxa"/>
            <w:vAlign w:val="bottom"/>
            <w:tcBorders>
              <w:bottom w:val="single" w:sz="8" w:color="32406B"/>
            </w:tcBorders>
            <w:shd w:val="clear" w:color="auto" w:fill="CCEEFF"/>
          </w:tcPr>
          <w:p>
            <w:pPr>
              <w:jc w:val="right"/>
              <w:ind w:right="32"/>
              <w:spacing w:after="0"/>
              <w:rPr>
                <w:sz w:val="20"/>
                <w:szCs w:val="20"/>
                <w:color w:val="auto"/>
              </w:rPr>
            </w:pPr>
            <w:r>
              <w:rPr>
                <w:rFonts w:ascii="Arial" w:cs="Arial" w:eastAsia="Arial" w:hAnsi="Arial"/>
                <w:sz w:val="18"/>
                <w:szCs w:val="18"/>
                <w:color w:val="32406B"/>
              </w:rPr>
              <w:t>100</w:t>
            </w:r>
          </w:p>
        </w:tc>
        <w:tc>
          <w:tcPr>
            <w:tcW w:w="700" w:type="dxa"/>
            <w:vAlign w:val="bottom"/>
            <w:tcBorders>
              <w:bottom w:val="single" w:sz="8" w:color="32406B"/>
            </w:tcBorders>
            <w:shd w:val="clear" w:color="auto" w:fill="CCEEFF"/>
          </w:tcPr>
          <w:p>
            <w:pPr>
              <w:jc w:val="right"/>
              <w:ind w:right="55"/>
              <w:spacing w:after="0"/>
              <w:rPr>
                <w:sz w:val="20"/>
                <w:szCs w:val="20"/>
                <w:color w:val="auto"/>
              </w:rPr>
            </w:pPr>
            <w:r>
              <w:rPr>
                <w:rFonts w:ascii="Arial" w:cs="Arial" w:eastAsia="Arial" w:hAnsi="Arial"/>
                <w:sz w:val="18"/>
                <w:szCs w:val="18"/>
                <w:color w:val="32406B"/>
              </w:rPr>
              <w:t>N/A</w:t>
            </w:r>
          </w:p>
        </w:tc>
        <w:tc>
          <w:tcPr>
            <w:tcW w:w="70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N/A</w:t>
            </w:r>
          </w:p>
        </w:tc>
        <w:tc>
          <w:tcPr>
            <w:tcW w:w="760" w:type="dxa"/>
            <w:vAlign w:val="bottom"/>
            <w:tcBorders>
              <w:bottom w:val="single" w:sz="8" w:color="32406B"/>
            </w:tcBorders>
            <w:shd w:val="clear" w:color="auto" w:fill="CCEEFF"/>
          </w:tcPr>
          <w:p>
            <w:pPr>
              <w:jc w:val="right"/>
              <w:ind w:right="34"/>
              <w:spacing w:after="0"/>
              <w:rPr>
                <w:sz w:val="20"/>
                <w:szCs w:val="20"/>
                <w:color w:val="auto"/>
              </w:rPr>
            </w:pPr>
            <w:r>
              <w:rPr>
                <w:rFonts w:ascii="Arial" w:cs="Arial" w:eastAsia="Arial" w:hAnsi="Arial"/>
                <w:sz w:val="18"/>
                <w:szCs w:val="18"/>
                <w:color w:val="32406B"/>
              </w:rPr>
              <w:t>N/A</w:t>
            </w:r>
          </w:p>
        </w:tc>
        <w:tc>
          <w:tcPr>
            <w:tcW w:w="760" w:type="dxa"/>
            <w:vAlign w:val="bottom"/>
            <w:tcBorders>
              <w:bottom w:val="single" w:sz="8" w:color="32406B"/>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r>
      <w:tr>
        <w:trPr>
          <w:trHeight w:val="210"/>
        </w:trPr>
        <w:tc>
          <w:tcPr>
            <w:tcW w:w="3500" w:type="dxa"/>
            <w:vAlign w:val="bottom"/>
            <w:tcBorders>
              <w:bottom w:val="single" w:sz="8" w:color="32406B"/>
            </w:tcBorders>
          </w:tcPr>
          <w:p>
            <w:pPr>
              <w:spacing w:after="0"/>
              <w:rPr>
                <w:sz w:val="20"/>
                <w:szCs w:val="20"/>
                <w:color w:val="auto"/>
              </w:rPr>
            </w:pPr>
            <w:r>
              <w:rPr>
                <w:rFonts w:ascii="Arial" w:cs="Arial" w:eastAsia="Arial" w:hAnsi="Arial"/>
                <w:sz w:val="18"/>
                <w:szCs w:val="18"/>
                <w:b w:val="1"/>
                <w:bCs w:val="1"/>
                <w:color w:val="32406B"/>
              </w:rPr>
              <w:t>S309</w:t>
            </w:r>
          </w:p>
        </w:tc>
        <w:tc>
          <w:tcPr>
            <w:tcW w:w="840" w:type="dxa"/>
            <w:vAlign w:val="bottom"/>
            <w:tcBorders>
              <w:bottom w:val="single" w:sz="8" w:color="32406B"/>
            </w:tcBorders>
          </w:tcPr>
          <w:p>
            <w:pPr>
              <w:jc w:val="right"/>
              <w:ind w:right="52"/>
              <w:spacing w:after="0"/>
              <w:rPr>
                <w:sz w:val="20"/>
                <w:szCs w:val="20"/>
                <w:color w:val="auto"/>
              </w:rPr>
            </w:pPr>
            <w:r>
              <w:rPr>
                <w:rFonts w:ascii="Arial" w:cs="Arial" w:eastAsia="Arial" w:hAnsi="Arial"/>
                <w:sz w:val="18"/>
                <w:szCs w:val="18"/>
                <w:color w:val="32406B"/>
              </w:rPr>
              <w:t>0.040</w:t>
            </w:r>
          </w:p>
        </w:tc>
        <w:tc>
          <w:tcPr>
            <w:tcW w:w="620" w:type="dxa"/>
            <w:vAlign w:val="bottom"/>
            <w:tcBorders>
              <w:bottom w:val="single" w:sz="8" w:color="32406B"/>
            </w:tcBorders>
          </w:tcPr>
          <w:p>
            <w:pPr>
              <w:ind w:left="180"/>
              <w:spacing w:after="0"/>
              <w:rPr>
                <w:sz w:val="20"/>
                <w:szCs w:val="20"/>
                <w:color w:val="auto"/>
              </w:rPr>
            </w:pPr>
            <w:r>
              <w:rPr>
                <w:rFonts w:ascii="Arial" w:cs="Arial" w:eastAsia="Arial" w:hAnsi="Arial"/>
                <w:sz w:val="18"/>
                <w:szCs w:val="18"/>
                <w:color w:val="32406B"/>
                <w:w w:val="93"/>
              </w:rPr>
              <w:t>0.078</w:t>
            </w:r>
          </w:p>
        </w:tc>
        <w:tc>
          <w:tcPr>
            <w:tcW w:w="800" w:type="dxa"/>
            <w:vAlign w:val="bottom"/>
            <w:tcBorders>
              <w:bottom w:val="single" w:sz="8" w:color="32406B"/>
            </w:tcBorders>
          </w:tcPr>
          <w:p>
            <w:pPr>
              <w:jc w:val="right"/>
              <w:ind w:right="35"/>
              <w:spacing w:after="0"/>
              <w:rPr>
                <w:sz w:val="20"/>
                <w:szCs w:val="20"/>
                <w:color w:val="auto"/>
              </w:rPr>
            </w:pPr>
            <w:r>
              <w:rPr>
                <w:rFonts w:ascii="Arial" w:cs="Arial" w:eastAsia="Arial" w:hAnsi="Arial"/>
                <w:sz w:val="18"/>
                <w:szCs w:val="18"/>
                <w:color w:val="32406B"/>
              </w:rPr>
              <w:t>0.082</w:t>
            </w:r>
          </w:p>
        </w:tc>
        <w:tc>
          <w:tcPr>
            <w:tcW w:w="76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0.076</w:t>
            </w:r>
          </w:p>
        </w:tc>
        <w:tc>
          <w:tcPr>
            <w:tcW w:w="82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0.113</w:t>
            </w:r>
          </w:p>
        </w:tc>
        <w:tc>
          <w:tcPr>
            <w:tcW w:w="760" w:type="dxa"/>
            <w:vAlign w:val="bottom"/>
            <w:tcBorders>
              <w:bottom w:val="single" w:sz="8" w:color="32406B"/>
            </w:tcBorders>
          </w:tcPr>
          <w:p>
            <w:pPr>
              <w:jc w:val="right"/>
              <w:ind w:right="32"/>
              <w:spacing w:after="0"/>
              <w:rPr>
                <w:sz w:val="20"/>
                <w:szCs w:val="20"/>
                <w:color w:val="auto"/>
              </w:rPr>
            </w:pPr>
            <w:r>
              <w:rPr>
                <w:rFonts w:ascii="Arial" w:cs="Arial" w:eastAsia="Arial" w:hAnsi="Arial"/>
                <w:sz w:val="18"/>
                <w:szCs w:val="18"/>
                <w:color w:val="32406B"/>
              </w:rPr>
              <w:t>80</w:t>
            </w:r>
          </w:p>
        </w:tc>
        <w:tc>
          <w:tcPr>
            <w:tcW w:w="700" w:type="dxa"/>
            <w:vAlign w:val="bottom"/>
            <w:tcBorders>
              <w:bottom w:val="single" w:sz="8" w:color="32406B"/>
            </w:tcBorders>
          </w:tcPr>
          <w:p>
            <w:pPr>
              <w:jc w:val="right"/>
              <w:ind w:right="55"/>
              <w:spacing w:after="0"/>
              <w:rPr>
                <w:sz w:val="20"/>
                <w:szCs w:val="20"/>
                <w:color w:val="auto"/>
              </w:rPr>
            </w:pPr>
            <w:r>
              <w:rPr>
                <w:rFonts w:ascii="Arial" w:cs="Arial" w:eastAsia="Arial" w:hAnsi="Arial"/>
                <w:sz w:val="18"/>
                <w:szCs w:val="18"/>
                <w:color w:val="32406B"/>
              </w:rPr>
              <w:t>89</w:t>
            </w:r>
          </w:p>
        </w:tc>
        <w:tc>
          <w:tcPr>
            <w:tcW w:w="70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95</w:t>
            </w:r>
          </w:p>
        </w:tc>
        <w:tc>
          <w:tcPr>
            <w:tcW w:w="760" w:type="dxa"/>
            <w:vAlign w:val="bottom"/>
            <w:tcBorders>
              <w:bottom w:val="single" w:sz="8" w:color="32406B"/>
            </w:tcBorders>
          </w:tcPr>
          <w:p>
            <w:pPr>
              <w:jc w:val="right"/>
              <w:ind w:right="34"/>
              <w:spacing w:after="0"/>
              <w:rPr>
                <w:sz w:val="20"/>
                <w:szCs w:val="20"/>
                <w:color w:val="auto"/>
              </w:rPr>
            </w:pPr>
            <w:r>
              <w:rPr>
                <w:rFonts w:ascii="Arial" w:cs="Arial" w:eastAsia="Arial" w:hAnsi="Arial"/>
                <w:sz w:val="18"/>
                <w:szCs w:val="18"/>
                <w:color w:val="32406B"/>
              </w:rPr>
              <w:t>85</w:t>
            </w:r>
          </w:p>
        </w:tc>
        <w:tc>
          <w:tcPr>
            <w:tcW w:w="760" w:type="dxa"/>
            <w:vAlign w:val="bottom"/>
            <w:tcBorders>
              <w:bottom w:val="single" w:sz="8" w:color="32406B"/>
            </w:tcBorders>
          </w:tcPr>
          <w:p>
            <w:pPr>
              <w:jc w:val="right"/>
              <w:spacing w:after="0"/>
              <w:rPr>
                <w:sz w:val="20"/>
                <w:szCs w:val="20"/>
                <w:color w:val="auto"/>
              </w:rPr>
            </w:pPr>
            <w:r>
              <w:rPr>
                <w:rFonts w:ascii="Arial" w:cs="Arial" w:eastAsia="Arial" w:hAnsi="Arial"/>
                <w:sz w:val="18"/>
                <w:szCs w:val="18"/>
                <w:color w:val="32406B"/>
              </w:rPr>
              <w:t>92</w:t>
            </w:r>
          </w:p>
        </w:tc>
      </w:tr>
    </w:tbl>
    <w:p>
      <w:pPr>
        <w:spacing w:after="0" w:line="20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addition, the neutralization potency and breadth of ADG20 was evaluated by an independent U.S. government laboratory against a panel of 64 SARS-CoV-2 pseudovirus variants, including the Epsilon (B.1.427/429), Iota (B.1.526) and Kappa (B.1.617.1) variants. We utilized the non-clinical and pre-clinical services program offered by the National Institute of Allergy and Infectious Diseases to generate this data. Variants tested included spike proteins incorporating single or double amino acid substitutions and spike proteins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128</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32406B"/>
        </w:rPr>
        <w:t>encoding the full sets of mutations observed in emerging variants of concern and variants of interest. As shown in the graphic below, ADG20 maintained neutralization activity across all variants tested to date, with IC</w:t>
      </w:r>
      <w:r>
        <w:rPr>
          <w:rFonts w:ascii="Arial" w:cs="Arial" w:eastAsia="Arial" w:hAnsi="Arial"/>
          <w:sz w:val="15"/>
          <w:szCs w:val="15"/>
          <w:color w:val="32406B"/>
        </w:rPr>
        <w:t>50</w:t>
      </w:r>
      <w:r>
        <w:rPr>
          <w:rFonts w:ascii="Arial" w:cs="Arial" w:eastAsia="Arial" w:hAnsi="Arial"/>
          <w:sz w:val="18"/>
          <w:szCs w:val="18"/>
          <w:color w:val="32406B"/>
        </w:rPr>
        <w:t xml:space="preserve"> values within approximately 0.4- to 5.1-fold relative to the reference D614G strain. The D614G strain is a variant of the original Wuhan-Hu-1 strain that emerged in the early phases of the pandemic and rapidly outcompeted the original strain to become the globally dominant variant by mid-2020. Moreover, emerging variants, such as Alpha (B.1.1.7) and Beta (B.1.351), all harbor the D614G mutation, making it a suitable reference for comparison.</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ADG20 Displayed Neutralization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125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In Vivo Studies of ADG2 and ADG20 Demonstrated Efficacy in Treatment and Prevention of SARS-CoV-2 Infection</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 xml:space="preserve">To determine whether ADG2, the parent molecule of ADG20, could prevent SARS-CoV-1 and SARS-CoV-2 infection and associated disease in mice, we conducted an </w:t>
      </w:r>
      <w:r>
        <w:rPr>
          <w:rFonts w:ascii="Arial" w:cs="Arial" w:eastAsia="Arial" w:hAnsi="Arial"/>
          <w:sz w:val="18"/>
          <w:szCs w:val="18"/>
          <w:i w:val="1"/>
          <w:iCs w:val="1"/>
          <w:color w:val="32406B"/>
        </w:rPr>
        <w:t>in vivo</w:t>
      </w:r>
      <w:r>
        <w:rPr>
          <w:rFonts w:ascii="Arial" w:cs="Arial" w:eastAsia="Arial" w:hAnsi="Arial"/>
          <w:sz w:val="18"/>
          <w:szCs w:val="18"/>
          <w:color w:val="32406B"/>
        </w:rPr>
        <w:t xml:space="preserve"> preclinical study where Balb/c mice were administered 200 µg of ADG2 or placebo, or sham, via intraperitoneal injection and then challenged 12 hours later with either mouse-adapted, or MA, SARS-CoV-1 or SARS-CoV-2 via the intranasal route. Body weight, respiratory function and lung histopathology were evaluated. In this preclinical study, ADG2 administered prophylactically protected healthy adult mice from weight loss, respiratory distress and pulmonary hemorrhage associated with infection due to MA SARS-CoV-1 or SARS-CoV-2, as shown below. Prophylactic treatment with ADG2 also prevented viral replication in the lungs post-infection. In contrast, prophylactic sham treatment resulted in deteriorations across all four parameters.</w:t>
      </w:r>
    </w:p>
    <w:p>
      <w:pPr>
        <w:spacing w:after="0" w:line="29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32406B"/>
        </w:rPr>
        <w:t>ADG2 Provides Complete Protection Against Severe SARS-CoV-2 and SARS-CoV-1 Disease in a Mouse Model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32406B"/>
        </w:rPr>
        <w:t>SARS-CoV-2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573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129</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32406B"/>
        </w:rPr>
        <w:t>SARS-CoV-1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65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 xml:space="preserve">To determine whether a low dose of ADG2 could provide therapeutic benefit against SARS-CoV-2-associated disease in mice, we conducted an </w:t>
      </w:r>
      <w:r>
        <w:rPr>
          <w:rFonts w:ascii="Arial" w:cs="Arial" w:eastAsia="Arial" w:hAnsi="Arial"/>
          <w:sz w:val="18"/>
          <w:szCs w:val="18"/>
          <w:i w:val="1"/>
          <w:iCs w:val="1"/>
          <w:color w:val="32406B"/>
        </w:rPr>
        <w:t>in</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vivo </w:t>
      </w:r>
      <w:r>
        <w:rPr>
          <w:rFonts w:ascii="Arial" w:cs="Arial" w:eastAsia="Arial" w:hAnsi="Arial"/>
          <w:sz w:val="18"/>
          <w:szCs w:val="18"/>
          <w:color w:val="32406B"/>
        </w:rPr>
        <w:t>preclinical study where Balb/c mice were challenged intranasally with MA SARS-CoV-2 and then treated with either 200 µg of ADG2 or placebo</w:t>
      </w:r>
      <w:r>
        <w:rPr>
          <w:rFonts w:ascii="Arial" w:cs="Arial" w:eastAsia="Arial" w:hAnsi="Arial"/>
          <w:sz w:val="18"/>
          <w:szCs w:val="18"/>
          <w:i w:val="1"/>
          <w:iCs w:val="1"/>
          <w:color w:val="32406B"/>
        </w:rPr>
        <w:t xml:space="preserve"> </w:t>
      </w:r>
      <w:r>
        <w:rPr>
          <w:rFonts w:ascii="Arial" w:cs="Arial" w:eastAsia="Arial" w:hAnsi="Arial"/>
          <w:sz w:val="18"/>
          <w:szCs w:val="18"/>
          <w:color w:val="32406B"/>
        </w:rPr>
        <w:t>via intraperitoneal injection 12 hours following challenge. Compared to placebo, ADG2 resulted in less weight loss and was associated with improved respiratory function and histological signs of hemorrhage. In addition, treatment with ADG2 also resulted in a significant reduction in lung viral loads at four days post-infection relative to treatment with placebo.</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 xml:space="preserve">In conjunction with the United States Army Medical Research Institute for Infectious Diseases, or USAMRIID, we conducted two preclinical studies to investigate the efficacy of ADG20 in the prevention of SARS-CoV-2 infection in hamsters and non-human primates, or NHPs. A dose ranging study of ADG20 in hamsters was conducted to investigate the </w:t>
      </w:r>
      <w:r>
        <w:rPr>
          <w:rFonts w:ascii="Arial" w:cs="Arial" w:eastAsia="Arial" w:hAnsi="Arial"/>
          <w:sz w:val="18"/>
          <w:szCs w:val="18"/>
          <w:i w:val="1"/>
          <w:iCs w:val="1"/>
          <w:color w:val="32406B"/>
        </w:rPr>
        <w:t>in vivo</w:t>
      </w:r>
      <w:r>
        <w:rPr>
          <w:rFonts w:ascii="Arial" w:cs="Arial" w:eastAsia="Arial" w:hAnsi="Arial"/>
          <w:sz w:val="18"/>
          <w:szCs w:val="18"/>
          <w:color w:val="32406B"/>
        </w:rPr>
        <w:t xml:space="preserve"> efficacy of ADG20 in preventing SARS-CoV-2 infection and to evaluate the potential for antibody-dependent enhancement, or ADE, of infection at sub-neutralizing, or sub-efficacious, concentrations of ADG20. The preclinical study included six cohorts, with four cohorts administered differing doses of ADG20 and two cohorts administered a control antibody. The antibodies were administered 24 hours prior to an intranasal viral challenge and viral load was measured in lungs harvested on days three or six post-challenge. This preclinical study demonstrated that ADG20 inhibits viral replication in a dose-dependent manner with no evidence of ADE of viral replication at sub-efficacious serum concentrations.</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We also conducted a preclinical study with USAMRIID to investigate the efficacy of ADG20 in the prevention of SARS-CoV-2 infection in NHPs. Three cohorts were dosed with 5 mg/kg of ADG20, 25 mg/kg of ADG20 or an irrelevant control antibody through IV infusion three days prior to combined intranasal and intratracheal challenge with SARS-CoV-2/WA-1, a strain similar to the original Wuhan-Hu-1 strain. Swabs of the nasopharyngeal cavities were taken daily on days one through six post-challenge to assess viral load by both viral plaque assay, which measures levels of infectious virus, and RT-PCR of subgenomic viral RNA, which measures active viral replication. Viral replication in the lungs was also evaluated by subgenomic RT-PCR on bronchioalveolar lavage, or BAL, fluid collected on days one, three and five. As shown in the graphic below, persistent viral replication was detected through day six in the nasopharyngeal cavities of all control-treated animals. In contrast, complete protection against viral replication was observed in all respiratory compartments at the 25 mg/kg dose level. Substantial protection was also observed at the 5 mg/kg dose level, as demonstrated by reduced viral loads and accelerated viral clearance compared to control-treated animals.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130</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ADG20 Provides Prophylactic Protection in an NHP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54178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541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Clinical Development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As shown in the graphic below, we believe that intervention with an antiviral neutralizing antibody before exposure to SARS-CoV-2, post-exposure but prior to the onset of symptoms or early in the course of symptomatic disease when viral replication is high but before the onset of significant immune pathology is likely to provide the greatest benefit to patients. This belief is supported by recent clinical experience with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131</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SARS-CoV-2 mAbs as well as prior experience with the use of neutralizing antibodies for the treatment and prevention of other respiratory virus infections such as influenza and respiratory syncytial virus, or RSV. For these reasons, our clinical development strategy is focused on prevention and early treatment of COVID-19 with the goal of preventing severe disease and its sequelae.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ADG20 for Treatment and Prevention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5186045" cy="1808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As shown below, our clinical development plan for ADG20 includes a series of clinical trials to demonstrate the potential of ADG20 for both the treatment and prevention of COVID-19 in adults and adolescents. We have completed enrollment in our first-in-human Phase 1 clinical trial in healthy volunteers, which demonstrated that ADG20 was well tolerated and displayed a pharmacokinetic profile consistent with an extended half-life mAb. In addition, serum virus neutralizing antibody titers measured the day following administration of ADG20 were similar to or exceeded peak serum neutralizing antibody titers generated after two doses of mRNA or adenovirus-based COVID-19 vaccines. For the treatment of mild to moderate COVID-19 in patients at high risk of disease progression, we are conducting our combined Phase 2/3 STAMP trial that is designed to provide a path to applying for EUA and/or filing a BLA for marketing approval in 2022, and commercial launch thereafter, if ADG20 is approved. We may not meet our time frames for submission for an EUA or a BLA, and if we do meet such timelines, there is no guarantee the FDA would approve our submission, or on the time frame we have indicated. For the prevention of symptomatic COVID-19, we are conducting our combined Phase 2/3 EVADE clinical trial in both post-exposure and pre-exposure populations.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132</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Our Clinical Development Program for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8632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8604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First-in-Human Phase 1 Dose Escalation Clinical Trial</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In February 2021, we initiated a Phase 1 single ascending-dose escalation clinical trial of ADG20, which is designed to evaluate the safety, tolerability and pharmacokinetic properties of ADG20, along with serum virus neutralizing antibody titers. We have completed enrollment of 30 healthy volunteers across three cohorts, with ten participants per cohort randomized 8 to 2 to ADG20 or placebo, respectively. Each participant received a single IM or IV administration of either 300 mg IM, 500 mg IV or 600 mg IM of ADG20 or placebo. As of June 14, 2021, no serious adverse events, study drug-related adverse events, hypersensitivity reactions, infusion-related reactions or injection site reactions were reported in any study participant. All reported adverse events were mild in severity and resolved.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 xml:space="preserve">The preliminary pharmacokinetic profile approximately 3 months following administration of a single 300 mg IM dose is shown in the illustration below. The observed data are consistent with the pharmacokinetic profile predicted by a physiologically based pharmacokinetic model used to guide dose selection and project a prolonged serum half-life of approximately 60 to 100 days. Based on the model predicted pharmacokinetic profile, the median ADG20 serum concentration at 52 weeks, or approximately 12 months, is projected to exceed the ADG20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IC</w:t>
      </w:r>
      <w:r>
        <w:rPr>
          <w:rFonts w:ascii="Arial" w:cs="Arial" w:eastAsia="Arial" w:hAnsi="Arial"/>
          <w:sz w:val="13"/>
          <w:szCs w:val="13"/>
          <w:color w:val="32406B"/>
        </w:rPr>
        <w:t>90</w:t>
      </w:r>
      <w:r>
        <w:rPr>
          <w:rFonts w:ascii="Arial" w:cs="Arial" w:eastAsia="Arial" w:hAnsi="Arial"/>
          <w:sz w:val="16"/>
          <w:szCs w:val="16"/>
          <w:color w:val="32406B"/>
        </w:rPr>
        <w:t xml:space="preserve"> by approximately 100-fold, supporting the potential for a single IM injection to provide protection from COVID-19 for up to 12 months. Preliminary observed ADG20 pharmacokinetic profiles were dose proportional across the other dose levels tested and were also well predicted by the model.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133</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Preliminary Pharmacokinetic Profile of a Single 300 mg IM Dose of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29914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3202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Serum virus neutralizing antibody titers are believed to be a key correlate of protection against COVID-19. Using an authentic virus neutralization assay, we compared serum virus neutralizing antibody titers on days 2, 7 and 21 following a single 300 mg IM dose of ADG20 to titers achieved 7 to 31 days, corresponding to peak titers, following administration of two doses of the AZD1222 or mRNA-1273 vaccine. As illustrated in the graphic below, by day 2 or the day following administration of a single 300 mg IM dose of ADG20, measured serum neutralizing antibody titers against the D614G strain were similar to peak serum neutralizing antibody titers induced by the mRNA-1273 COVID-19 vaccine and significantly exceeded peak titers generated by the AZD1222 vaccine. By day 7, serum neutralizing antibody titers for ADG20 were significantly higher than peak titers generated by either vaccine and were maintained out to day 21. Using the quantitative pharmacology model, median ADG20 serum neutralizing antibody titers at six months are projected to remain within the range measured at peak for the mRNA-1273 vaccine recipients. At 52 weeks, or approximately 12 months, post-dosing median titers were projected to remain above a threshold associated with protection from SARS-CoV-2 infection in non-human primates administered purified IgG from previously infected animals. These data further support the potential for a single 300 mg IM injection of ADG20 to provide protection against COVID-19 for up to 12 months.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134</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Preliminary Serum Virus Neutralizing Titers After of a Single 300 mg IM Dose of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171450</wp:posOffset>
            </wp:positionV>
            <wp:extent cx="3968750" cy="2922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96875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32406B"/>
        </w:rPr>
        <w:t>LOD=limit of detection; *</w:t>
      </w:r>
      <w:r>
        <w:rPr>
          <w:rFonts w:ascii="Arial" w:cs="Arial" w:eastAsia="Arial" w:hAnsi="Arial"/>
          <w:sz w:val="14"/>
          <w:szCs w:val="14"/>
          <w:i w:val="1"/>
          <w:iCs w:val="1"/>
          <w:color w:val="32406B"/>
        </w:rPr>
        <w:t>P</w:t>
      </w:r>
      <w:r>
        <w:rPr>
          <w:rFonts w:ascii="Arial" w:cs="Arial" w:eastAsia="Arial" w:hAnsi="Arial"/>
          <w:sz w:val="14"/>
          <w:szCs w:val="14"/>
          <w:color w:val="32406B"/>
        </w:rPr>
        <w:t xml:space="preserve"> £ 0.05; **</w:t>
      </w:r>
      <w:r>
        <w:rPr>
          <w:rFonts w:ascii="Arial" w:cs="Arial" w:eastAsia="Arial" w:hAnsi="Arial"/>
          <w:sz w:val="14"/>
          <w:szCs w:val="14"/>
          <w:i w:val="1"/>
          <w:iCs w:val="1"/>
          <w:color w:val="32406B"/>
        </w:rPr>
        <w:t>P</w:t>
      </w:r>
      <w:r>
        <w:rPr>
          <w:rFonts w:ascii="Arial" w:cs="Arial" w:eastAsia="Arial" w:hAnsi="Arial"/>
          <w:sz w:val="14"/>
          <w:szCs w:val="14"/>
          <w:color w:val="32406B"/>
        </w:rPr>
        <w:t xml:space="preserve"> £ 0.01; ***</w:t>
      </w:r>
      <w:r>
        <w:rPr>
          <w:rFonts w:ascii="Arial" w:cs="Arial" w:eastAsia="Arial" w:hAnsi="Arial"/>
          <w:sz w:val="14"/>
          <w:szCs w:val="14"/>
          <w:i w:val="1"/>
          <w:iCs w:val="1"/>
          <w:color w:val="32406B"/>
        </w:rPr>
        <w:t>P</w:t>
      </w:r>
      <w:r>
        <w:rPr>
          <w:rFonts w:ascii="Arial" w:cs="Arial" w:eastAsia="Arial" w:hAnsi="Arial"/>
          <w:sz w:val="14"/>
          <w:szCs w:val="14"/>
          <w:color w:val="32406B"/>
        </w:rPr>
        <w:t xml:space="preserve"> £ 0.001; ****</w:t>
      </w:r>
      <w:r>
        <w:rPr>
          <w:rFonts w:ascii="Arial" w:cs="Arial" w:eastAsia="Arial" w:hAnsi="Arial"/>
          <w:sz w:val="14"/>
          <w:szCs w:val="14"/>
          <w:i w:val="1"/>
          <w:iCs w:val="1"/>
          <w:color w:val="32406B"/>
        </w:rPr>
        <w:t>P</w:t>
      </w:r>
      <w:r>
        <w:rPr>
          <w:rFonts w:ascii="Arial" w:cs="Arial" w:eastAsia="Arial" w:hAnsi="Arial"/>
          <w:sz w:val="14"/>
          <w:szCs w:val="14"/>
          <w:color w:val="32406B"/>
        </w:rPr>
        <w:t xml:space="preserve"> £ 0.0001</w:t>
      </w:r>
    </w:p>
    <w:p>
      <w:pPr>
        <w:spacing w:after="0" w:line="3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Combined Phase 2/3 STAMP Trial of ADG20 for the Treatment of COVID-19</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Emerging evidence has shown that for high-risk patients, intervention with a mAb therapy early in the course of infection can prevent disease progression, hospitalization and death. Based on this evidence, we are conducting our STAMP trial, a combined Phase 2/3 clinical trial of ADG20 for the treatment of COVID-19 in ambulatory adult patients with mild to moderate disease who are at high risk of disease progression. Our STAMP trial is designed to be a double-blind, randomized, placebo-controlled clinical trial comparing the efficacy of a single IM dose of ADG20 to placebo, with a target enrollment of approximately 1,100 patients, all of which will be enrolled outside of the United States. After evaluation of safety data from the Phase 2 portion of the trial, we may expand enrollment to adolescents and pregnant women in the Phase 3 portion. In addition, an independent data monitoring committee, or iDMC, meeting is anticipated in the fourth quarter of 2021 to evaluate futility at the Phase 2 to Phase 3 transition. The primary objectives of this clinical trial are to assess the safety and efficacy of ADG20 compared to placebo in the prevention of COVID-19-related hospitalization or death through Day 29.</w:t>
      </w:r>
    </w:p>
    <w:p>
      <w:pPr>
        <w:spacing w:after="0" w:line="18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We designed our STAMP trial to have a pre-specified interim analysis to support the potential to demonstrate early evidence of efficacy and to submit an EUA. If the interim analysis is positive and the public health emergency is still in effect, we plan to submit an EUA to the FDA. We anticipate that the interim analysis and subsequent EUA submission may occur as early as the first quarter of 2022. Our EUA submission will be based on clinical and virology endpoints and will be supplemented with non-clinical virological data demonstrating ADG20 activity against known SARS-CoV-2 variants of concern. Our EUA plan is supported by recently issued FDA guidance. If the Phase 3 data are positive, either at the interim analysis or at the completion of the trial, we expect to submit a biologics license application, or BLA, to the FDA as early as the second half of 2022 for full approval of ADG20 for the treatment of mild to moderate COVID-19 in patients at high risk of progressing to severe COVID-19 and/or hospitalization. Our BLA for the treatment indication will be further supported by clinical data from the EVADE trial.</w:t>
      </w:r>
    </w:p>
    <w:p>
      <w:pPr>
        <w:spacing w:after="0" w:line="17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order to demonstrate clinical efficacy of ADG20 in patients where other mAb therapies are expected to have more limited success, we are prioritizing enrollment of the STAMP trial in countries with high rates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135</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SARS-CoV-2 variants that have been associated with lower efficacy rates of certain vaccines and are resistant or partially resistant to a subset of currently available or clinical-stage mAbs.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Combined Phase 2/3 EVADE Trial of ADG20 for the Prevention of COVID-19</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We have initiated our combined Phase 2/3 EVADE clinical trial of ADG20 to evaluate the safety and efficacy of ADG20 in the prevention of symptomatic COVID-19 in two separate populations: (1) individuals with known exposure to a person with laboratory-confirmed SARS-CoV-2 infection, which we refer to as post-exposure prophylaxis, and (2) individuals who are at increased risk for SARS-CoV-2 infection, which we refer to as pre-exposure prophylaxis. The eligible trial population also includes individuals at risk of generating poor vaccine response, such as those who are immunocompromised. Our EVADE trial is designed as a randomized, double-blind, placebo-controlled clinical trial to evaluate the efficacy of a single IM dose of ADG20 in preventing COVID-19, with a target enrollment of approximately 6,400 individuals in the United States and other countries. The primary endpoint is the proportion of participants with laboratory-confirmed symptomatic COVID-19 through Day 28 for the post-exposure cohort and through six months for the pre-exposure cohort. In addition, we will follow participants for 12 months to assess the proportion of participants who develop symptomatic COVID-19 through this time period in both cohorts. For those participants who do get infected with SARS-CoV-2, we will evaluate the impact of ADG20 on viral load as a surrogate for transmission potential. After evaluation of data from the first 200 adult participants across both cohorts in the Phase 2 portion of the trial, we may expand enrollment to adolescents and pregnant women in the Phase 3 portion.</w:t>
      </w:r>
    </w:p>
    <w:p>
      <w:pPr>
        <w:spacing w:after="0" w:line="17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initiated enrollment in our EVADE trial on April 27, 2021 and have completed enrollment of the planned 200 Phase 2 participants. The Phase 3 portion of the EVADE trial is ongoing with a planned iDMC meeting in the third quarter of 2021 to provide recommendations regarding inclusion of adolescents and pregnant and lactating women in the Phase 3 portion of the trial. As of July 28, 2021, over 400 participants have been randomized to the EVADE study. To date, two treatment-emergent serious adverse events have been reported. Both events were considered unrelated to study drug upon Investigator and Sponsor review. Because these events were assessed as unrelated to study drug, they remain blinded and are not subject to expedited reporting to the FDA.</w:t>
      </w:r>
    </w:p>
    <w:p>
      <w:pPr>
        <w:spacing w:after="0" w:line="19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Phase 3 data for the post-exposure cohort of EVADE are anticipated as early as the first half of 2022. If the Phase 3 data are positive in the post-exposure cohort, we plan to submit a BLA to the FDA as early as the second half of 2022 for both the treatment and post-exposure prophylaxis indications. An interim analysis of futility for the pre-exposure cohort is planned for the first half of 2022 with topline data anticipated as early as the second half of 2022. Assuming favorable results, we are planning to file a supplemental BLA in the first half of 2023 for this indication. Similar to our STAMP trial, we are prioritizing enrollment in countries, including the United States, with high rates of SARS-CoV-2 variants, including variants that have been associated with lower efficacy rates of certain vaccines and are resistant or partially resistant to a subset of currently available or clinical-stage mAbs. We may not meet our time frames for submission, and if we do meet such timelines, there is no guarantee the FDA would approve our submission, or on the time frame we have indicated.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Pediatric Clinical Development Plan</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Although children are at lower risk of developing severe COVID-19 compared to adults, a subset of children experience poor outcomes, including severe acute disease, such as the multisystem inflammatory syndrome, or MIS-C, and long-term sequelae of disease, also known as long COVID. Safe and effective therapies are needed to prevent severe disease and hospitalization in high-risk children as well as complications of COVID-19 such as MIS-C and long COVID. In addition, children of all ages are infectious and capable of transmission, regardless of symptom status, and the contribution of children to ongoing disease transmission is likely underappreciated. The secondary impacts of the COVID-19 pandemic on children due to widespread school closure, including a burgeoning mental health crisis, food insecurity and loss of gains in literacy, further attest to the need for safe and effective agents to prevent COVID-19 in children to support widespread school re-opening. Prevention efforts in children are also important for protection of high-risk adults who have contact with children and may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136</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not be fully protected by vaccination, as well as for the achievement of global herd immunity given that 25% of the world’s population are under the age of 14.</w:t>
      </w:r>
    </w:p>
    <w:p>
      <w:pPr>
        <w:spacing w:after="0" w:line="170"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Similar to our strategy for the adult and adolescent populations, we anticipate generating data to support the use of ADG20 for both the treatment and prevention of COVID-19 in the pediatric population. We believe ADG20 has the potential to provide a treatment option for children at high risk of severe disease, a viable prevention option for children with household or other high-risk exposures and an alternative to vaccines for certain high-risk children. Based on decades of experience using Synagis, an antibody administered to high-risk infants and toddlers for the prevention of severe lower respiratory tract disease due to RSV, we believe the pediatric use of ADG20 could become well-accepted for certain subsets of the pediatric population.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Commercial Opportunity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Market Opportunity</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believe that three core assumptions underpin the robust commercial opportunity inherent in ADG20 as both a treatment and preventative option for COVID-19:</w:t>
      </w:r>
    </w:p>
    <w:p>
      <w:pPr>
        <w:spacing w:after="0" w:line="72" w:lineRule="exact"/>
        <w:rPr>
          <w:sz w:val="20"/>
          <w:szCs w:val="20"/>
          <w:color w:val="auto"/>
        </w:rPr>
      </w:pPr>
    </w:p>
    <w:p>
      <w:pPr>
        <w:jc w:val="both"/>
        <w:ind w:left="1080" w:hanging="532"/>
        <w:spacing w:after="0" w:line="270" w:lineRule="auto"/>
        <w:tabs>
          <w:tab w:leader="none" w:pos="1080" w:val="left"/>
        </w:tabs>
        <w:numPr>
          <w:ilvl w:val="0"/>
          <w:numId w:val="89"/>
        </w:numPr>
        <w:rPr>
          <w:rFonts w:ascii="Arial" w:cs="Arial" w:eastAsia="Arial" w:hAnsi="Arial"/>
          <w:sz w:val="17"/>
          <w:szCs w:val="17"/>
          <w:color w:val="32406B"/>
        </w:rPr>
      </w:pPr>
      <w:r>
        <w:rPr>
          <w:rFonts w:ascii="Arial" w:cs="Arial" w:eastAsia="Arial" w:hAnsi="Arial"/>
          <w:sz w:val="17"/>
          <w:szCs w:val="17"/>
          <w:b w:val="1"/>
          <w:bCs w:val="1"/>
          <w:color w:val="32406B"/>
        </w:rPr>
        <w:t xml:space="preserve">Vaccines alone are not expected to adequately address the COVID-19 pandemic. </w:t>
      </w:r>
      <w:r>
        <w:rPr>
          <w:rFonts w:ascii="Arial" w:cs="Arial" w:eastAsia="Arial" w:hAnsi="Arial"/>
          <w:sz w:val="17"/>
          <w:szCs w:val="17"/>
          <w:color w:val="32406B"/>
        </w:rPr>
        <w:t>We believe high levels of vaccine hesitancy may</w:t>
      </w:r>
      <w:r>
        <w:rPr>
          <w:rFonts w:ascii="Arial" w:cs="Arial" w:eastAsia="Arial" w:hAnsi="Arial"/>
          <w:sz w:val="17"/>
          <w:szCs w:val="17"/>
          <w:b w:val="1"/>
          <w:bCs w:val="1"/>
          <w:color w:val="32406B"/>
        </w:rPr>
        <w:t xml:space="preserve"> </w:t>
      </w:r>
      <w:r>
        <w:rPr>
          <w:rFonts w:ascii="Arial" w:cs="Arial" w:eastAsia="Arial" w:hAnsi="Arial"/>
          <w:sz w:val="17"/>
          <w:szCs w:val="17"/>
          <w:color w:val="32406B"/>
        </w:rPr>
        <w:t>leave as many as 100 million people in the United States and 2 billion people worldwide susceptible to COVID-19, assuming that less than 70% of the population will take a full course of a vaccine. We also believe there is a significant portion of the population that will choose not to receive the second vaccine dose or a potential future booster, which will make the duration of their protection uncertain. We also believe the challenges around the distribution and storage of certain vaccines will make widespread administration difficult in less developed or remote parts of the world. As a result, our epidemiological modeling has suggested that as much as 50% of the global population may be susceptible to infection within three years based on current assumptions of viral transmissibility as well as vaccine adoption, availability and length of protection, even when assuming that vaccine boosters are readily available. We believe these predictive assessments are indicative of the significant opportunity that may be available for a mAb therapy like ADG20 that has the potential to offer both treatment and preventative benefit.</w:t>
      </w:r>
    </w:p>
    <w:p>
      <w:pPr>
        <w:spacing w:after="0" w:line="82" w:lineRule="exact"/>
        <w:rPr>
          <w:rFonts w:ascii="Arial" w:cs="Arial" w:eastAsia="Arial" w:hAnsi="Arial"/>
          <w:sz w:val="17"/>
          <w:szCs w:val="17"/>
          <w:color w:val="32406B"/>
        </w:rPr>
      </w:pPr>
    </w:p>
    <w:p>
      <w:pPr>
        <w:jc w:val="both"/>
        <w:ind w:left="1080" w:hanging="532"/>
        <w:spacing w:after="0" w:line="254" w:lineRule="auto"/>
        <w:tabs>
          <w:tab w:leader="none" w:pos="1080" w:val="left"/>
        </w:tabs>
        <w:numPr>
          <w:ilvl w:val="0"/>
          <w:numId w:val="89"/>
        </w:numPr>
        <w:rPr>
          <w:rFonts w:ascii="Arial" w:cs="Arial" w:eastAsia="Arial" w:hAnsi="Arial"/>
          <w:sz w:val="18"/>
          <w:szCs w:val="18"/>
          <w:color w:val="32406B"/>
        </w:rPr>
      </w:pPr>
      <w:r>
        <w:rPr>
          <w:rFonts w:ascii="Arial" w:cs="Arial" w:eastAsia="Arial" w:hAnsi="Arial"/>
          <w:sz w:val="18"/>
          <w:szCs w:val="18"/>
          <w:b w:val="1"/>
          <w:bCs w:val="1"/>
          <w:color w:val="32406B"/>
        </w:rPr>
        <w:t xml:space="preserve">ADG20 will find clinical application as both a complement to and supplement for vaccine use. </w:t>
      </w:r>
      <w:r>
        <w:rPr>
          <w:rFonts w:ascii="Arial" w:cs="Arial" w:eastAsia="Arial" w:hAnsi="Arial"/>
          <w:sz w:val="18"/>
          <w:szCs w:val="18"/>
          <w:color w:val="32406B"/>
        </w:rPr>
        <w:t>We conducted market research with</w:t>
      </w:r>
      <w:r>
        <w:rPr>
          <w:rFonts w:ascii="Arial" w:cs="Arial" w:eastAsia="Arial" w:hAnsi="Arial"/>
          <w:sz w:val="18"/>
          <w:szCs w:val="18"/>
          <w:b w:val="1"/>
          <w:bCs w:val="1"/>
          <w:color w:val="32406B"/>
        </w:rPr>
        <w:t xml:space="preserve"> </w:t>
      </w:r>
      <w:r>
        <w:rPr>
          <w:rFonts w:ascii="Arial" w:cs="Arial" w:eastAsia="Arial" w:hAnsi="Arial"/>
          <w:sz w:val="18"/>
          <w:szCs w:val="18"/>
          <w:color w:val="32406B"/>
        </w:rPr>
        <w:t>physicians in the United States and Europe to better understand their perceptions of the potential profile of ADG20 and its likely applications. When shown the product profile of ADG20 versus four other mAbs in development, casirivimab/imdevimab (REGEN-COV), bamlanivimab/etesevimab (LY-CoV555/016), cilgavimab/tixagevimab (AZ7442) and sotrovimab (VIR-7831), both groups of physicians preferred ADG20 as a potential preventative for all types of individuals, including those unvaccinated, as well as a supplement for high-risk individuals, such as the elderly and the immunocompromised. For treatment, both groups of physicians also preferred ADG20 for all patient types, including low- and high-risk patients as well as pre-symptomatic, but infected, patients. We believe the results of our market research support the potential acceptance of ADG20 as both a complement to and supplement for vaccines across a wide variety of individuals.</w:t>
      </w:r>
    </w:p>
    <w:p>
      <w:pPr>
        <w:spacing w:after="0" w:line="93" w:lineRule="exact"/>
        <w:rPr>
          <w:rFonts w:ascii="Arial" w:cs="Arial" w:eastAsia="Arial" w:hAnsi="Arial"/>
          <w:sz w:val="18"/>
          <w:szCs w:val="18"/>
          <w:color w:val="32406B"/>
        </w:rPr>
      </w:pPr>
    </w:p>
    <w:p>
      <w:pPr>
        <w:jc w:val="both"/>
        <w:ind w:left="1080" w:right="20" w:hanging="532"/>
        <w:spacing w:after="0" w:line="254" w:lineRule="auto"/>
        <w:tabs>
          <w:tab w:leader="none" w:pos="1080" w:val="left"/>
        </w:tabs>
        <w:numPr>
          <w:ilvl w:val="0"/>
          <w:numId w:val="89"/>
        </w:numPr>
        <w:rPr>
          <w:rFonts w:ascii="Arial" w:cs="Arial" w:eastAsia="Arial" w:hAnsi="Arial"/>
          <w:sz w:val="18"/>
          <w:szCs w:val="18"/>
          <w:color w:val="32406B"/>
        </w:rPr>
      </w:pPr>
      <w:r>
        <w:rPr>
          <w:rFonts w:ascii="Arial" w:cs="Arial" w:eastAsia="Arial" w:hAnsi="Arial"/>
          <w:sz w:val="18"/>
          <w:szCs w:val="18"/>
          <w:b w:val="1"/>
          <w:bCs w:val="1"/>
          <w:color w:val="32406B"/>
        </w:rPr>
        <w:t xml:space="preserve">ADG20 can both address COVID-19 and be a stockpiling product of choice for COVID-2X, the next SARS-like coronavirus. </w:t>
      </w:r>
      <w:r>
        <w:rPr>
          <w:rFonts w:ascii="Arial" w:cs="Arial" w:eastAsia="Arial" w:hAnsi="Arial"/>
          <w:sz w:val="18"/>
          <w:szCs w:val="18"/>
          <w:color w:val="32406B"/>
        </w:rPr>
        <w:t>We</w:t>
      </w:r>
      <w:r>
        <w:rPr>
          <w:rFonts w:ascii="Arial" w:cs="Arial" w:eastAsia="Arial" w:hAnsi="Arial"/>
          <w:sz w:val="18"/>
          <w:szCs w:val="18"/>
          <w:b w:val="1"/>
          <w:bCs w:val="1"/>
          <w:color w:val="32406B"/>
        </w:rPr>
        <w:t xml:space="preserve"> </w:t>
      </w:r>
      <w:r>
        <w:rPr>
          <w:rFonts w:ascii="Arial" w:cs="Arial" w:eastAsia="Arial" w:hAnsi="Arial"/>
          <w:sz w:val="18"/>
          <w:szCs w:val="18"/>
          <w:color w:val="32406B"/>
        </w:rPr>
        <w:t>believe that the aggregate of ADG20’s potential advantages, including its dosing convenience, the potential durability of its efficacy and its utility against SARS-CoV-2 variants, position ADG20 as a compelling option to address the current COVID-19 pandemic. In addition, ADG20’s broad activity against a diverse group of SARS-related viruses make ADG20 an attractive option to enable stockpiling purchases to address future potential pandemics due to SARS-like viruses. To further enhance ADG20’s stockpiling profile, we are developing a lyophilized formulation of the API of ADG20 to further extend the shelf life of the drug product under refrigerated conditions. Through a combination of the lyophilized form and the long-term frozen storage of the drug substance intermediate, we believe the shelf life can be even further extended.</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137</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Addressable Markets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have identified four distinct patient segments for those 12 years old and older, which represents approximately 285 million people in the United States. In April 2021, we conducted a market research analysis of 156 physicians in the United States and 236 physicians in Europe to understand their perspectives and preferences for the treatment and prevention of SARS-CoV-2 infection.</w:t>
      </w:r>
    </w:p>
    <w:p>
      <w:pPr>
        <w:spacing w:after="0" w:line="85" w:lineRule="exact"/>
        <w:rPr>
          <w:sz w:val="20"/>
          <w:szCs w:val="20"/>
          <w:color w:val="auto"/>
        </w:rPr>
      </w:pPr>
    </w:p>
    <w:p>
      <w:pPr>
        <w:jc w:val="both"/>
        <w:ind w:left="1080" w:hanging="532"/>
        <w:spacing w:after="0" w:line="255" w:lineRule="auto"/>
        <w:tabs>
          <w:tab w:leader="none" w:pos="1080" w:val="left"/>
        </w:tabs>
        <w:numPr>
          <w:ilvl w:val="0"/>
          <w:numId w:val="90"/>
        </w:numPr>
        <w:rPr>
          <w:rFonts w:ascii="Arial" w:cs="Arial" w:eastAsia="Arial" w:hAnsi="Arial"/>
          <w:sz w:val="18"/>
          <w:szCs w:val="18"/>
          <w:color w:val="32406B"/>
        </w:rPr>
      </w:pPr>
      <w:r>
        <w:rPr>
          <w:rFonts w:ascii="Arial" w:cs="Arial" w:eastAsia="Arial" w:hAnsi="Arial"/>
          <w:sz w:val="18"/>
          <w:szCs w:val="18"/>
          <w:b w:val="1"/>
          <w:bCs w:val="1"/>
          <w:color w:val="32406B"/>
        </w:rPr>
        <w:t>Treatment</w:t>
      </w:r>
      <w:r>
        <w:rPr>
          <w:rFonts w:ascii="Arial" w:cs="Arial" w:eastAsia="Arial" w:hAnsi="Arial"/>
          <w:sz w:val="18"/>
          <w:szCs w:val="18"/>
          <w:color w:val="32406B"/>
        </w:rPr>
        <w:t>:</w:t>
      </w:r>
      <w:r>
        <w:rPr>
          <w:rFonts w:ascii="Arial" w:cs="Arial" w:eastAsia="Arial" w:hAnsi="Arial"/>
          <w:sz w:val="18"/>
          <w:szCs w:val="18"/>
          <w:b w:val="1"/>
          <w:bCs w:val="1"/>
          <w:color w:val="32406B"/>
        </w:rPr>
        <w:t xml:space="preserve"> </w:t>
      </w:r>
      <w:r>
        <w:rPr>
          <w:rFonts w:ascii="Arial" w:cs="Arial" w:eastAsia="Arial" w:hAnsi="Arial"/>
          <w:sz w:val="18"/>
          <w:szCs w:val="18"/>
          <w:i w:val="1"/>
          <w:iCs w:val="1"/>
          <w:color w:val="32406B"/>
        </w:rPr>
        <w:t>Patients recently diagnosed with COVID-19</w:t>
      </w:r>
      <w:r>
        <w:rPr>
          <w:rFonts w:ascii="Arial" w:cs="Arial" w:eastAsia="Arial" w:hAnsi="Arial"/>
          <w:sz w:val="18"/>
          <w:szCs w:val="18"/>
          <w:color w:val="32406B"/>
        </w:rPr>
        <w:t>. In 2022 and beyond, we estimate that approximately 2.6% of the U.S. population</w:t>
      </w:r>
      <w:r>
        <w:rPr>
          <w:rFonts w:ascii="Arial" w:cs="Arial" w:eastAsia="Arial" w:hAnsi="Arial"/>
          <w:sz w:val="18"/>
          <w:szCs w:val="18"/>
          <w:b w:val="1"/>
          <w:bCs w:val="1"/>
          <w:color w:val="32406B"/>
        </w:rPr>
        <w:t xml:space="preserve"> </w:t>
      </w:r>
      <w:r>
        <w:rPr>
          <w:rFonts w:ascii="Arial" w:cs="Arial" w:eastAsia="Arial" w:hAnsi="Arial"/>
          <w:sz w:val="18"/>
          <w:szCs w:val="18"/>
          <w:color w:val="32406B"/>
        </w:rPr>
        <w:t>12 years old and older will be infected with SARS-CoV-2. This infection rate is consistent with the annual incidence of influenza, which, according to the CDC, on an annual basis is between 3% and 11% of the U.S. population. A SARS-CoV-2 infection rate of approximately 2.6% would result in approximately 7.4 million infected individuals annually in the United States, or approximately 20,000 cases per day. In our market research, 26% of U.S. physicians selected mAbs as their primary treatment choice for patients infected with SARS-CoV-2 who are at moderate risk and within seven days of diagnosis. For high-risk patients, 47% of U.S. physicians selected mAbs as their primary treatment choice.</w:t>
      </w:r>
    </w:p>
    <w:p>
      <w:pPr>
        <w:spacing w:after="0" w:line="94" w:lineRule="exact"/>
        <w:rPr>
          <w:rFonts w:ascii="Arial" w:cs="Arial" w:eastAsia="Arial" w:hAnsi="Arial"/>
          <w:sz w:val="18"/>
          <w:szCs w:val="18"/>
          <w:color w:val="32406B"/>
        </w:rPr>
      </w:pPr>
    </w:p>
    <w:p>
      <w:pPr>
        <w:jc w:val="both"/>
        <w:ind w:left="1080" w:right="20" w:hanging="532"/>
        <w:spacing w:after="0" w:line="298" w:lineRule="auto"/>
        <w:tabs>
          <w:tab w:leader="none" w:pos="1080" w:val="left"/>
        </w:tabs>
        <w:numPr>
          <w:ilvl w:val="0"/>
          <w:numId w:val="90"/>
        </w:numPr>
        <w:rPr>
          <w:rFonts w:ascii="Arial" w:cs="Arial" w:eastAsia="Arial" w:hAnsi="Arial"/>
          <w:sz w:val="16"/>
          <w:szCs w:val="16"/>
          <w:color w:val="32406B"/>
        </w:rPr>
      </w:pPr>
      <w:r>
        <w:rPr>
          <w:rFonts w:ascii="Arial" w:cs="Arial" w:eastAsia="Arial" w:hAnsi="Arial"/>
          <w:sz w:val="16"/>
          <w:szCs w:val="16"/>
          <w:b w:val="1"/>
          <w:bCs w:val="1"/>
          <w:color w:val="32406B"/>
        </w:rPr>
        <w:t xml:space="preserve">Post-Exposure Prophylaxis: </w:t>
      </w:r>
      <w:r>
        <w:rPr>
          <w:rFonts w:ascii="Arial" w:cs="Arial" w:eastAsia="Arial" w:hAnsi="Arial"/>
          <w:sz w:val="16"/>
          <w:szCs w:val="16"/>
          <w:i w:val="1"/>
          <w:iCs w:val="1"/>
          <w:color w:val="32406B"/>
        </w:rPr>
        <w:t>Non-vaccinated patients with close exposure to a SARS-CoV-2-infected patient.</w:t>
      </w:r>
      <w:r>
        <w:rPr>
          <w:rFonts w:ascii="Arial" w:cs="Arial" w:eastAsia="Arial" w:hAnsi="Arial"/>
          <w:sz w:val="16"/>
          <w:szCs w:val="16"/>
          <w:b w:val="1"/>
          <w:bCs w:val="1"/>
          <w:color w:val="32406B"/>
        </w:rPr>
        <w:t xml:space="preserve"> </w:t>
      </w:r>
      <w:r>
        <w:rPr>
          <w:rFonts w:ascii="Arial" w:cs="Arial" w:eastAsia="Arial" w:hAnsi="Arial"/>
          <w:sz w:val="16"/>
          <w:szCs w:val="16"/>
          <w:color w:val="32406B"/>
        </w:rPr>
        <w:t>Determining the number of</w:t>
      </w:r>
      <w:r>
        <w:rPr>
          <w:rFonts w:ascii="Arial" w:cs="Arial" w:eastAsia="Arial" w:hAnsi="Arial"/>
          <w:sz w:val="16"/>
          <w:szCs w:val="16"/>
          <w:b w:val="1"/>
          <w:bCs w:val="1"/>
          <w:color w:val="32406B"/>
        </w:rPr>
        <w:t xml:space="preserve"> </w:t>
      </w:r>
      <w:r>
        <w:rPr>
          <w:rFonts w:ascii="Arial" w:cs="Arial" w:eastAsia="Arial" w:hAnsi="Arial"/>
          <w:sz w:val="16"/>
          <w:szCs w:val="16"/>
          <w:color w:val="32406B"/>
        </w:rPr>
        <w:t>people exposed by one infected person is difficult to estimate. As a proxy, we estimate that each infected person will expose at least one non-vaccinated person, on average. Therefore, the estimated 7.4 million infected patients would expose approximately 7.4 million non-vaccinated people annually. Our market research showed that 28% of U.S. physicians would recommend a mAb therapy for post-exposure prophylaxis compared to vaccines, antivirals, corticosteroids, other therapies or no therapy.</w:t>
      </w:r>
    </w:p>
    <w:p>
      <w:pPr>
        <w:spacing w:after="0" w:line="59" w:lineRule="exact"/>
        <w:rPr>
          <w:rFonts w:ascii="Arial" w:cs="Arial" w:eastAsia="Arial" w:hAnsi="Arial"/>
          <w:sz w:val="16"/>
          <w:szCs w:val="16"/>
          <w:color w:val="32406B"/>
        </w:rPr>
      </w:pPr>
    </w:p>
    <w:p>
      <w:pPr>
        <w:jc w:val="both"/>
        <w:ind w:left="1080" w:hanging="532"/>
        <w:spacing w:after="0" w:line="254" w:lineRule="auto"/>
        <w:tabs>
          <w:tab w:leader="none" w:pos="1080" w:val="left"/>
        </w:tabs>
        <w:numPr>
          <w:ilvl w:val="0"/>
          <w:numId w:val="90"/>
        </w:numPr>
        <w:rPr>
          <w:rFonts w:ascii="Arial" w:cs="Arial" w:eastAsia="Arial" w:hAnsi="Arial"/>
          <w:sz w:val="18"/>
          <w:szCs w:val="18"/>
          <w:color w:val="32406B"/>
        </w:rPr>
      </w:pPr>
      <w:r>
        <w:rPr>
          <w:rFonts w:ascii="Arial" w:cs="Arial" w:eastAsia="Arial" w:hAnsi="Arial"/>
          <w:sz w:val="18"/>
          <w:szCs w:val="18"/>
          <w:b w:val="1"/>
          <w:bCs w:val="1"/>
          <w:color w:val="32406B"/>
        </w:rPr>
        <w:t>Vaccine Supplement</w:t>
      </w:r>
      <w:r>
        <w:rPr>
          <w:rFonts w:ascii="Arial" w:cs="Arial" w:eastAsia="Arial" w:hAnsi="Arial"/>
          <w:sz w:val="18"/>
          <w:szCs w:val="18"/>
          <w:color w:val="32406B"/>
        </w:rPr>
        <w:t>:</w:t>
      </w:r>
      <w:r>
        <w:rPr>
          <w:rFonts w:ascii="Arial" w:cs="Arial" w:eastAsia="Arial" w:hAnsi="Arial"/>
          <w:sz w:val="18"/>
          <w:szCs w:val="18"/>
          <w:b w:val="1"/>
          <w:bCs w:val="1"/>
          <w:color w:val="32406B"/>
        </w:rPr>
        <w:t xml:space="preserve"> </w:t>
      </w:r>
      <w:r>
        <w:rPr>
          <w:rFonts w:ascii="Arial" w:cs="Arial" w:eastAsia="Arial" w:hAnsi="Arial"/>
          <w:sz w:val="18"/>
          <w:szCs w:val="18"/>
          <w:i w:val="1"/>
          <w:iCs w:val="1"/>
          <w:color w:val="32406B"/>
        </w:rPr>
        <w:t>Patients seeking to supplement their vaccine protection against SARS-CoV-2 and/or who are deterred by potential</w:t>
      </w:r>
      <w:r>
        <w:rPr>
          <w:rFonts w:ascii="Arial" w:cs="Arial" w:eastAsia="Arial" w:hAnsi="Arial"/>
          <w:sz w:val="18"/>
          <w:szCs w:val="18"/>
          <w:b w:val="1"/>
          <w:bCs w:val="1"/>
          <w:color w:val="32406B"/>
        </w:rPr>
        <w:t xml:space="preserve"> </w:t>
      </w:r>
      <w:r>
        <w:rPr>
          <w:rFonts w:ascii="Arial" w:cs="Arial" w:eastAsia="Arial" w:hAnsi="Arial"/>
          <w:sz w:val="18"/>
          <w:szCs w:val="18"/>
          <w:i w:val="1"/>
          <w:iCs w:val="1"/>
          <w:color w:val="32406B"/>
        </w:rPr>
        <w:t xml:space="preserve">booster doses due to vaccine side effects. </w:t>
      </w:r>
      <w:r>
        <w:rPr>
          <w:rFonts w:ascii="Arial" w:cs="Arial" w:eastAsia="Arial" w:hAnsi="Arial"/>
          <w:sz w:val="18"/>
          <w:szCs w:val="18"/>
          <w:color w:val="32406B"/>
        </w:rPr>
        <w:t>In our market research, U.S. physicians clearly indicated that they would consider using a</w:t>
      </w:r>
      <w:r>
        <w:rPr>
          <w:rFonts w:ascii="Arial" w:cs="Arial" w:eastAsia="Arial" w:hAnsi="Arial"/>
          <w:sz w:val="18"/>
          <w:szCs w:val="18"/>
          <w:i w:val="1"/>
          <w:iCs w:val="1"/>
          <w:color w:val="32406B"/>
        </w:rPr>
        <w:t xml:space="preserve"> </w:t>
      </w:r>
      <w:r>
        <w:rPr>
          <w:rFonts w:ascii="Arial" w:cs="Arial" w:eastAsia="Arial" w:hAnsi="Arial"/>
          <w:sz w:val="18"/>
          <w:szCs w:val="18"/>
          <w:color w:val="32406B"/>
        </w:rPr>
        <w:t>combination of vaccines and a mAb therapy in a variety of patient types, including in 28% to 68% of moderate- to high-risk patients with medium exposure risk and 49% to 81% of moderate- to high-risk patients with high exposure risk. Additionally, patients who experienced side effects during their initial vaccine series may choose a mAb therapy instead of a vaccine booster for waning immunity or protection against potential variants. To estimate the size of this segment, we assume that approximately 65% of patients would be fully vaccinated by the end of 2022 and that these vaccines are approximately 80% effective, which yields a vaccine protection rate of approximately 52%. In the United States, we estimate that there will be more than 150 million people in this segment who are not already counted in other segments.</w:t>
      </w:r>
    </w:p>
    <w:p>
      <w:pPr>
        <w:spacing w:after="0" w:line="93" w:lineRule="exact"/>
        <w:rPr>
          <w:rFonts w:ascii="Arial" w:cs="Arial" w:eastAsia="Arial" w:hAnsi="Arial"/>
          <w:sz w:val="18"/>
          <w:szCs w:val="18"/>
          <w:color w:val="32406B"/>
        </w:rPr>
      </w:pPr>
    </w:p>
    <w:p>
      <w:pPr>
        <w:jc w:val="both"/>
        <w:ind w:left="1080" w:hanging="532"/>
        <w:spacing w:after="0" w:line="255" w:lineRule="auto"/>
        <w:tabs>
          <w:tab w:leader="none" w:pos="1080" w:val="left"/>
        </w:tabs>
        <w:numPr>
          <w:ilvl w:val="0"/>
          <w:numId w:val="90"/>
        </w:numPr>
        <w:rPr>
          <w:rFonts w:ascii="Arial" w:cs="Arial" w:eastAsia="Arial" w:hAnsi="Arial"/>
          <w:sz w:val="18"/>
          <w:szCs w:val="18"/>
          <w:color w:val="32406B"/>
        </w:rPr>
      </w:pPr>
      <w:r>
        <w:rPr>
          <w:rFonts w:ascii="Arial" w:cs="Arial" w:eastAsia="Arial" w:hAnsi="Arial"/>
          <w:sz w:val="18"/>
          <w:szCs w:val="18"/>
          <w:b w:val="1"/>
          <w:bCs w:val="1"/>
          <w:color w:val="32406B"/>
        </w:rPr>
        <w:t xml:space="preserve">Pre-Exposure Prophylaxis: </w:t>
      </w:r>
      <w:r>
        <w:rPr>
          <w:rFonts w:ascii="Arial" w:cs="Arial" w:eastAsia="Arial" w:hAnsi="Arial"/>
          <w:sz w:val="18"/>
          <w:szCs w:val="18"/>
          <w:i w:val="1"/>
          <w:iCs w:val="1"/>
          <w:color w:val="32406B"/>
        </w:rPr>
        <w:t>This group represents the remainder of the population (i.e., those that were not counted in the three patient</w:t>
      </w:r>
      <w:r>
        <w:rPr>
          <w:rFonts w:ascii="Arial" w:cs="Arial" w:eastAsia="Arial" w:hAnsi="Arial"/>
          <w:sz w:val="18"/>
          <w:szCs w:val="18"/>
          <w:b w:val="1"/>
          <w:bCs w:val="1"/>
          <w:color w:val="32406B"/>
        </w:rPr>
        <w:t xml:space="preserve"> </w:t>
      </w:r>
      <w:r>
        <w:rPr>
          <w:rFonts w:ascii="Arial" w:cs="Arial" w:eastAsia="Arial" w:hAnsi="Arial"/>
          <w:sz w:val="18"/>
          <w:szCs w:val="18"/>
          <w:i w:val="1"/>
          <w:iCs w:val="1"/>
          <w:color w:val="32406B"/>
        </w:rPr>
        <w:t xml:space="preserve">segments described above). </w:t>
      </w:r>
      <w:r>
        <w:rPr>
          <w:rFonts w:ascii="Arial" w:cs="Arial" w:eastAsia="Arial" w:hAnsi="Arial"/>
          <w:sz w:val="18"/>
          <w:szCs w:val="18"/>
          <w:color w:val="32406B"/>
        </w:rPr>
        <w:t>In particular, this group includes non-vaccinated individuals as well certain vaccinated individuals for whom</w:t>
      </w:r>
      <w:r>
        <w:rPr>
          <w:rFonts w:ascii="Arial" w:cs="Arial" w:eastAsia="Arial" w:hAnsi="Arial"/>
          <w:sz w:val="18"/>
          <w:szCs w:val="18"/>
          <w:i w:val="1"/>
          <w:iCs w:val="1"/>
          <w:color w:val="32406B"/>
        </w:rPr>
        <w:t xml:space="preserve"> </w:t>
      </w:r>
      <w:r>
        <w:rPr>
          <w:rFonts w:ascii="Arial" w:cs="Arial" w:eastAsia="Arial" w:hAnsi="Arial"/>
          <w:sz w:val="18"/>
          <w:szCs w:val="18"/>
          <w:color w:val="32406B"/>
        </w:rPr>
        <w:t>vaccines are likely to provide suboptimal protection, such as those who are immunocompromised. In the United States, we estimate that this segment includes approximately 120 million individuals, of whom approximately eight million are immunocompromised. Immunocompromised individuals are considered high risk, and in our market research, U.S. physicians indicated that they would consider using a mAb therapy or a combination of a vaccine and a mAb therapy in 45% to 87% of high-risk patients, depending on their exposure risk.</w:t>
      </w:r>
    </w:p>
    <w:p>
      <w:pPr>
        <w:spacing w:after="0" w:line="19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Although we believe that COVID-19 will be marked by variant-driven oscillating waves of infections, our addressable market estimates assume a stable endemic year over year.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ADG20 Attributes vs. Competitive mAbs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We believe ADG20 has a unique combination of attributes that positions ADG20 to be a differentiated mAb for both the treatment and prevention of COVID-19.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138</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b w:val="1"/>
          <w:bCs w:val="1"/>
          <w:i w:val="1"/>
          <w:iCs w:val="1"/>
          <w:color w:val="32406B"/>
        </w:rPr>
        <w:t xml:space="preserve">Low Risk of Clinical Resistance. </w:t>
      </w:r>
      <w:r>
        <w:rPr>
          <w:rFonts w:ascii="Arial" w:cs="Arial" w:eastAsia="Arial" w:hAnsi="Arial"/>
          <w:sz w:val="16"/>
          <w:szCs w:val="16"/>
          <w:color w:val="32406B"/>
        </w:rPr>
        <w:t>The currently known SARS-CoV-2 variants of concern likely emerged in response to immune pressure exerted</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 xml:space="preserve">on variable amino acid residues such as K417 and E484, which are targeted by public antibodies commonly induced by natural infection. Because most of the mAbs currently in development were isolated from COVID-19 survivors and belong to one of the three classes of public RBD-directed antibodies, many of the clinical-stage mAbs show significant loss of potency against variants of concern. For example, casirivimab, bamlanivimab, etesevimab and regandivimab all show significant loss of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neutralizing potency against the Beta (B1.351), Gamma (P.1), Iota (B.1.526) and/or Epsilon (B.1.429) variants, which contain mutations at the key amino acid residues recognized by these antibodies. Furthermore, the EUA for bamlanivimab was recently revoked by the FDA due to the increase in SARS-CoV-2 variants resistant to this antibody, raising concerns of increased risk of treatment failure and distribution of a second agent, bamlanvimab/etesevimab, has been paused in the United States due to data showing that the combined frequency of two variants resistant to this product, the Gamma (P.1) and Beta (B.1.351) variants, now exceeds 11% in the United States and is trending upward. In contrast, ADG20 binds to conserved residues that are not readily targeted by public antibodies. This suggests that these residues are less likely to mutate than those recognized by other antibodies, which is supported by preliminary data demonstrating that mutations in the ADG20 binding site are currently present at extremely low frequency in circulating SARS-CoV-2 viruses and none of the variants of concern described to date contain mutations in the ADG20 binding site. Thus, ADG20 demonstrates neutralizing activity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against common circulating SARS-CoV-2 variants, including the Alpha (B.1.1.7), Beta (B1.351), Gamma (P.1) and Delta (B.1.617.2) variants of concern and additional variants of interest.</w:t>
      </w:r>
    </w:p>
    <w:p>
      <w:pPr>
        <w:spacing w:after="0" w:line="17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b w:val="1"/>
          <w:bCs w:val="1"/>
          <w:i w:val="1"/>
          <w:iCs w:val="1"/>
          <w:color w:val="32406B"/>
        </w:rPr>
        <w:t xml:space="preserve">Half-Life Extension. </w:t>
      </w:r>
      <w:r>
        <w:rPr>
          <w:rFonts w:ascii="Arial" w:cs="Arial" w:eastAsia="Arial" w:hAnsi="Arial"/>
          <w:sz w:val="17"/>
          <w:szCs w:val="17"/>
          <w:color w:val="32406B"/>
        </w:rPr>
        <w:t>ADG20 was engineered from its parent antibody, ADG2, with a modification in the Fc region that results in enhanced</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binding to FcRn at low pH levels. Enhanced binding to FcRn receptors at low pH levels improves FcRn-mediated antibody recycling, leading to an extended serum half-life in humans. The prolonged half-life for ADG20 is supported by preliminary pharmacokinetic data from the Phase 1 healthy volunteer study. Other antibodies that do not include half-life extensions, such as casirivimab/imdevimab, bamlanivimab/etesevimab and regdanvimab, will likely require frequent periodic administration to provide an extended duration of protection.</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b w:val="1"/>
          <w:bCs w:val="1"/>
          <w:i w:val="1"/>
          <w:iCs w:val="1"/>
          <w:color w:val="32406B"/>
        </w:rPr>
        <w:t xml:space="preserve">Effector Function. </w:t>
      </w:r>
      <w:r>
        <w:rPr>
          <w:rFonts w:ascii="Arial" w:cs="Arial" w:eastAsia="Arial" w:hAnsi="Arial"/>
          <w:sz w:val="16"/>
          <w:szCs w:val="16"/>
          <w:color w:val="32406B"/>
        </w:rPr>
        <w:t>Antibodies with Fc-mediated immune effector function summon immune cells and other immune mediators to the site of</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 xml:space="preserve">infection to help destroy infected cells and clear the infection. Preclinical </w:t>
      </w:r>
      <w:r>
        <w:rPr>
          <w:rFonts w:ascii="Arial" w:cs="Arial" w:eastAsia="Arial" w:hAnsi="Arial"/>
          <w:sz w:val="16"/>
          <w:szCs w:val="16"/>
          <w:i w:val="1"/>
          <w:iCs w:val="1"/>
          <w:color w:val="32406B"/>
        </w:rPr>
        <w:t>in vivo</w:t>
      </w:r>
      <w:r>
        <w:rPr>
          <w:rFonts w:ascii="Arial" w:cs="Arial" w:eastAsia="Arial" w:hAnsi="Arial"/>
          <w:sz w:val="16"/>
          <w:szCs w:val="16"/>
          <w:color w:val="32406B"/>
        </w:rPr>
        <w:t xml:space="preserve"> studies for other SARS-CoV-2 mAbs also suggest that Fc effector functions help to modulate protective immune responses. Notably, etesevimab and cilgavimab/tixagevimab include Fc modifications that reduce innate immune effector functions. In contrast, ADG20 was engineered to retain Fc-mediated innate immune effector activity, including ADCC and ADCP.</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32406B"/>
        </w:rPr>
        <w:t xml:space="preserve">Potency. </w:t>
      </w:r>
      <w:r>
        <w:rPr>
          <w:rFonts w:ascii="Arial" w:cs="Arial" w:eastAsia="Arial" w:hAnsi="Arial"/>
          <w:sz w:val="18"/>
          <w:szCs w:val="18"/>
          <w:color w:val="32406B"/>
        </w:rPr>
        <w:t>Our definition for potent</w:t>
      </w:r>
      <w:r>
        <w:rPr>
          <w:rFonts w:ascii="Arial" w:cs="Arial" w:eastAsia="Arial" w:hAnsi="Arial"/>
          <w:sz w:val="18"/>
          <w:szCs w:val="18"/>
          <w:b w:val="1"/>
          <w:bCs w:val="1"/>
          <w:i w:val="1"/>
          <w:iCs w:val="1"/>
          <w:color w:val="32406B"/>
        </w:rPr>
        <w:t xml:space="preserve"> </w:t>
      </w:r>
      <w:r>
        <w:rPr>
          <w:rFonts w:ascii="Arial" w:cs="Arial" w:eastAsia="Arial" w:hAnsi="Arial"/>
          <w:sz w:val="18"/>
          <w:szCs w:val="18"/>
          <w:i w:val="1"/>
          <w:iCs w:val="1"/>
          <w:color w:val="32406B"/>
        </w:rPr>
        <w:t>in vitro</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neutralization of SARS-CoV-2 is demonstration of an</w:t>
      </w:r>
      <w:r>
        <w:rPr>
          <w:rFonts w:ascii="Arial" w:cs="Arial" w:eastAsia="Arial" w:hAnsi="Arial"/>
          <w:sz w:val="18"/>
          <w:szCs w:val="18"/>
          <w:b w:val="1"/>
          <w:bCs w:val="1"/>
          <w:i w:val="1"/>
          <w:iCs w:val="1"/>
          <w:color w:val="32406B"/>
        </w:rPr>
        <w:t xml:space="preserve"> </w:t>
      </w:r>
      <w:r>
        <w:rPr>
          <w:rFonts w:ascii="Arial" w:cs="Arial" w:eastAsia="Arial" w:hAnsi="Arial"/>
          <w:sz w:val="18"/>
          <w:szCs w:val="18"/>
          <w:i w:val="1"/>
          <w:iCs w:val="1"/>
          <w:color w:val="32406B"/>
        </w:rPr>
        <w:t>in vitro</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IC</w:t>
      </w:r>
      <w:r>
        <w:rPr>
          <w:rFonts w:ascii="Arial" w:cs="Arial" w:eastAsia="Arial" w:hAnsi="Arial"/>
          <w:sz w:val="15"/>
          <w:szCs w:val="15"/>
          <w:color w:val="32406B"/>
        </w:rPr>
        <w:t>50</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approximately equal to 0.01</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mcg/mL or less against a range of authentic SARS-CoV-2 variants, including Alpha (B.1.1.7), Beta (B1.351), Gamma (P.1) and Delta (B.1.617.2). Of the clinical-stage and authorized mAbs, only ADG20 and AZD1061 have this characteristic.</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b w:val="1"/>
          <w:bCs w:val="1"/>
          <w:i w:val="1"/>
          <w:iCs w:val="1"/>
          <w:color w:val="32406B"/>
        </w:rPr>
        <w:t xml:space="preserve">Convenient Dosing Regimen. </w:t>
      </w:r>
      <w:r>
        <w:rPr>
          <w:rFonts w:ascii="Arial" w:cs="Arial" w:eastAsia="Arial" w:hAnsi="Arial"/>
          <w:sz w:val="18"/>
          <w:szCs w:val="18"/>
          <w:color w:val="32406B"/>
        </w:rPr>
        <w:t>Given the high potency, low viscosity and high concentration formulation of ADG20, we are developing ADG20 as</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a single-dose IM injection for both the treatment and prevention of COVID-19. To our knowledge, the dosing regimens for currently available or clinical-stage SARS-CoV-2 mAbs require either IV infusion or multiple subcutaneous or intramuscular injections for the treatment and/or prevention of COVID-19.</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b w:val="1"/>
          <w:bCs w:val="1"/>
          <w:i w:val="1"/>
          <w:iCs w:val="1"/>
          <w:color w:val="32406B"/>
        </w:rPr>
        <w:t xml:space="preserve">Breadth. </w:t>
      </w:r>
      <w:r>
        <w:rPr>
          <w:rFonts w:ascii="Arial" w:cs="Arial" w:eastAsia="Arial" w:hAnsi="Arial"/>
          <w:sz w:val="17"/>
          <w:szCs w:val="17"/>
          <w:color w:val="32406B"/>
        </w:rPr>
        <w:t>ADG20 has demonstrated broad neutralizing activity against SARS-CoV-2 and other SARS-like viruses that infect human cells through</w:t>
      </w:r>
      <w:r>
        <w:rPr>
          <w:rFonts w:ascii="Arial" w:cs="Arial" w:eastAsia="Arial" w:hAnsi="Arial"/>
          <w:sz w:val="17"/>
          <w:szCs w:val="17"/>
          <w:b w:val="1"/>
          <w:bCs w:val="1"/>
          <w:i w:val="1"/>
          <w:iCs w:val="1"/>
          <w:color w:val="32406B"/>
        </w:rPr>
        <w:t xml:space="preserve"> </w:t>
      </w:r>
      <w:r>
        <w:rPr>
          <w:rFonts w:ascii="Arial" w:cs="Arial" w:eastAsia="Arial" w:hAnsi="Arial"/>
          <w:sz w:val="17"/>
          <w:szCs w:val="17"/>
          <w:color w:val="32406B"/>
        </w:rPr>
        <w:t>the same hACE2 receptor pathway as SARS-CoV-2. To our knowledge, the only other mAb in late-stage clinical development that has demonstrated activity against additional SARS-like viruses is sotrovimab, but with lower potency compared to ADG20.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139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ADG20 Attributes vs. COVID Oral Antivirals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We believe ADG20 has several advantages over COVID oral antivirals in development for treatment and post-exposure prophylaxis settings. Oral antivirals require patients to take several doses over several days, whereas ADG20 has the potential to provide clinical benefit with a single IM injection in both the treatment and post-exposure prophylaxis settings. Oral antivirals require the patient to receive, fill and pay for the prescription via a retail or specialty pharmacy, whereas ADG20 is not expected to require a prescription if given in a physician’s office, minimizing delays in administration of therapy.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Go-to-Market Strategy</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We believe the commercialization of ADG20 will involve direct 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We have begun discussions with some of these entities and will continue to do so as we progress ADG20 through a potential EUA and commercialization. In other markets, such as Latin America, Asia-Pacific, including China, and Middle Eastern and African countries, we intend to commercialize ADG20 through partnerships.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Additional Product Candidates Beyond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2297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As illustrated in the graphic above, we are developing additional product candidates, such as ADG10, for potential use in combination with ADG20 for the treatment and prevention of COVID-19 and have initiated discovery programs focused on preventative agents for additional coronaviruses as well as seasonal and pandemic influenza, which are discussed in greater detail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Additional Broadly Neutralizing Antibodies in Development</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envision additional product development opportunities emerging from our development of ADG20 for the treatment and prevention of COVID-19. We are initiating IND-enabling studies with ADG10, an additional broadly neutralizing antibody for potential use in combination with ADG20 for COVID-19. We believe the incorporation of a second broadly neutralizing antibody that targets a distinct viral epitope from the epitope targeted by ADG20 will ensure long-lasting product activity for COVID-19 as new variants of SARS-CoV-2 arise as well as for future outbreaks of disease that may arise from additional SARS-like viruses with pandemic potential. We anticipate submitting an IND to the FDA in early 2022. If cleared, we anticipate initiating first-in-human clinical development in the first quarter of 2022.</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140</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 xml:space="preserve">A number of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studies, including assessments of binding affinity and neutralization potency, have been conducted with ADG10 and ADG1, the parent molecule of ADG10. ADG1 is an affinity-matured progeny of ADI-55689, an antibody that was isolated from a survivor of the 2003 SARS outbreak along with the parent molecule of ADG2/ADG20. Affinity maturation increased ADG1 binding affinity to the SARS-CoV-2 S protein and neutralization potency against SARS-CoV-2 by as much as 85-fold and 40-fold, respectively. ADG1 binds with high affinity to the RBD of the spike proteins of multiple ACE-2 targeting sarbecoviruses and has been shown to neutralize multiple members of this group of SARS-like viruses </w:t>
      </w:r>
      <w:r>
        <w:rPr>
          <w:rFonts w:ascii="Arial" w:cs="Arial" w:eastAsia="Arial" w:hAnsi="Arial"/>
          <w:sz w:val="16"/>
          <w:szCs w:val="16"/>
          <w:i w:val="1"/>
          <w:iCs w:val="1"/>
          <w:color w:val="32406B"/>
        </w:rPr>
        <w:t>in vitro</w:t>
      </w:r>
      <w:r>
        <w:rPr>
          <w:rFonts w:ascii="Arial" w:cs="Arial" w:eastAsia="Arial" w:hAnsi="Arial"/>
          <w:sz w:val="16"/>
          <w:szCs w:val="16"/>
          <w:color w:val="32406B"/>
        </w:rPr>
        <w:t>. To create ADG10, the same Fc region modification included in ADG20 that was designed to extend half-life was introduced into ADG1.</w:t>
      </w:r>
    </w:p>
    <w:p>
      <w:pPr>
        <w:spacing w:after="0" w:line="16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7"/>
          <w:szCs w:val="17"/>
          <w:color w:val="32406B"/>
        </w:rPr>
        <w:t>Similar to ADG2, ADG1 possesses broad activity and binds with high affinity to a diverse set of RBD molecules from naturally circulating SARS-CoV-2 variants and related sarbecoviruses. ADG10 has demonstrated broad neutralizing activity against authentic SARS-CoV-2 viruses, including the Victoria virus strain and the Alpha (B.1.1.7), Beta (B.1.351), Gamma (P.I) and Delta (B.1.617.2) variants. As shown in the table below, ADG10 neutralized all five viruses tested, as demonstrated by the low IC</w:t>
      </w:r>
      <w:r>
        <w:rPr>
          <w:rFonts w:ascii="Arial" w:cs="Arial" w:eastAsia="Arial" w:hAnsi="Arial"/>
          <w:sz w:val="14"/>
          <w:szCs w:val="14"/>
          <w:color w:val="32406B"/>
        </w:rPr>
        <w:t>50</w:t>
      </w:r>
      <w:r>
        <w:rPr>
          <w:rFonts w:ascii="Arial" w:cs="Arial" w:eastAsia="Arial" w:hAnsi="Arial"/>
          <w:sz w:val="17"/>
          <w:szCs w:val="17"/>
          <w:color w:val="32406B"/>
        </w:rPr>
        <w:t xml:space="preserve"> values and 100% neutralization plateaus achieved.</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ADG10 Displays Neutralizing Activity Against SARS-CoV-2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32406B"/>
              </w:rPr>
              <w:t>IC</w:t>
            </w:r>
            <w:r>
              <w:rPr>
                <w:rFonts w:ascii="Arial" w:cs="Arial" w:eastAsia="Arial" w:hAnsi="Arial"/>
                <w:sz w:val="12"/>
                <w:szCs w:val="12"/>
                <w:b w:val="1"/>
                <w:bCs w:val="1"/>
                <w:color w:val="32406B"/>
              </w:rPr>
              <w:t>50</w:t>
            </w:r>
            <w:r>
              <w:rPr>
                <w:rFonts w:ascii="Arial" w:cs="Arial" w:eastAsia="Arial" w:hAnsi="Arial"/>
                <w:sz w:val="14"/>
                <w:szCs w:val="14"/>
                <w:b w:val="1"/>
                <w:bCs w:val="1"/>
                <w:color w:val="32406B"/>
              </w:rPr>
              <w:t xml:space="preserve"> (mcg/mL)</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32406B"/>
              </w:rPr>
              <w:t>Neutralization Plateau (%)</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32406B"/>
                <w:w w:val="93"/>
              </w:rPr>
              <w:t>Victoria</w:t>
            </w:r>
          </w:p>
        </w:tc>
        <w:tc>
          <w:tcPr>
            <w:tcW w:w="5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32406B"/>
              </w:rPr>
              <w:t>Alpha</w:t>
            </w:r>
          </w:p>
        </w:tc>
        <w:tc>
          <w:tcPr>
            <w:tcW w:w="22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32406B"/>
              </w:rPr>
              <w:t>Beta</w:t>
            </w: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32406B"/>
              </w:rPr>
              <w:t>Gamma</w:t>
            </w:r>
          </w:p>
        </w:tc>
        <w:tc>
          <w:tcPr>
            <w:tcW w:w="5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32406B"/>
              </w:rPr>
              <w:t>Delta</w:t>
            </w:r>
          </w:p>
        </w:tc>
        <w:tc>
          <w:tcPr>
            <w:tcW w:w="280" w:type="dxa"/>
            <w:vAlign w:val="bottom"/>
          </w:tcPr>
          <w:p>
            <w:pPr>
              <w:spacing w:after="0"/>
              <w:rPr>
                <w:sz w:val="10"/>
                <w:szCs w:val="10"/>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w w:val="93"/>
              </w:rPr>
              <w:t>Victoria</w:t>
            </w: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32406B"/>
              </w:rPr>
              <w:t>Alpha</w:t>
            </w:r>
          </w:p>
        </w:tc>
        <w:tc>
          <w:tcPr>
            <w:tcW w:w="7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32406B"/>
              </w:rPr>
              <w:t>Beta</w:t>
            </w: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32406B"/>
              </w:rPr>
              <w:t>Gamma</w:t>
            </w:r>
          </w:p>
        </w:tc>
        <w:tc>
          <w:tcPr>
            <w:tcW w:w="5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32406B"/>
              </w:rPr>
              <w:t>Delta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32406B"/>
              </w:rPr>
              <w:t>B.1.1.7</w:t>
            </w:r>
          </w:p>
        </w:tc>
        <w:tc>
          <w:tcPr>
            <w:tcW w:w="2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32406B"/>
                <w:w w:val="89"/>
              </w:rPr>
              <w:t>B.1.351</w:t>
            </w: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32406B"/>
              </w:rPr>
              <w:t>P.1</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32406B"/>
                <w:w w:val="88"/>
              </w:rPr>
              <w:t>B.1.617.2</w:t>
            </w:r>
          </w:p>
        </w:tc>
        <w:tc>
          <w:tcPr>
            <w:tcW w:w="760" w:type="dxa"/>
            <w:vAlign w:val="bottom"/>
            <w:gridSpan w:val="2"/>
            <w:vMerge w:val="continue"/>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32406B"/>
                <w:w w:val="92"/>
              </w:rPr>
              <w:t>B.1.1.7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32406B"/>
                <w:w w:val="89"/>
              </w:rPr>
              <w:t>B.1.351</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85"/>
              </w:rPr>
              <w:t>P.1</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2406B"/>
                <w:w w:val="88"/>
              </w:rPr>
              <w:t>B.1.617.2</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32406B"/>
              </w:rPr>
              <w:t>ADG10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0.006</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32406B"/>
                <w:w w:val="88"/>
              </w:rPr>
              <w:t>0.010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97"/>
              </w:rPr>
              <w:t>0.011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0.003</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0.026</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neutralization potency and breadth of ADG10 was further evaluated against a panel of 64 SARS-CoV-2 pseudovirus variants incorporating single or double amino acid spike substitutions or spike proteins encoding the full sets of mutations observed in emerging variants of concern and variants of interest, including the Epsilon (B.1.427/429), Iota (B.1.526) and Kappa (B.1.617.1) variants. We utilized the non-clinical and pre-clinical services program offered by the National Institute of Allergy and Infectious Disease to generate these data. Similar to ADG20, ADG10 maintained neutralization activity across all variants tested with IC</w:t>
      </w:r>
      <w:r>
        <w:rPr>
          <w:rFonts w:ascii="Arial" w:cs="Arial" w:eastAsia="Arial" w:hAnsi="Arial"/>
          <w:sz w:val="15"/>
          <w:szCs w:val="15"/>
          <w:color w:val="32406B"/>
        </w:rPr>
        <w:t>50</w:t>
      </w:r>
      <w:r>
        <w:rPr>
          <w:rFonts w:ascii="Arial" w:cs="Arial" w:eastAsia="Arial" w:hAnsi="Arial"/>
          <w:sz w:val="18"/>
          <w:szCs w:val="18"/>
          <w:color w:val="32406B"/>
        </w:rPr>
        <w:t xml:space="preserve"> values within approximately 0.3- to 4-fold relative to the D614G reference strain, as shown in the graphic below.</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ADG10 Displayed Neutralization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21170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141</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Additional Programs in Discovery</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We believe that the robust antibody discovery and development capabilities that have enabled our expedited advancement of ADG20 into clinical trials may also be used to develop therapeutic or preventative options for other respiratory viral infections, such as seasonal and pandemic influenza. Broadly neutralizing antibodies with extended half-life have the potential to be used directly for the prevention of respiratory viral infection and disease.</w:t>
      </w:r>
    </w:p>
    <w:p>
      <w:pPr>
        <w:spacing w:after="0" w:line="14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In addition, the epitopes targeted by broadly neutralizing antibodies can be used as templates for the rational design of vaccine immunogens that elicit similar types of antibodies. In collaboration with an academic partner, we have initiated work on the design of coronavirus vaccine antigens that focus the antibody response on highly conserved epitopes defined by ADG10, ADG20 and other broadly neutralizing antibodies discovered by us and others. We have formulated a strategy to discover and engineer potent, broadly neutralizing antibodies targeting certain regions of the influenza virus surface protein, with the goal of generating product candidates with the potential to provide protection against both seasonal and pandemic influenza.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Manufacturing Strategy</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We do not currently own or operate any manufacturing facilities and have invested significant resources to develop and scale up a suitable manufacturing process for ADG20 in partnership with a contract manufacturer, WuXi, with whom we have been working since our inception. With WuXi, we have developed a high yield, industry standard mAb drug substance manufacturing process suitable for large-scale manufacturing, as well as an industry standard sterile liquid drug product manufacturing process and formulation that enables IM delivery of ADG20. Currently, the ADG20 drug substance is produced using a recombinant Chinese Hamster Ovary, or CHO, commercial cell line, fed-batch suspension cell culture and a chromatography column-based purification process. ADG20 drug substance has been successfully manufactured at commercial scale and with acceptable yields in the planned launch facility at WuXi. We plan to implement the industry standard sterile liquid drug product manufacturing process in a WuXi commercial facility prior to the submission of our EUA application.</w:t>
      </w:r>
    </w:p>
    <w:p>
      <w:pPr>
        <w:spacing w:after="0" w:line="17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We have established long-term master services agreements with WuXi, pursuant to which we purchase drug substance for both clinical and commercial supply. We may terminate the master services agreements at any time for convenience in accordance with the terms of the agreements, including fulfilling our obligation to make full payment for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 We have also established a cell license agreement with WuXi that allows for the transfer and use of the commercial cell line currently used in the manufacture of ADG20 drug substance at WuXi. This license enables cell line and manufacturing process transfer to additional contract manufacturers. We are obligated to pay WuXi royalties in the range of 0.3% to 0.5% based on our net sales of any products covered by the license, unless we use WuXi to manufacture all of our commercial supplies, and we may buy out our royalty obligations by making a one-time payment of $15.0 million to WuXi at our option. Royalties are due on a licensed product-by-licensed product basis commencing on the date of the first commercial sale of the applicable product and continue for so long as we commercialize licensed products or until we exercise our option to buy out the royalty obligations.</w:t>
      </w:r>
    </w:p>
    <w:p>
      <w:pPr>
        <w:spacing w:after="0" w:line="17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While we expect to continue to devote significant resources to the process development and optimization of the manufacture of ADG20 and its scale up, we believe the manufacturing processes for mAbs such as ADG20 are well established and should not create meaningful impediments to either clinical development or commercial launch. However, within the context of the global pandemic, sufficient capacity for commercial scale manufacturing has been constrained on a worldwide basis. We continue to identify additional drug substance and drug product contract manufacturers to ensure that we will have sufficient capacity as well as redundancy within our supply chain to avoid product shortages in the future. We are actively pursuing a second source contract manufacturer to add capacity and redundancy and to meet anticipated demand, if ADG20 is authorized or approved. While any reduction or halt in the supply of drug substance or drug product could limit our ability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142</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32406B"/>
        </w:rPr>
        <w:t>develop our product candidates until a replacement contract manufacturer is found and qualified, we believe that we have sufficient clinical supply of ADG20 to support our current and planned clinical trials and to fulfill our initial commercial launch needs upon either receipt of an EUA or BLA approval. We will also continue to apply mitigation strategies to ensure minimal disruption to our manufacturing supply due to global raw material supply chain shortages.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Our Relationship with Adimab</w:t>
      </w:r>
    </w:p>
    <w:p>
      <w:pPr>
        <w:spacing w:after="0" w:line="12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We were founded in June 2020 by Adimab to focus initially on the development of antibodies for both the treatment and prevention of COVID-19. Adimab is a leading provider of antibody discovery, engineering and optimization services and has established an extensive presence in the drug discovery industry. Since its founding in 2007, Adimab has partnered with over 80 pharmaceutical and biotechnology companies, including Biogen, GlaxoSmithKline, Merck, Regeneron and Takeda, and the Adimab platform has been used in more than 385 antibody discovery and optimization programs, more than 40 of which have advanced into clinical trials, including five programs in pivotal clinical trials. Five percent of all antibodies that entered clinical trials in 2020 originated from Adimab technology. Adimab has extensive domain expertise in B-cell immunology, and its prior discovery initiatives include targeting viral infections such as Ebola, Zika, RSV, hantavirus and yellow fever. We are leveraging this expertise to expedite our discovery and development activities and anticipate continued interaction with Adimab related to antibody discovery services.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are party to an assignment and license agreement with Adimab under which Adimab assigned to us its rights to all existing coronavirus antibodies controlled by it and their derivatives, including ADG20. See “—Licensing, Collaborations and Partnerships—Assignment and License Agreement with Adimab.” In addition,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Adagio, Adagio will have the exclusive option to require Adimab to assign us its rights in any such antibody and to grant us certain licenses. See “—Licensing, Collaborations and Partnerships—Collaboration Agreement with Adimab.”</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Licensing, Collaborations and Partnerships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Assignment and License Agreement with Adimab</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In July 2020, we entered into an assignment and license agreement with Adimab, or the Adimab Assignment Agreement, with respect to discovery and optimization of coronavirus-specific antibodies, including COVID-19 and SARS. Under the Adimab Assignment Agreement, Adimab assigned to us its rights to all existing coronavirus antibodies controlled by it and their derivatives, patents claiming such antibodies, know-how related to such antibodies, and biological and chemical materials specifically related to such antibodies. Adimab also granted us a non-exclusive, worldwide, royalty-bearing, sublicensable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Adimab cannot grant any third party any license or right under any patent claiming our coronavirus antibodies and cannot deliver our coronavirus antibodies to third parties; however, we have limited recourse in the event of accidental disclosures.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are obligated to use commercially reasonable efforts to achieve specified development and regulatory milestones for products in certain major markets and to commercialize a product in any country in which we obtain marketing approval. We are obligated to pay Adimab quarterly for its services performed under the agreement at a specified full-time equivalent rate.</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July 2020, in consideration for the rights assigned and license conveyed under the Adimab Assignment Agreement, we issued 5,000,000 shares of our Series A preferred stock, then having a fair value of $40.0 million,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143</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4" w:lineRule="auto"/>
        <w:rPr>
          <w:sz w:val="20"/>
          <w:szCs w:val="20"/>
          <w:color w:val="auto"/>
        </w:rPr>
      </w:pPr>
      <w:r>
        <w:rPr>
          <w:rFonts w:ascii="Arial" w:cs="Arial" w:eastAsia="Arial" w:hAnsi="Arial"/>
          <w:sz w:val="16"/>
          <w:szCs w:val="16"/>
          <w:color w:val="32406B"/>
        </w:rPr>
        <w:t>to Adimab. In addition, under the Adimab Assignment Agreement,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Through August 2, 2021, we had made aggregate milestone payments of $3.5 million to Adimab under the Adimab Assignment Agreement. We are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w:t>
      </w:r>
    </w:p>
    <w:p>
      <w:pPr>
        <w:spacing w:after="0" w:line="2" w:lineRule="exact"/>
        <w:rPr>
          <w:sz w:val="20"/>
          <w:szCs w:val="20"/>
          <w:color w:val="auto"/>
        </w:rPr>
      </w:pPr>
    </w:p>
    <w:p>
      <w:pPr>
        <w:jc w:val="both"/>
        <w:ind w:left="120" w:hanging="4"/>
        <w:spacing w:after="0" w:line="255" w:lineRule="auto"/>
        <w:tabs>
          <w:tab w:leader="none" w:pos="393" w:val="left"/>
        </w:tabs>
        <w:numPr>
          <w:ilvl w:val="0"/>
          <w:numId w:val="91"/>
        </w:numPr>
        <w:rPr>
          <w:rFonts w:ascii="Arial" w:cs="Arial" w:eastAsia="Arial" w:hAnsi="Arial"/>
          <w:sz w:val="18"/>
          <w:szCs w:val="18"/>
          <w:color w:val="32406B"/>
        </w:rPr>
      </w:pPr>
      <w:r>
        <w:rPr>
          <w:rFonts w:ascii="Arial" w:cs="Arial" w:eastAsia="Arial" w:hAnsi="Arial"/>
          <w:sz w:val="18"/>
          <w:szCs w:val="18"/>
          <w:color w:val="32406B"/>
        </w:rPr>
        <w:t>the expiration of the last valid claim of any patent in such country that was assigned to us under the Adimab Assignment Agreement or that claims priority to any such patent. If we commercialize any products as a diagnostic device (other than a companion diagnostic device) or as a research reagent, we must negotiate reasonable financial terms for such products.</w:t>
      </w:r>
    </w:p>
    <w:p>
      <w:pPr>
        <w:spacing w:after="0" w:line="190"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32406B"/>
        </w:rPr>
        <w:t>The Adimab Assignment Agreement will expire, unless earlier terminated, on the expiration of the last-to-expire royalty term. We have the right to terminate the Adimab Assignment Agreement at any time upon advance written notice to Adimab. In addition, subject to certain conditions, either we or Adimab may terminate the Adimab Assignment Agreement if the other party commits a material breach of the agreement and fails to cure such breach within a specified cure period after written notice is provided, except that after the initiation of the first clinical trial of a Product, Adimab may only terminate the agreement if we materially breach, and do not cure, our diligence obligation or a payment obligation. Upon expiration of the Adimab Assignment Agreement, the license becomes royalty-free, irrevocable and perpetual. Upon termination of the Adimab Assignment Agreement, all licenses and rights granted by either party will terminate and, in the case of our termination for convenience or Adimab’s termination for our material breach, we are required to assign to Adimab all right, title and interest to the patents assigned by Adimab to us or that claim priority to such patents.</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Through August 2, 2021, we had made aggregate payments of $4.5 million to Adimab under the Adimab Assignment Agreement, inclusive of the milestone payments.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Collaboration Agreement with Adimab</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If Adimab is unable to generate antibodies directed against a target selected by us, then we may replace such target.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or the Evaluation Term. We granted Adimab a non-exclusive, non-sublicensable license to certain of our patents and intellectual property solely to perform Adimab’s responsibilities under the research plans. Under the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will assign to us all right, title and interest in the antibodies of the optioned research program and will grant us a worldwide, royalty-free, fully paid-up, non-exclusive, sublicensable license under the Adimab platform technology to research, develop, make, use, and sell the antibodies for which we have exercised our options and products containing or comprising those antibodies.</w:t>
      </w:r>
    </w:p>
    <w:p>
      <w:pPr>
        <w:spacing w:after="0" w:line="16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Under the Adimab Collaboration Agreement, we are obligated to use commercially reasonable efforts to develop, seek marketing approval for, and commercialize one product that contains an antibody discovered in each research program for which we exercise our option to obtain licenses and assignments.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144</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32406B"/>
        </w:rPr>
        <w:t>We are obligated to pay Adimab a quarterly fee of $1.3 million, which obligation may be cancelled at our option at any time. For so long as we are paying such quarterly fee (or earlier (i) if we experience a change of control after the third anniversary of the Adimab Collaboration Agreement or</w:t>
      </w:r>
    </w:p>
    <w:p>
      <w:pPr>
        <w:jc w:val="both"/>
        <w:ind w:left="120" w:right="20" w:hanging="4"/>
        <w:spacing w:after="0" w:line="252" w:lineRule="auto"/>
        <w:tabs>
          <w:tab w:leader="none" w:pos="390" w:val="left"/>
        </w:tabs>
        <w:numPr>
          <w:ilvl w:val="0"/>
          <w:numId w:val="92"/>
        </w:numPr>
        <w:rPr>
          <w:rFonts w:ascii="Arial" w:cs="Arial" w:eastAsia="Arial" w:hAnsi="Arial"/>
          <w:sz w:val="18"/>
          <w:szCs w:val="18"/>
          <w:color w:val="32406B"/>
        </w:rPr>
      </w:pPr>
      <w:r>
        <w:rPr>
          <w:rFonts w:ascii="Arial" w:cs="Arial" w:eastAsia="Arial" w:hAnsi="Arial"/>
          <w:sz w:val="18"/>
          <w:szCs w:val="18"/>
          <w:color w:val="32406B"/>
        </w:rPr>
        <w:t>Adimab owns less than a specified percentage of our equity), Adimab and its affiliates will not assist or direct certain third parties to discover or optimize antibodies that are intended to bind to coronaviruses or influenza viruses. We may also elect to decrease the scope of Adimab’s exclusivity obligations and obtain a corresponding decrease in the quarterly fee.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9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cure periods. Following termination, we are prohibited from (i) researching, developing, manufacturing or commercializing, any products containing antibodies discovered under the agreement, (ii) practicing, licensing, assigning, granting options to, or otherwise covenanting away rights to the foregoing products, and (iii) licensing or otherwise granting covenants not to sue third parties for the foregoing products.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Through August 2, 2021, we had made no payments to Adimab under the Adimab Collaboration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Cell Line License Agreement with WuXi</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We are also party to a Cell Line License Agreement with WuXi, entered into as of December 2, 2020. See “Management’s Discussion and Analysis of Financial Condition and Results of Operations—Contractual Obligations and Commitments” and “—Manufacturing Strategy.”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License Agreement with Biocon Biologics Limited</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In July 2021, we entered into a license agreement with Biocon to combat the ongoing COVID-19 crisis in southern Asia. Under the license agreement, we granted Biocon exclusive rights to manufacture and commercialize an antibody treatment in India and additional select emerging markets based on the commercial process developed for ADG20. As part of the agreement, Biocon will be granted access to the data from our ongoing Phase 2/3 ADG20 clinical trials and access to our anticipated EUA package, as well as regulatory submissions, to support approval or emergency authorization in India and other select emerging markets.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145</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Competition</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preclinical testing, conducting clinical trials, manufacturing, obtaining regulatory approvals and marketing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18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We face competition from segments of the pharmaceutical, biotechnology and other related markets that pursue the development of antibody and small molecule antivirals targeting COVID-19. Companies that have authorized or late-stage COVID-19 antibody-based programs include AstraZeneca plc, Brii Biosciences Limited, Celltrion Healthcare Co, Ltd., Eli Lilly and Co, Regeneron Pharmaceuticals, Inc., SAb Biotherapeutics, Inc. and Vir Biotechnology, Inc. in collaboration with GlaxoSmithKline. In addition, we may face competition from many established pharmaceutical companies focused on developing oral antivirals for the treatment of COVID-19. Beyond antibody and small molecule antiviral treatments, we also face competition from SARS-CoV-2 vaccines that are either available under EUA, approved or in development for the prevention of COVID-19.</w:t>
      </w:r>
    </w:p>
    <w:p>
      <w:pPr>
        <w:spacing w:after="0" w:line="164"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our product candidates. Some of our competitors have already obtained EUAs from the FDA for the treatment of mild to moderate COVID-19 in high risk patients, and others in the future may obtain FDA or other regulatory approval or authorization more rapidly than we may, which could result in our competitors establishing a strong market position before we are able to enter the market. The key competitive factors affecting the success of our product candidates, if approved, are likely to be their efficacy, safety, convenience, price and the availability of reimbursement from government and other third-party payors.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Intellectual Property</w:t>
      </w:r>
    </w:p>
    <w:p>
      <w:pPr>
        <w:spacing w:after="0" w:line="12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Our commercial success depends in part on our ability to obtain and maintain patent and other proprietary protection for commercially important technology,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146</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32406B"/>
        </w:rPr>
        <w:t>any patents that may be granted to us in the future will be commercially useful in protecting our commercial products and methods of manufacturing the same. Although we own a number of pending patent applications that have not yet issued as patents, we do not own or license any issued patents with claims directed to our product candidates, including ADG20, and we may not be successful in prosecuting our filed patent applications or obtaining patent protection for our product candidates. Our pending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166"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cell therapy that may be important for the development of our business. We also intend to seek patent protection or rely upon trade secret rights to protect other technologies that may be used to discover and validate targets, as well as to manufacture and develop novel cell therapy products. Additional regulatory protection may also be afforded through data exclusivity, market exclusivity and patent term extensions where available.</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ADG20 and ADG10</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As of August 2, 2021, we own one patent family for which we have filed one PCT patent application, one U.S. non-provisional patent application and two foreign patent applications in Argentina and Taiwan. This patent family is directed to broadly neutralizing anti-coronavirus antibodies, including ADG20 and ADG10, and uses thereof. These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As of August 2, 2021, we own two additional patent families for which we have filed provisional U.S. patent applications. The first patent family is directed to methods of treating and preventing disease based on data obtained from ADG20 clinical trials and includes four U.S. provisional patent applications. The second patent family is directed to additional broadly neutralizing anti-coronavirus antibodies, combination therapies, and uses thereof and includes four U.S. provisional patent applications. Any U.S. non-provisional patent applications timely filed based upon these U.S. provisional patent applications, if issued, are expected to expire in 2042, without taking into account any possible patent term adjustment or extension.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Trade Secrets and Proprietary Information</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147</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32406B"/>
        </w:rPr>
        <w:t>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 —Risks Related to Our Intellectual Property.”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Government Regulation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In the United States, biologic products are licensed by the FDA for marketing under the Public Health Service Act, or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process required by the FDA before a biologic product may be marketed in the United States generally involves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preparation of clinical trial material in accordance with Good Manufacturing Practices, or GMPs;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submission to the FDA of an application for an Investigational New Drug Application, or IND, which must become effective before human clinical trials may begin;</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approval by an institutional review board, or IRB, reviewing each clinical site before each clinical trial may be initiated;</w:t>
      </w:r>
    </w:p>
    <w:p>
      <w:pPr>
        <w:spacing w:after="0" w:line="130"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performance of adequate and well-controlled human clinical trials according to Good Clinical Practices, or GCPs, and any additional requirements for the protection of human research subjects and their health information to establish the safety, purity, potency and efficacy of the proposed biologic product for its intended use;</w:t>
      </w:r>
    </w:p>
    <w:p>
      <w:pPr>
        <w:spacing w:after="0" w:line="89"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submission to the FDA of a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satisfactory completion of an FDA inspection prior to BLA approval of the manufacturing facility or facilities where the biologic product is produced to assess compliance with GMPs to assure that the facilities, methods and controls are adequate to preserve the biologic’s identity, strength, quality and purity;</w:t>
      </w:r>
    </w:p>
    <w:p>
      <w:pPr>
        <w:spacing w:after="0" w:line="89" w:lineRule="exact"/>
        <w:rPr>
          <w:rFonts w:ascii="Arial" w:cs="Arial" w:eastAsia="Arial" w:hAnsi="Arial"/>
          <w:sz w:val="18"/>
          <w:szCs w:val="18"/>
          <w:color w:val="32406B"/>
        </w:rPr>
      </w:pPr>
    </w:p>
    <w:p>
      <w:pPr>
        <w:ind w:left="1080" w:hanging="532"/>
        <w:spacing w:after="0"/>
        <w:tabs>
          <w:tab w:leader="none" w:pos="1080" w:val="left"/>
        </w:tabs>
        <w:numPr>
          <w:ilvl w:val="0"/>
          <w:numId w:val="93"/>
        </w:numPr>
        <w:rPr>
          <w:rFonts w:ascii="Arial" w:cs="Arial" w:eastAsia="Arial" w:hAnsi="Arial"/>
          <w:sz w:val="18"/>
          <w:szCs w:val="18"/>
          <w:color w:val="32406B"/>
        </w:rPr>
      </w:pPr>
      <w:r>
        <w:rPr>
          <w:rFonts w:ascii="Arial" w:cs="Arial" w:eastAsia="Arial" w:hAnsi="Arial"/>
          <w:sz w:val="18"/>
          <w:szCs w:val="18"/>
          <w:color w:val="32406B"/>
        </w:rPr>
        <w:t>potential FDA audit of the nonclinical and clinical study sites that generated the data in support of the BLA;</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93"/>
        </w:numPr>
        <w:rPr>
          <w:rFonts w:ascii="Arial" w:cs="Arial" w:eastAsia="Arial" w:hAnsi="Arial"/>
          <w:sz w:val="17"/>
          <w:szCs w:val="17"/>
          <w:color w:val="32406B"/>
        </w:rPr>
      </w:pPr>
      <w:r>
        <w:rPr>
          <w:rFonts w:ascii="Arial" w:cs="Arial" w:eastAsia="Arial" w:hAnsi="Arial"/>
          <w:sz w:val="17"/>
          <w:szCs w:val="17"/>
          <w:color w:val="32406B"/>
        </w:rPr>
        <w:t>potential FDA Advisory Committee meeting to elicit expert input on critical issues, including a vote by external committee members;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148</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FDA review and approval, or licensure, of the BLA and payment of associated user fees, when applicable; and</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4"/>
        </w:numPr>
        <w:rPr>
          <w:rFonts w:ascii="Arial" w:cs="Arial" w:eastAsia="Arial" w:hAnsi="Arial"/>
          <w:sz w:val="18"/>
          <w:szCs w:val="18"/>
          <w:color w:val="32406B"/>
        </w:rPr>
      </w:pPr>
      <w:r>
        <w:rPr>
          <w:rFonts w:ascii="Arial" w:cs="Arial" w:eastAsia="Arial" w:hAnsi="Arial"/>
          <w:sz w:val="18"/>
          <w:szCs w:val="18"/>
          <w:color w:val="32406B"/>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65"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32406B"/>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Human clinical trials are typically conducted in three sequential phases that may overlap or be combined:</w:t>
      </w:r>
    </w:p>
    <w:p>
      <w:pPr>
        <w:spacing w:after="0" w:line="131" w:lineRule="exact"/>
        <w:rPr>
          <w:sz w:val="20"/>
          <w:szCs w:val="20"/>
          <w:color w:val="auto"/>
        </w:rPr>
      </w:pPr>
    </w:p>
    <w:p>
      <w:pPr>
        <w:ind w:left="540" w:right="20" w:hanging="424"/>
        <w:spacing w:after="0" w:line="277" w:lineRule="auto"/>
        <w:tabs>
          <w:tab w:leader="none" w:pos="540" w:val="left"/>
        </w:tabs>
        <w:numPr>
          <w:ilvl w:val="0"/>
          <w:numId w:val="95"/>
        </w:numPr>
        <w:rPr>
          <w:rFonts w:ascii="Arial" w:cs="Arial" w:eastAsia="Arial" w:hAnsi="Arial"/>
          <w:sz w:val="18"/>
          <w:szCs w:val="18"/>
          <w:color w:val="32406B"/>
        </w:rPr>
      </w:pPr>
      <w:r>
        <w:rPr>
          <w:rFonts w:ascii="Arial" w:cs="Arial" w:eastAsia="Arial" w:hAnsi="Arial"/>
          <w:sz w:val="18"/>
          <w:szCs w:val="18"/>
          <w:b w:val="1"/>
          <w:bCs w:val="1"/>
          <w:i w:val="1"/>
          <w:iCs w:val="1"/>
          <w:color w:val="32406B"/>
        </w:rPr>
        <w:t>Phase 1</w:t>
      </w:r>
      <w:r>
        <w:rPr>
          <w:rFonts w:ascii="Arial" w:cs="Arial" w:eastAsia="Arial" w:hAnsi="Arial"/>
          <w:sz w:val="18"/>
          <w:szCs w:val="18"/>
          <w:color w:val="32406B"/>
        </w:rPr>
        <w:t>. The biologic product is initially introduced into healthy human subjects and tested for safety. In the case of some biologic products for</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rare diseases, the initial human testing is often conducted in patients.</w:t>
      </w:r>
    </w:p>
    <w:p>
      <w:pPr>
        <w:spacing w:after="0" w:line="75" w:lineRule="exact"/>
        <w:rPr>
          <w:rFonts w:ascii="Arial" w:cs="Arial" w:eastAsia="Arial" w:hAnsi="Arial"/>
          <w:sz w:val="18"/>
          <w:szCs w:val="18"/>
          <w:color w:val="32406B"/>
        </w:rPr>
      </w:pPr>
    </w:p>
    <w:p>
      <w:pPr>
        <w:jc w:val="both"/>
        <w:ind w:left="540" w:right="20" w:hanging="424"/>
        <w:spacing w:after="0" w:line="342" w:lineRule="auto"/>
        <w:tabs>
          <w:tab w:leader="none" w:pos="540" w:val="left"/>
        </w:tabs>
        <w:numPr>
          <w:ilvl w:val="0"/>
          <w:numId w:val="95"/>
        </w:numPr>
        <w:rPr>
          <w:rFonts w:ascii="Arial" w:cs="Arial" w:eastAsia="Arial" w:hAnsi="Arial"/>
          <w:sz w:val="16"/>
          <w:szCs w:val="16"/>
          <w:color w:val="32406B"/>
        </w:rPr>
      </w:pPr>
      <w:r>
        <w:rPr>
          <w:rFonts w:ascii="Arial" w:cs="Arial" w:eastAsia="Arial" w:hAnsi="Arial"/>
          <w:sz w:val="16"/>
          <w:szCs w:val="16"/>
          <w:b w:val="1"/>
          <w:bCs w:val="1"/>
          <w:i w:val="1"/>
          <w:iCs w:val="1"/>
          <w:color w:val="32406B"/>
        </w:rPr>
        <w:t>Phase 2</w:t>
      </w:r>
      <w:r>
        <w:rPr>
          <w:rFonts w:ascii="Arial" w:cs="Arial" w:eastAsia="Arial" w:hAnsi="Arial"/>
          <w:sz w:val="16"/>
          <w:szCs w:val="16"/>
          <w:color w:val="32406B"/>
        </w:rPr>
        <w:t>. The biologic product is evaluated in a limited patient population to identify possible adverse effects and safety risks, to preliminarily</w:t>
      </w:r>
      <w:r>
        <w:rPr>
          <w:rFonts w:ascii="Arial" w:cs="Arial" w:eastAsia="Arial" w:hAnsi="Arial"/>
          <w:sz w:val="16"/>
          <w:szCs w:val="16"/>
          <w:b w:val="1"/>
          <w:bCs w:val="1"/>
          <w:i w:val="1"/>
          <w:iCs w:val="1"/>
          <w:color w:val="32406B"/>
        </w:rPr>
        <w:t xml:space="preserve"> </w:t>
      </w:r>
      <w:r>
        <w:rPr>
          <w:rFonts w:ascii="Arial" w:cs="Arial" w:eastAsia="Arial" w:hAnsi="Arial"/>
          <w:sz w:val="16"/>
          <w:szCs w:val="16"/>
          <w:color w:val="32406B"/>
        </w:rPr>
        <w:t>evaluate the efficacy of the biologic product for specific targeted diseases and to determine dosage tolerance, optimal dosage and dosing schedule.</w:t>
      </w:r>
    </w:p>
    <w:p>
      <w:pPr>
        <w:spacing w:after="0" w:line="29" w:lineRule="exact"/>
        <w:rPr>
          <w:rFonts w:ascii="Arial" w:cs="Arial" w:eastAsia="Arial" w:hAnsi="Arial"/>
          <w:sz w:val="16"/>
          <w:szCs w:val="16"/>
          <w:color w:val="32406B"/>
        </w:rPr>
      </w:pPr>
    </w:p>
    <w:p>
      <w:pPr>
        <w:jc w:val="both"/>
        <w:ind w:left="540" w:right="20" w:hanging="424"/>
        <w:spacing w:after="0" w:line="263" w:lineRule="auto"/>
        <w:tabs>
          <w:tab w:leader="none" w:pos="540" w:val="left"/>
        </w:tabs>
        <w:numPr>
          <w:ilvl w:val="0"/>
          <w:numId w:val="95"/>
        </w:numPr>
        <w:rPr>
          <w:rFonts w:ascii="Arial" w:cs="Arial" w:eastAsia="Arial" w:hAnsi="Arial"/>
          <w:sz w:val="18"/>
          <w:szCs w:val="18"/>
          <w:color w:val="32406B"/>
        </w:rPr>
      </w:pPr>
      <w:r>
        <w:rPr>
          <w:rFonts w:ascii="Arial" w:cs="Arial" w:eastAsia="Arial" w:hAnsi="Arial"/>
          <w:sz w:val="18"/>
          <w:szCs w:val="18"/>
          <w:b w:val="1"/>
          <w:bCs w:val="1"/>
          <w:i w:val="1"/>
          <w:iCs w:val="1"/>
          <w:color w:val="32406B"/>
        </w:rPr>
        <w:t>Phase 3</w:t>
      </w:r>
      <w:r>
        <w:rPr>
          <w:rFonts w:ascii="Arial" w:cs="Arial" w:eastAsia="Arial" w:hAnsi="Arial"/>
          <w:sz w:val="18"/>
          <w:szCs w:val="18"/>
          <w:color w:val="32406B"/>
        </w:rPr>
        <w:t>. Clinical trials are undertaken to further evaluate dosage, clinical efficacy, potency and safety in an expanded patient population at</w:t>
      </w:r>
      <w:r>
        <w:rPr>
          <w:rFonts w:ascii="Arial" w:cs="Arial" w:eastAsia="Arial" w:hAnsi="Arial"/>
          <w:sz w:val="18"/>
          <w:szCs w:val="18"/>
          <w:b w:val="1"/>
          <w:bCs w:val="1"/>
          <w:i w:val="1"/>
          <w:iCs w:val="1"/>
          <w:color w:val="32406B"/>
        </w:rPr>
        <w:t xml:space="preserve"> </w:t>
      </w:r>
      <w:r>
        <w:rPr>
          <w:rFonts w:ascii="Arial" w:cs="Arial" w:eastAsia="Arial" w:hAnsi="Arial"/>
          <w:sz w:val="18"/>
          <w:szCs w:val="18"/>
          <w:color w:val="32406B"/>
        </w:rPr>
        <w:t>geographically dispersed clinical trial sites. These clinical trials are intended to establish the overall risk/benefit ratio of the biologic product and provide an adequate basis for product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149</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32406B"/>
        </w:rPr>
        <w:t>labeling. In biologics for rare diseases where patient populations are small and there is an urgent need for treatment, Phase 3 trials might not be required if an adequate risk/benefit can be demonstrated from the Phase 2 trial.</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7"/>
          <w:szCs w:val="17"/>
          <w:i w:val="1"/>
          <w:iCs w:val="1"/>
          <w:color w:val="32406B"/>
        </w:rPr>
        <w:t>in vitro</w:t>
      </w:r>
      <w:r>
        <w:rPr>
          <w:rFonts w:ascii="Arial" w:cs="Arial" w:eastAsia="Arial" w:hAnsi="Arial"/>
          <w:sz w:val="17"/>
          <w:szCs w:val="17"/>
          <w:color w:val="32406B"/>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2"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GMP requirements. To help reduce the risk of the introduction of adventitious agents with the use of biologics, the PHS Act emphasizes the importance of manufacturing control for biologic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U.S. Review and Approval Processes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150</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32406B"/>
        </w:rPr>
        <w:t>and there can be no assurance that the FDA will accept the BLA for filing and, even if filed, that any approval will be granted on a timely basis, if at all.</w:t>
      </w:r>
    </w:p>
    <w:p>
      <w:pPr>
        <w:spacing w:after="0" w:line="24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Under the Prescription Drug User Fee Act, as amended, or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18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has an acceptable purity profile and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Before approving a BLA, the FDA may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6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post-marketing clinical trials, sometimes referred to as Phase 4 clinical trials, designed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151</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32406B"/>
        </w:rPr>
        <w:t>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4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One of the performance goals agreed to by the FDA under the PDUFA is to review and render a decision on standard BLAs within 10 months of filing and priority BLAs within six months of filing. The FDA does not always meet its PDUFA goal dates for standard and priority BLAs, and its review goals are subject to change from time to time. The review process and the PDUFA goal date may be extended by three months if the FDA requests or if the BLA sponsor provides additional information or clarification regarding information already provided in the submission within the three months preceding the PDUFA goal date.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Post-Approval Requirements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w:t>
      </w:r>
    </w:p>
    <w:p>
      <w:pPr>
        <w:spacing w:after="0" w:line="18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Following approval, the manufacturing facilities are subject to biennial inspections by the FDA, and such inspections may result in an issuance of FDA Form 483 deficiency observations, an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applicable regulatory requirements may result in restrictions on the marketing of a product or withdrawal of the product from the market, as well as possible civil or criminal sanctions. Failure to comply with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152</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4"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Expedited Review and Approval Programs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rather than the standard goal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endpoints, and the biological product may be subject to accelerated withdrawal procedures.</w:t>
      </w:r>
    </w:p>
    <w:p>
      <w:pPr>
        <w:spacing w:after="0" w:line="17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153</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32406B"/>
        </w:rPr>
        <w:t>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6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Biologics Price Competition and Innovation Act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 xml:space="preserve">The Biologics Price Competition and Innovation Act of 2009, or BPCIA, which was enacted as part of the Patient Protection and Affordable Care Act of 2010, as amended by the Health Care and Education Reconciliation Act of 2010, or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studies, </w:t>
      </w:r>
      <w:r>
        <w:rPr>
          <w:rFonts w:ascii="Arial" w:cs="Arial" w:eastAsia="Arial" w:hAnsi="Arial"/>
          <w:sz w:val="16"/>
          <w:szCs w:val="16"/>
          <w:i w:val="1"/>
          <w:iCs w:val="1"/>
          <w:color w:val="32406B"/>
        </w:rPr>
        <w:t>in vivo</w:t>
      </w:r>
      <w:r>
        <w:rPr>
          <w:rFonts w:ascii="Arial" w:cs="Arial" w:eastAsia="Arial" w:hAnsi="Arial"/>
          <w:sz w:val="16"/>
          <w:szCs w:val="16"/>
          <w:color w:val="32406B"/>
        </w:rPr>
        <w:t xml:space="preserve"> animal studies and generally at least one clinical study, absent a waiver from the Secretary of the Department of Health and Human Services, or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U.S. Patent Term Restoration</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154</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Regulation Outside of the United States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w:t>
      </w:r>
    </w:p>
    <w:p>
      <w:pPr>
        <w:spacing w:after="0" w:line="19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In the European Union, for example, a clinical trial application, or CTA, must be submitted to each country’s national health authority and an independent ethics committee, much like the FDA and the IRB, respectively. Once the CTA is approved in accordance with the applicable requirements, clinical study development may proceed. The requirements and process governing the conduct of clinical studies are to a significant extent harmonized at the European Union level but could vary from country to country. In all cases, the clinical studies are conducted in accordance with GCP and the applicable regulatory requirements and the ethical principles that have their origin in the Declaration of Helsinki. The way clinical trials are conducted in the European Union will undergo a major change when the Clinical Trial Regulation (Regulation (EU) No 536/2014) comes into application, probably in 2022. The Regulation harmonizes the assessment and supervision processes for clinical trials throughout the European Union via a Clinical Trials Information System, which will contain a centralized European Union portal and database.</w:t>
      </w:r>
    </w:p>
    <w:p>
      <w:pPr>
        <w:spacing w:after="0" w:line="178"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Innovative products that target an unmet medical need may be eligible for a number of expedited development and review programs in the European Union, such as The Priority Medicines, or PRIME, scheme, which provides incentives similar to the breakthrough therapy designation in the United States. Such products are generally eligible for accelerated assessment and may also benefit from different types of fast 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165"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155</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184"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The United Kingdom left the European Union on January 31, 2020, following which existing EU medicinal product legislation continued to apply in the United Kingdom during the transition period under the terms of the EU-UK Withdrawal Agreement. A transition period, which ended on December 31, 2020, maintained the United Kingdom’s access to the EU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or TCA, that became effective on January 1, 2021.</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As a result of the Northern Ireland Protocol, different rules apply in Northern Ireland than in England, Wales and Scotland, or collectively Great Britain. In general, Northern Ireland continues to follow the EU regulatory regime, but its national medicines and medical devices authority remains the Medicines and Healthcare Products Regulatory Agency, or MHRA. Following the effectiveness of the Human Medicines (Amendment etc.) (EU Exit) Regulations 2019 on January 31, 2020, the UK regulatory regime for clinical trials, marketing authorizations, importing, exporting and pharmacovigilance largely mirrors that of the European Union.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Pharmaceutical coverage, pricing and reimbursement</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Significant uncertainty exits as to obtaining and maintaining coverage and adequate reimbursement for our product candidates, including ADG20,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79"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156</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8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18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Foreign governments also have their own healthcare reimbursement systems, which vary significantly by country and region, and coverage and adequate reimbursement may not be available with respect to the treatments in which our product candidates, if approved, are used under any foreign reimbursement system.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Healthcare Laws and Regulations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9" w:lineRule="exact"/>
        <w:rPr>
          <w:sz w:val="20"/>
          <w:szCs w:val="20"/>
          <w:color w:val="auto"/>
        </w:rPr>
      </w:pPr>
    </w:p>
    <w:p>
      <w:pPr>
        <w:jc w:val="both"/>
        <w:ind w:left="1080" w:right="20" w:hanging="532"/>
        <w:spacing w:after="0" w:line="259" w:lineRule="auto"/>
        <w:tabs>
          <w:tab w:leader="none" w:pos="108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89" w:lineRule="exact"/>
        <w:rPr>
          <w:rFonts w:ascii="Arial" w:cs="Arial" w:eastAsia="Arial" w:hAnsi="Arial"/>
          <w:sz w:val="18"/>
          <w:szCs w:val="18"/>
          <w:color w:val="32406B"/>
        </w:rPr>
      </w:pPr>
    </w:p>
    <w:p>
      <w:pPr>
        <w:jc w:val="both"/>
        <w:ind w:left="1080" w:hanging="532"/>
        <w:spacing w:after="0" w:line="259" w:lineRule="auto"/>
        <w:tabs>
          <w:tab w:leader="none" w:pos="108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92"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32406B"/>
        </w:rPr>
      </w:pPr>
      <w:r>
        <w:rPr>
          <w:rFonts w:ascii="Arial" w:cs="Arial" w:eastAsia="Arial" w:hAnsi="Arial"/>
          <w:sz w:val="18"/>
          <w:szCs w:val="18"/>
          <w:color w:val="32406B"/>
        </w:rPr>
        <w:t>HIPAA, as amended by the Health Information Technology for Economic and Clinical Health Act of 2009 and their implementing regulations, impose obligations on certain types of individuals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157</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32406B"/>
        </w:rPr>
        <w:t>entities regarding the electronic exchange of information in common healthcare transactions, as well as standards relating to the privacy and security of individually identifiable health information;</w:t>
      </w:r>
    </w:p>
    <w:p>
      <w:pPr>
        <w:spacing w:after="0" w:line="76" w:lineRule="exact"/>
        <w:rPr>
          <w:sz w:val="20"/>
          <w:szCs w:val="20"/>
          <w:color w:val="auto"/>
        </w:rPr>
      </w:pPr>
    </w:p>
    <w:p>
      <w:pPr>
        <w:jc w:val="both"/>
        <w:ind w:left="1080" w:hanging="532"/>
        <w:spacing w:after="0" w:line="272" w:lineRule="auto"/>
        <w:tabs>
          <w:tab w:leader="none" w:pos="1080" w:val="left"/>
        </w:tabs>
        <w:numPr>
          <w:ilvl w:val="0"/>
          <w:numId w:val="97"/>
        </w:numPr>
        <w:rPr>
          <w:rFonts w:ascii="Arial" w:cs="Arial" w:eastAsia="Arial" w:hAnsi="Arial"/>
          <w:sz w:val="17"/>
          <w:szCs w:val="17"/>
          <w:color w:val="32406B"/>
        </w:rPr>
      </w:pPr>
      <w:r>
        <w:rPr>
          <w:rFonts w:ascii="Arial" w:cs="Arial" w:eastAsia="Arial" w:hAnsi="Arial"/>
          <w:sz w:val="17"/>
          <w:szCs w:val="17"/>
          <w:color w:val="32406B"/>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 practitioners, clinical nurse specialists, anesthesiologist assistants, certified nurse anesthetists and certified nurse-midwives; and</w:t>
      </w:r>
    </w:p>
    <w:p>
      <w:pPr>
        <w:spacing w:after="0" w:line="82" w:lineRule="exact"/>
        <w:rPr>
          <w:rFonts w:ascii="Arial" w:cs="Arial" w:eastAsia="Arial" w:hAnsi="Arial"/>
          <w:sz w:val="17"/>
          <w:szCs w:val="17"/>
          <w:color w:val="32406B"/>
        </w:rPr>
      </w:pPr>
    </w:p>
    <w:p>
      <w:pPr>
        <w:jc w:val="both"/>
        <w:ind w:left="1080" w:hanging="532"/>
        <w:spacing w:after="0" w:line="286" w:lineRule="auto"/>
        <w:tabs>
          <w:tab w:leader="none" w:pos="1080" w:val="left"/>
        </w:tabs>
        <w:numPr>
          <w:ilvl w:val="0"/>
          <w:numId w:val="97"/>
        </w:numPr>
        <w:rPr>
          <w:rFonts w:ascii="Arial" w:cs="Arial" w:eastAsia="Arial" w:hAnsi="Arial"/>
          <w:sz w:val="17"/>
          <w:szCs w:val="17"/>
          <w:color w:val="32406B"/>
        </w:rPr>
      </w:pPr>
      <w:r>
        <w:rPr>
          <w:rFonts w:ascii="Arial" w:cs="Arial" w:eastAsia="Arial" w:hAnsi="Arial"/>
          <w:sz w:val="17"/>
          <w:szCs w:val="17"/>
          <w:color w:val="32406B"/>
        </w:rPr>
        <w:t>The Foreign Corrupt Practices Act, or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17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Healthcare Reform</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158</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32406B"/>
        </w:rPr>
        <w:t>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Since that time, there have been significant efforts to modify or eliminate the ACA. For example, the Tax Cuts and Jobs Act, or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8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Other legislative changes have been proposed and adopted since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litigation extended the 2% reduction, on average, to 2030 unless additional congressional action is taken. However, pursuant to COVID-19 relief legislation, the 2% Medicare sequester reductions have been suspended from May 1, 2020 through December 31, 2021.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Further legislative and regulatory changes under the ACA remain possible, although the new administration under President Biden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expand the ACA. For example,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unknown what form any other such changes or law would take and how or whether it may affect our business in the future. We expect that changes or additions to the ACA or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7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ACA has been subject to challenges in the courts. On December 14, 2018, the U.S. District Court for the Northern District of Texas ruled that the ACA is unconstitutional in its entirety because the “individual mandate” was repealed by Congress. On December 18, 2019, the U.S. Court of Appeals for the Fifth Circuit held that the individual mandate is unconstitutional and remanded the case to the District Court to reconsider its earlier invalidation of the entire ACA. An appeal was taken to the U.S. Supreme Court, which heard oral arguments in the case on November 10, 2020. A ruling is expected in 2021. On February 10, 2021, the Biden administration withdrew the federal government’s support for overturning the ACA. It is unclear how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159</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32406B"/>
        </w:rPr>
        <w:t>Supreme Court ruling, other such litigation and the healthcare reform measures of the Biden administration will impact the ACA and our business.</w:t>
      </w:r>
    </w:p>
    <w:p>
      <w:pPr>
        <w:spacing w:after="0" w:line="23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ACA, effective January 1, 2019, to close the coverage gap in most Medicare drug plans by increasing from 50 percent to 70 percent the point-of-sale discount that is owed by pharmaceutical manufacturers who participate in Medicare Part D.</w:t>
      </w:r>
    </w:p>
    <w:p>
      <w:pPr>
        <w:spacing w:after="0" w:line="195"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32406B"/>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Employees and Human Capital Resources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As of August 2, 2021, we had 74 full-time employees and one part-time employee. Of our 75 full- and part-time employees, approximately 23 have Ph.D. or M.D. degrees and 54 are engaged in research and development activities. We have a remote workforce, with approximately 43% of our employees based in Massachusetts, 16% based in California, 8% based in New Jersey, and the remaining 33% in various additional states, including one in Austria. None of our employees are represented by labor unions or covered by collective bargaining agreements. We consider our relationship with our employees to be good.</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Our human capital resources objectives include, as applicable, identifying, recruiting, retaining, incentivizing and integrating our existing and new employees, advisors and consultants, and maintaining and enhancing our diverse and inclusive team. The principal purposes of our equity and cash incentive plans are to attract, retain and reward personnel through the granting of stock-based and cash-based compensation awards, 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160</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order to increase stockholder value and the success of our company by motivating such individuals to perform to the best of their abilities and achieve our objectives.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Facilities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Since our inception, we have been a virtual company with our employees working from their homes. We rent an office in a short-term office space building in Waltham, Massachusetts for general and administrative purposes. We do not own or lease any laboratory or manufacturing facilities, and we plan to enter into a lease for office space in the near term. We believe that our remote working approach is adequate to meet our ongoing needs, and that, if we require physical facilities, we will be able to obtain additional facilities on commercially reasonable terms.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Legal Proceedings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are not currently a party to any material legal proceedings. From time to time, we may become involved in other litigation or legal proceedings relating to claims arising from the ordinary course of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161</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32406B"/>
        </w:rPr>
        <w:t>The following table provides information regarding our current executive officers and directors, including their ages as of August 2,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32406B"/>
              </w:rPr>
              <w:t>Name</w:t>
            </w:r>
          </w:p>
        </w:tc>
        <w:tc>
          <w:tcPr>
            <w:tcW w:w="980" w:type="dxa"/>
            <w:vAlign w:val="bottom"/>
            <w:gridSpan w:val="2"/>
          </w:tcPr>
          <w:p>
            <w:pPr>
              <w:ind w:left="720"/>
              <w:spacing w:after="0"/>
              <w:rPr>
                <w:sz w:val="20"/>
                <w:szCs w:val="20"/>
                <w:color w:val="auto"/>
              </w:rPr>
            </w:pPr>
            <w:r>
              <w:rPr>
                <w:rFonts w:ascii="Arial" w:cs="Arial" w:eastAsia="Arial" w:hAnsi="Arial"/>
                <w:sz w:val="14"/>
                <w:szCs w:val="14"/>
                <w:b w:val="1"/>
                <w:bCs w:val="1"/>
                <w:color w:val="32406B"/>
                <w:w w:val="90"/>
              </w:rPr>
              <w:t>Age</w:t>
            </w:r>
          </w:p>
        </w:tc>
        <w:tc>
          <w:tcPr>
            <w:tcW w:w="6600" w:type="dxa"/>
            <w:vAlign w:val="bottom"/>
            <w:gridSpan w:val="3"/>
          </w:tcPr>
          <w:p>
            <w:pPr>
              <w:ind w:left="100"/>
              <w:spacing w:after="0"/>
              <w:rPr>
                <w:sz w:val="20"/>
                <w:szCs w:val="20"/>
                <w:color w:val="auto"/>
              </w:rPr>
            </w:pPr>
            <w:r>
              <w:rPr>
                <w:rFonts w:ascii="Arial" w:cs="Arial" w:eastAsia="Arial" w:hAnsi="Arial"/>
                <w:sz w:val="14"/>
                <w:szCs w:val="14"/>
                <w:b w:val="1"/>
                <w:bCs w:val="1"/>
                <w:color w:val="32406B"/>
              </w:rPr>
              <w:t>Position(s)</w:t>
            </w:r>
          </w:p>
        </w:tc>
      </w:tr>
      <w:tr>
        <w:trPr>
          <w:trHeight w:val="61"/>
        </w:trPr>
        <w:tc>
          <w:tcPr>
            <w:tcW w:w="36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32406B"/>
              </w:rPr>
              <w:t>Executive Officers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32406B"/>
              </w:rPr>
              <w:t>Tillman U. Gerngross,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32406B"/>
              </w:rPr>
              <w:t>57</w:t>
            </w:r>
          </w:p>
        </w:tc>
        <w:tc>
          <w:tcPr>
            <w:tcW w:w="6600" w:type="dxa"/>
            <w:vAlign w:val="bottom"/>
            <w:gridSpan w:val="3"/>
          </w:tcPr>
          <w:p>
            <w:pPr>
              <w:ind w:left="100"/>
              <w:spacing w:after="0"/>
              <w:rPr>
                <w:sz w:val="20"/>
                <w:szCs w:val="20"/>
                <w:color w:val="auto"/>
              </w:rPr>
            </w:pPr>
            <w:r>
              <w:rPr>
                <w:rFonts w:ascii="Arial" w:cs="Arial" w:eastAsia="Arial" w:hAnsi="Arial"/>
                <w:sz w:val="18"/>
                <w:szCs w:val="18"/>
                <w:color w:val="32406B"/>
              </w:rPr>
              <w:t>Co-Founder, Chief Executive Officer and Director</w:t>
            </w: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Lynn Connolly, M.D.,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54</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rPr>
              <w:t>Chief Medical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32406B"/>
              </w:rPr>
              <w:t>Rebecca Dabora,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32406B"/>
              </w:rPr>
              <w:t>62</w:t>
            </w:r>
          </w:p>
        </w:tc>
        <w:tc>
          <w:tcPr>
            <w:tcW w:w="6600" w:type="dxa"/>
            <w:vAlign w:val="bottom"/>
            <w:gridSpan w:val="3"/>
          </w:tcPr>
          <w:p>
            <w:pPr>
              <w:ind w:left="100"/>
              <w:spacing w:after="0"/>
              <w:rPr>
                <w:sz w:val="20"/>
                <w:szCs w:val="20"/>
                <w:color w:val="auto"/>
              </w:rPr>
            </w:pPr>
            <w:r>
              <w:rPr>
                <w:rFonts w:ascii="Arial" w:cs="Arial" w:eastAsia="Arial" w:hAnsi="Arial"/>
                <w:sz w:val="18"/>
                <w:szCs w:val="18"/>
                <w:color w:val="32406B"/>
              </w:rPr>
              <w:t>Chief Technology &amp; Manufacturing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Jane Pritchett Henderson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56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rPr>
              <w:t>Chief Financial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32406B"/>
              </w:rPr>
              <w:t>David Hering</w:t>
            </w:r>
          </w:p>
        </w:tc>
        <w:tc>
          <w:tcPr>
            <w:tcW w:w="980" w:type="dxa"/>
            <w:vAlign w:val="bottom"/>
            <w:gridSpan w:val="2"/>
          </w:tcPr>
          <w:p>
            <w:pPr>
              <w:ind w:left="720"/>
              <w:spacing w:after="0"/>
              <w:rPr>
                <w:sz w:val="20"/>
                <w:szCs w:val="20"/>
                <w:color w:val="auto"/>
              </w:rPr>
            </w:pPr>
            <w:r>
              <w:rPr>
                <w:rFonts w:ascii="Arial" w:cs="Arial" w:eastAsia="Arial" w:hAnsi="Arial"/>
                <w:sz w:val="18"/>
                <w:szCs w:val="18"/>
                <w:color w:val="32406B"/>
              </w:rPr>
              <w:t>47</w:t>
            </w:r>
          </w:p>
        </w:tc>
        <w:tc>
          <w:tcPr>
            <w:tcW w:w="6600" w:type="dxa"/>
            <w:vAlign w:val="bottom"/>
            <w:gridSpan w:val="3"/>
          </w:tcPr>
          <w:p>
            <w:pPr>
              <w:ind w:left="100"/>
              <w:spacing w:after="0"/>
              <w:rPr>
                <w:sz w:val="20"/>
                <w:szCs w:val="20"/>
                <w:color w:val="auto"/>
              </w:rPr>
            </w:pPr>
            <w:r>
              <w:rPr>
                <w:rFonts w:ascii="Arial" w:cs="Arial" w:eastAsia="Arial" w:hAnsi="Arial"/>
                <w:sz w:val="18"/>
                <w:szCs w:val="18"/>
                <w:color w:val="32406B"/>
              </w:rPr>
              <w:t>Chief Operating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Elham (Ellie) Hershberger, Pharm. 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53</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rPr>
              <w:t>Chief Development Officer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b w:val="1"/>
                <w:bCs w:val="1"/>
                <w:i w:val="1"/>
                <w:iCs w:val="1"/>
                <w:color w:val="32406B"/>
              </w:rPr>
              <w:t>Key Employees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Laura Walker,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36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rPr>
              <w:t>Co-Founder &amp; Chief Scientific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32406B"/>
              </w:rPr>
              <w:t>Eric Kimble, M.B.A.</w:t>
            </w:r>
          </w:p>
        </w:tc>
        <w:tc>
          <w:tcPr>
            <w:tcW w:w="980" w:type="dxa"/>
            <w:vAlign w:val="bottom"/>
            <w:gridSpan w:val="2"/>
          </w:tcPr>
          <w:p>
            <w:pPr>
              <w:ind w:left="720"/>
              <w:spacing w:after="0"/>
              <w:rPr>
                <w:sz w:val="20"/>
                <w:szCs w:val="20"/>
                <w:color w:val="auto"/>
              </w:rPr>
            </w:pPr>
            <w:r>
              <w:rPr>
                <w:rFonts w:ascii="Arial" w:cs="Arial" w:eastAsia="Arial" w:hAnsi="Arial"/>
                <w:sz w:val="18"/>
                <w:szCs w:val="18"/>
                <w:color w:val="32406B"/>
              </w:rPr>
              <w:t>54</w:t>
            </w:r>
          </w:p>
        </w:tc>
        <w:tc>
          <w:tcPr>
            <w:tcW w:w="6600" w:type="dxa"/>
            <w:vAlign w:val="bottom"/>
            <w:gridSpan w:val="3"/>
          </w:tcPr>
          <w:p>
            <w:pPr>
              <w:ind w:left="100"/>
              <w:spacing w:after="0"/>
              <w:rPr>
                <w:sz w:val="20"/>
                <w:szCs w:val="20"/>
                <w:color w:val="auto"/>
              </w:rPr>
            </w:pPr>
            <w:r>
              <w:rPr>
                <w:rFonts w:ascii="Arial" w:cs="Arial" w:eastAsia="Arial" w:hAnsi="Arial"/>
                <w:sz w:val="18"/>
                <w:szCs w:val="18"/>
                <w:color w:val="32406B"/>
              </w:rPr>
              <w:t>Chief Commercial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32406B"/>
              </w:rPr>
              <w:t>Non-Employee Directors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32406B"/>
              </w:rPr>
              <w:t>René Russo, Pharm. D.</w:t>
            </w:r>
          </w:p>
        </w:tc>
        <w:tc>
          <w:tcPr>
            <w:tcW w:w="980" w:type="dxa"/>
            <w:vAlign w:val="bottom"/>
            <w:gridSpan w:val="2"/>
          </w:tcPr>
          <w:p>
            <w:pPr>
              <w:ind w:left="720"/>
              <w:spacing w:after="0"/>
              <w:rPr>
                <w:sz w:val="20"/>
                <w:szCs w:val="20"/>
                <w:color w:val="auto"/>
              </w:rPr>
            </w:pPr>
            <w:r>
              <w:rPr>
                <w:rFonts w:ascii="Arial" w:cs="Arial" w:eastAsia="Arial" w:hAnsi="Arial"/>
                <w:sz w:val="18"/>
                <w:szCs w:val="18"/>
                <w:color w:val="32406B"/>
              </w:rPr>
              <w:t>46</w:t>
            </w:r>
          </w:p>
        </w:tc>
        <w:tc>
          <w:tcPr>
            <w:tcW w:w="6600" w:type="dxa"/>
            <w:vAlign w:val="bottom"/>
            <w:gridSpan w:val="3"/>
          </w:tcPr>
          <w:p>
            <w:pPr>
              <w:ind w:left="100"/>
              <w:spacing w:after="0"/>
              <w:rPr>
                <w:sz w:val="20"/>
                <w:szCs w:val="20"/>
                <w:color w:val="auto"/>
              </w:rPr>
            </w:pPr>
            <w:r>
              <w:rPr>
                <w:rFonts w:ascii="Arial" w:cs="Arial" w:eastAsia="Arial" w:hAnsi="Arial"/>
                <w:sz w:val="18"/>
                <w:szCs w:val="18"/>
                <w:color w:val="32406B"/>
              </w:rPr>
              <w:t>Co-Founder, Director and Chair of the Board</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Terrance McGuire</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65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32406B"/>
              </w:rPr>
              <w:t>Ajay Royan</w:t>
            </w:r>
          </w:p>
        </w:tc>
        <w:tc>
          <w:tcPr>
            <w:tcW w:w="980" w:type="dxa"/>
            <w:vAlign w:val="bottom"/>
            <w:gridSpan w:val="2"/>
          </w:tcPr>
          <w:p>
            <w:pPr>
              <w:ind w:left="720"/>
              <w:spacing w:after="0"/>
              <w:rPr>
                <w:sz w:val="20"/>
                <w:szCs w:val="20"/>
                <w:color w:val="auto"/>
              </w:rPr>
            </w:pPr>
            <w:r>
              <w:rPr>
                <w:rFonts w:ascii="Arial" w:cs="Arial" w:eastAsia="Arial" w:hAnsi="Arial"/>
                <w:sz w:val="18"/>
                <w:szCs w:val="18"/>
                <w:color w:val="32406B"/>
              </w:rPr>
              <w:t>41</w:t>
            </w:r>
          </w:p>
        </w:tc>
        <w:tc>
          <w:tcPr>
            <w:tcW w:w="6600" w:type="dxa"/>
            <w:vAlign w:val="bottom"/>
            <w:gridSpan w:val="3"/>
          </w:tcPr>
          <w:p>
            <w:pPr>
              <w:ind w:left="100"/>
              <w:spacing w:after="0"/>
              <w:rPr>
                <w:sz w:val="20"/>
                <w:szCs w:val="20"/>
                <w:color w:val="auto"/>
              </w:rPr>
            </w:pPr>
            <w:r>
              <w:rPr>
                <w:rFonts w:ascii="Arial" w:cs="Arial" w:eastAsia="Arial" w:hAnsi="Arial"/>
                <w:sz w:val="18"/>
                <w:szCs w:val="18"/>
                <w:color w:val="32406B"/>
              </w:rPr>
              <w:t>Director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Howard Mayer, M.D.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58</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32406B"/>
              </w:rPr>
              <w:t>Anand Shah, M.D.</w:t>
            </w:r>
          </w:p>
        </w:tc>
        <w:tc>
          <w:tcPr>
            <w:tcW w:w="980" w:type="dxa"/>
            <w:vAlign w:val="bottom"/>
            <w:gridSpan w:val="2"/>
          </w:tcPr>
          <w:p>
            <w:pPr>
              <w:ind w:left="720"/>
              <w:spacing w:after="0"/>
              <w:rPr>
                <w:sz w:val="20"/>
                <w:szCs w:val="20"/>
                <w:color w:val="auto"/>
              </w:rPr>
            </w:pPr>
            <w:r>
              <w:rPr>
                <w:rFonts w:ascii="Arial" w:cs="Arial" w:eastAsia="Arial" w:hAnsi="Arial"/>
                <w:sz w:val="18"/>
                <w:szCs w:val="18"/>
                <w:color w:val="32406B"/>
              </w:rPr>
              <w:t>41</w:t>
            </w:r>
          </w:p>
        </w:tc>
        <w:tc>
          <w:tcPr>
            <w:tcW w:w="6600" w:type="dxa"/>
            <w:vAlign w:val="bottom"/>
            <w:gridSpan w:val="3"/>
          </w:tcPr>
          <w:p>
            <w:pPr>
              <w:ind w:left="100"/>
              <w:spacing w:after="0"/>
              <w:rPr>
                <w:sz w:val="20"/>
                <w:szCs w:val="20"/>
                <w:color w:val="auto"/>
              </w:rPr>
            </w:pPr>
            <w:r>
              <w:rPr>
                <w:rFonts w:ascii="Arial" w:cs="Arial" w:eastAsia="Arial" w:hAnsi="Arial"/>
                <w:sz w:val="18"/>
                <w:szCs w:val="18"/>
                <w:color w:val="32406B"/>
              </w:rPr>
              <w:t>Director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Tom Heyman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65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32406B"/>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32406B"/>
              </w:rPr>
              <w:t>Michael Wyzga</w:t>
            </w:r>
          </w:p>
        </w:tc>
        <w:tc>
          <w:tcPr>
            <w:tcW w:w="980" w:type="dxa"/>
            <w:vAlign w:val="bottom"/>
            <w:gridSpan w:val="2"/>
          </w:tcPr>
          <w:p>
            <w:pPr>
              <w:ind w:left="720"/>
              <w:spacing w:after="0"/>
              <w:rPr>
                <w:sz w:val="20"/>
                <w:szCs w:val="20"/>
                <w:color w:val="auto"/>
              </w:rPr>
            </w:pPr>
            <w:r>
              <w:rPr>
                <w:rFonts w:ascii="Arial" w:cs="Arial" w:eastAsia="Arial" w:hAnsi="Arial"/>
                <w:sz w:val="18"/>
                <w:szCs w:val="18"/>
                <w:color w:val="32406B"/>
              </w:rPr>
              <w:t>66</w:t>
            </w:r>
          </w:p>
        </w:tc>
        <w:tc>
          <w:tcPr>
            <w:tcW w:w="6600" w:type="dxa"/>
            <w:vAlign w:val="bottom"/>
            <w:gridSpan w:val="3"/>
          </w:tcPr>
          <w:p>
            <w:pPr>
              <w:ind w:left="100"/>
              <w:spacing w:after="0"/>
              <w:rPr>
                <w:sz w:val="20"/>
                <w:szCs w:val="20"/>
                <w:color w:val="auto"/>
              </w:rPr>
            </w:pPr>
            <w:r>
              <w:rPr>
                <w:rFonts w:ascii="Arial" w:cs="Arial" w:eastAsia="Arial" w:hAnsi="Arial"/>
                <w:sz w:val="18"/>
                <w:szCs w:val="18"/>
                <w:color w:val="32406B"/>
              </w:rPr>
              <w:t>Director</w:t>
            </w:r>
          </w:p>
        </w:tc>
      </w:tr>
      <w:tr>
        <w:trPr>
          <w:trHeight w:val="135"/>
        </w:trPr>
        <w:tc>
          <w:tcPr>
            <w:tcW w:w="360" w:type="dxa"/>
            <w:vAlign w:val="bottom"/>
            <w:tcBorders>
              <w:bottom w:val="single" w:sz="8" w:color="32406B"/>
            </w:tcBorders>
          </w:tcPr>
          <w:p>
            <w:pPr>
              <w:spacing w:after="0"/>
              <w:rPr>
                <w:sz w:val="11"/>
                <w:szCs w:val="11"/>
                <w:color w:val="auto"/>
              </w:rPr>
            </w:pPr>
          </w:p>
        </w:tc>
        <w:tc>
          <w:tcPr>
            <w:tcW w:w="860" w:type="dxa"/>
            <w:vAlign w:val="bottom"/>
            <w:tcBorders>
              <w:bottom w:val="single" w:sz="8" w:color="32406B"/>
            </w:tcBorders>
          </w:tcPr>
          <w:p>
            <w:pPr>
              <w:spacing w:after="0"/>
              <w:rPr>
                <w:sz w:val="11"/>
                <w:szCs w:val="11"/>
                <w:color w:val="auto"/>
              </w:rPr>
            </w:pPr>
          </w:p>
        </w:tc>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60" w:type="dxa"/>
            <w:vAlign w:val="bottom"/>
          </w:tcPr>
          <w:p>
            <w:pPr>
              <w:spacing w:after="0"/>
              <w:rPr>
                <w:sz w:val="11"/>
                <w:szCs w:val="1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Executive Officers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b w:val="1"/>
          <w:bCs w:val="1"/>
          <w:color w:val="32406B"/>
        </w:rPr>
        <w:t xml:space="preserve">Tillman U. Gerngross, Ph.D. </w:t>
      </w:r>
      <w:r>
        <w:rPr>
          <w:rFonts w:ascii="Arial" w:cs="Arial" w:eastAsia="Arial" w:hAnsi="Arial"/>
          <w:sz w:val="17"/>
          <w:szCs w:val="17"/>
          <w:color w:val="32406B"/>
        </w:rPr>
        <w:t>is our co-founder and has served as a member of our board of directors and as our Chief Executive Officer since</w:t>
      </w:r>
      <w:r>
        <w:rPr>
          <w:rFonts w:ascii="Arial" w:cs="Arial" w:eastAsia="Arial" w:hAnsi="Arial"/>
          <w:sz w:val="17"/>
          <w:szCs w:val="17"/>
          <w:b w:val="1"/>
          <w:bCs w:val="1"/>
          <w:color w:val="32406B"/>
        </w:rPr>
        <w:t xml:space="preserve"> </w:t>
      </w:r>
      <w:r>
        <w:rPr>
          <w:rFonts w:ascii="Arial" w:cs="Arial" w:eastAsia="Arial" w:hAnsi="Arial"/>
          <w:sz w:val="17"/>
          <w:szCs w:val="17"/>
          <w:color w:val="32406B"/>
        </w:rPr>
        <w:t>June 2020. Dr. Gerngross is a founder, director and executive officer of numerous biotechnology companies. He is a co-founder of Adimab, LLC and has served as its Chief Executive Officer and as a director since 2007. He is also a co-founder and Chairman of Avitide, Inc. since August 2012, a co-founder and Chairman of Alector, Inc. since September 2017, a co-founder, President and Chairman of Amagma, Inc. since August 2019 and a co-founder, President and Chairman of Ankyra Therapeutics, Inc. since November 2019. Dr. Gerngross is currently a Venture Partner at SV Life Sciences Advisors, LLC, which he joined in 2006. Dr. Gerngross co-founded GlycoFi, Inc. and served as its Chief Scientific Officer from 2000 to 2006 until it was acquired by Merck &amp; Company, Inc. Dr. Gerngross currently teaches at the Thayer School of Engineering, at Dartmouth College, where he has taught since 1998. Dr. Gerngross received a B.S. and M.S. in Chemical Engineering and a Ph.D. in Molecular Biology from Technical University of Vienna. We believe Dr. Gerngross is qualified to serve as a member of our board of directors because of his knowledge of Adagio as a co-founder and his expertise as an executive officer and director in the biotechnology industry.</w:t>
      </w:r>
    </w:p>
    <w:p>
      <w:pPr>
        <w:spacing w:after="0" w:line="17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32406B"/>
        </w:rPr>
        <w:t xml:space="preserve">Lynn Connolly, M.D., Ph.D. </w:t>
      </w:r>
      <w:r>
        <w:rPr>
          <w:rFonts w:ascii="Arial" w:cs="Arial" w:eastAsia="Arial" w:hAnsi="Arial"/>
          <w:sz w:val="17"/>
          <w:szCs w:val="17"/>
          <w:color w:val="32406B"/>
        </w:rPr>
        <w:t>has served as our Chief Medical Officer since July 2020. Prior to joining Adagio, Dr. Connolly served as Senior</w:t>
      </w:r>
      <w:r>
        <w:rPr>
          <w:rFonts w:ascii="Arial" w:cs="Arial" w:eastAsia="Arial" w:hAnsi="Arial"/>
          <w:sz w:val="17"/>
          <w:szCs w:val="17"/>
          <w:b w:val="1"/>
          <w:bCs w:val="1"/>
          <w:color w:val="32406B"/>
        </w:rPr>
        <w:t xml:space="preserve"> </w:t>
      </w:r>
      <w:r>
        <w:rPr>
          <w:rFonts w:ascii="Arial" w:cs="Arial" w:eastAsia="Arial" w:hAnsi="Arial"/>
          <w:sz w:val="17"/>
          <w:szCs w:val="17"/>
          <w:color w:val="32406B"/>
        </w:rPr>
        <w:t>Vice President, Clinical Research from March 2020 to July 2020 and Vice President, Clinical Research from March 2018 to February 2020 of Vir Biotechnology, Inc. Dr. Connolly served as Vice President and Head of Late Development from January 2017 to March 2018 and Senior Medical</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162</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Director from January 2016 to January 2017 of Achaogen, Inc. Dr. Connolly received a B.A. in Molecular Biology from University of California, Berkeley and a M.D. and Ph.D. in Cell Biology from University of California, San Francisco.</w:t>
      </w:r>
    </w:p>
    <w:p>
      <w:pPr>
        <w:spacing w:after="0" w:line="166" w:lineRule="exact"/>
        <w:rPr>
          <w:sz w:val="20"/>
          <w:szCs w:val="20"/>
          <w:color w:val="auto"/>
        </w:rPr>
      </w:pPr>
    </w:p>
    <w:p>
      <w:pPr>
        <w:jc w:val="both"/>
        <w:ind w:left="120" w:firstLine="440"/>
        <w:spacing w:after="0" w:line="258" w:lineRule="auto"/>
        <w:rPr>
          <w:sz w:val="20"/>
          <w:szCs w:val="20"/>
          <w:color w:val="auto"/>
        </w:rPr>
      </w:pPr>
      <w:r>
        <w:rPr>
          <w:rFonts w:ascii="Arial" w:cs="Arial" w:eastAsia="Arial" w:hAnsi="Arial"/>
          <w:sz w:val="18"/>
          <w:szCs w:val="18"/>
          <w:b w:val="1"/>
          <w:bCs w:val="1"/>
          <w:color w:val="32406B"/>
        </w:rPr>
        <w:t xml:space="preserve">Rebecca Dabora, Ph.D. </w:t>
      </w:r>
      <w:r>
        <w:rPr>
          <w:rFonts w:ascii="Arial" w:cs="Arial" w:eastAsia="Arial" w:hAnsi="Arial"/>
          <w:sz w:val="18"/>
          <w:szCs w:val="18"/>
          <w:color w:val="32406B"/>
        </w:rPr>
        <w:t>has served as our Chief Technology &amp; Manufacturing Officer since July 2020. In addition, Dr. Dabora is currently</w:t>
      </w:r>
      <w:r>
        <w:rPr>
          <w:rFonts w:ascii="Arial" w:cs="Arial" w:eastAsia="Arial" w:hAnsi="Arial"/>
          <w:sz w:val="18"/>
          <w:szCs w:val="18"/>
          <w:b w:val="1"/>
          <w:bCs w:val="1"/>
          <w:color w:val="32406B"/>
        </w:rPr>
        <w:t xml:space="preserve"> </w:t>
      </w:r>
      <w:r>
        <w:rPr>
          <w:rFonts w:ascii="Arial" w:cs="Arial" w:eastAsia="Arial" w:hAnsi="Arial"/>
          <w:sz w:val="18"/>
          <w:szCs w:val="18"/>
          <w:color w:val="32406B"/>
        </w:rPr>
        <w:t>serving as Principal for RDBio Consulting LLC since July 2005. Prior to joining Adagio, Dr. Dabora served as Interim Chief Technology Officer of SwanBio Therapeutics, Inc. from July 2019 to July 2020 and Chief Technology Officer of Aspyrian Therapeutics, Inc. from March 2016 to March 2017. Dr. Dabora received a B.A. in Biochemistry from Bowdoin College and a Ph.D. in Applied Biological Sciences and Biochemical Engineering from the Massachusetts Institute of Technology.</w:t>
      </w:r>
    </w:p>
    <w:p>
      <w:pPr>
        <w:spacing w:after="0" w:line="183"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b w:val="1"/>
          <w:bCs w:val="1"/>
          <w:color w:val="32406B"/>
        </w:rPr>
        <w:t xml:space="preserve">Jane Pritchett Henderson </w:t>
      </w:r>
      <w:r>
        <w:rPr>
          <w:rFonts w:ascii="Arial" w:cs="Arial" w:eastAsia="Arial" w:hAnsi="Arial"/>
          <w:sz w:val="17"/>
          <w:szCs w:val="17"/>
          <w:color w:val="32406B"/>
        </w:rPr>
        <w:t>has served as our Chief Financial Officer since December 2020. In addition, Ms. Henderson serves as a director and</w:t>
      </w:r>
      <w:r>
        <w:rPr>
          <w:rFonts w:ascii="Arial" w:cs="Arial" w:eastAsia="Arial" w:hAnsi="Arial"/>
          <w:sz w:val="17"/>
          <w:szCs w:val="17"/>
          <w:b w:val="1"/>
          <w:bCs w:val="1"/>
          <w:color w:val="32406B"/>
        </w:rPr>
        <w:t xml:space="preserve"> </w:t>
      </w:r>
      <w:r>
        <w:rPr>
          <w:rFonts w:ascii="Arial" w:cs="Arial" w:eastAsia="Arial" w:hAnsi="Arial"/>
          <w:sz w:val="17"/>
          <w:szCs w:val="17"/>
          <w:color w:val="32406B"/>
        </w:rPr>
        <w:t>chair of the audit committee of Akero Therapeutics, Inc. since April 2019, of IVERIC bio, Inc. since January 2018 and of Sesen Bio, Inc., formerly Eleven Biotherapeutics, Inc., since October 2013. Prior to joining Adagio, Ms. Henderson served as Chief Financial Officer of Turnstone Biologics from June 2018 to December 2020, Chief Financial Officer and Senior Vice President, Corporate Development of Voyager Therapeutics, Inc. from January 2017 to June 2018 and Senior Vice President and Chief Financial &amp; Business Officer of Kolltan Pharmaceuticals, Inc. from February 2013 to November 2016. Ms. Henderson received a B.S. in Psychology from Duke University.</w:t>
      </w:r>
    </w:p>
    <w:p>
      <w:pPr>
        <w:spacing w:after="0" w:line="17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7"/>
          <w:szCs w:val="17"/>
          <w:b w:val="1"/>
          <w:bCs w:val="1"/>
          <w:color w:val="32406B"/>
        </w:rPr>
        <w:t xml:space="preserve">David Hering, M.B.A. </w:t>
      </w:r>
      <w:r>
        <w:rPr>
          <w:rFonts w:ascii="Arial" w:cs="Arial" w:eastAsia="Arial" w:hAnsi="Arial"/>
          <w:sz w:val="17"/>
          <w:szCs w:val="17"/>
          <w:color w:val="32406B"/>
        </w:rPr>
        <w:t>has served as our Chief Operating Officer since June 2021. Prior to joining Adagio, Mr. Hering served as the Head of the</w:t>
      </w:r>
      <w:r>
        <w:rPr>
          <w:rFonts w:ascii="Arial" w:cs="Arial" w:eastAsia="Arial" w:hAnsi="Arial"/>
          <w:sz w:val="17"/>
          <w:szCs w:val="17"/>
          <w:b w:val="1"/>
          <w:bCs w:val="1"/>
          <w:color w:val="32406B"/>
        </w:rPr>
        <w:t xml:space="preserve"> </w:t>
      </w:r>
      <w:r>
        <w:rPr>
          <w:rFonts w:ascii="Arial" w:cs="Arial" w:eastAsia="Arial" w:hAnsi="Arial"/>
          <w:sz w:val="17"/>
          <w:szCs w:val="17"/>
          <w:color w:val="32406B"/>
        </w:rPr>
        <w:t>mRNA Global Franchise Business of Pfizer, Inc. from April 2021 to June 2021, the President of North America Vaccines of Pfizer, Inc. from December 2018 to April 2021 and the Vaccines Commercial Officer of Pfizer, Inc. from June 2015 to December 2018. Before joining Pfizer in 2015, Mr. Hering spent seven years at Novartis Vaccines, where he held the position of Head of the North America Region. Mr. Hering received an M.B.A. from Harvard Business School and a B.S. in Operations Research and Industrial Engineering from Cornell University.</w:t>
      </w:r>
    </w:p>
    <w:p>
      <w:pPr>
        <w:spacing w:after="0" w:line="168"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color w:val="32406B"/>
        </w:rPr>
        <w:t xml:space="preserve">Elham (Ellie) Hershberger, Pharm.D. </w:t>
      </w:r>
      <w:r>
        <w:rPr>
          <w:rFonts w:ascii="Arial" w:cs="Arial" w:eastAsia="Arial" w:hAnsi="Arial"/>
          <w:sz w:val="16"/>
          <w:szCs w:val="16"/>
          <w:color w:val="32406B"/>
        </w:rPr>
        <w:t>has served as our Chief Development Officer since June 2020. Prior to joining Adagio, Dr. Hershberger</w:t>
      </w:r>
      <w:r>
        <w:rPr>
          <w:rFonts w:ascii="Arial" w:cs="Arial" w:eastAsia="Arial" w:hAnsi="Arial"/>
          <w:sz w:val="16"/>
          <w:szCs w:val="16"/>
          <w:b w:val="1"/>
          <w:bCs w:val="1"/>
          <w:color w:val="32406B"/>
        </w:rPr>
        <w:t xml:space="preserve"> </w:t>
      </w:r>
      <w:r>
        <w:rPr>
          <w:rFonts w:ascii="Arial" w:cs="Arial" w:eastAsia="Arial" w:hAnsi="Arial"/>
          <w:sz w:val="16"/>
          <w:szCs w:val="16"/>
          <w:color w:val="32406B"/>
        </w:rPr>
        <w:t>served as President of EMH Consulting Group, Inc. from July 2017 to October 2020 and as Head of Clinical Development of Visterra, Inc. from January 2016 to July 2017. Dr. Hershberger received a B.S. in Chemistry from University of Minnesota and a Pharm.D. from Ferris State University.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Key Employees</w:t>
      </w:r>
    </w:p>
    <w:p>
      <w:pPr>
        <w:spacing w:after="0" w:line="117"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32406B"/>
        </w:rPr>
        <w:t xml:space="preserve">Laura Walker, Ph.D. </w:t>
      </w:r>
      <w:r>
        <w:rPr>
          <w:rFonts w:ascii="Arial" w:cs="Arial" w:eastAsia="Arial" w:hAnsi="Arial"/>
          <w:sz w:val="18"/>
          <w:szCs w:val="18"/>
          <w:color w:val="32406B"/>
        </w:rPr>
        <w:t>is our co-founder and has served as our Chief Scientific Officer since June 2020. In addition, Dr. Walker has served in</w:t>
      </w:r>
      <w:r>
        <w:rPr>
          <w:rFonts w:ascii="Arial" w:cs="Arial" w:eastAsia="Arial" w:hAnsi="Arial"/>
          <w:sz w:val="18"/>
          <w:szCs w:val="18"/>
          <w:b w:val="1"/>
          <w:bCs w:val="1"/>
          <w:color w:val="32406B"/>
        </w:rPr>
        <w:t xml:space="preserve"> </w:t>
      </w:r>
      <w:r>
        <w:rPr>
          <w:rFonts w:ascii="Arial" w:cs="Arial" w:eastAsia="Arial" w:hAnsi="Arial"/>
          <w:sz w:val="18"/>
          <w:szCs w:val="18"/>
          <w:color w:val="32406B"/>
        </w:rPr>
        <w:t>various roles at Adimab, LLC, including Group Leader, since May 2012 and has served as Senior Director of Antibody Sciences since October 2019. Dr. Walker received a B.S. in Biochemistry from University of Wisconsin-Madison and a Ph.D. in Microbiology and Immunology from The Scripps Research Institute.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32406B"/>
        </w:rPr>
        <w:t xml:space="preserve">Eric Kimble, M.B.A. </w:t>
      </w:r>
      <w:r>
        <w:rPr>
          <w:rFonts w:ascii="Arial" w:cs="Arial" w:eastAsia="Arial" w:hAnsi="Arial"/>
          <w:sz w:val="18"/>
          <w:szCs w:val="18"/>
          <w:color w:val="32406B"/>
        </w:rPr>
        <w:t>has served as Chief Commercial Officer since September 2020. Prior to joining Adagio, Mr. Kimble served as Chief</w:t>
      </w:r>
      <w:r>
        <w:rPr>
          <w:rFonts w:ascii="Arial" w:cs="Arial" w:eastAsia="Arial" w:hAnsi="Arial"/>
          <w:sz w:val="18"/>
          <w:szCs w:val="18"/>
          <w:b w:val="1"/>
          <w:bCs w:val="1"/>
          <w:color w:val="32406B"/>
        </w:rPr>
        <w:t xml:space="preserve"> </w:t>
      </w:r>
      <w:r>
        <w:rPr>
          <w:rFonts w:ascii="Arial" w:cs="Arial" w:eastAsia="Arial" w:hAnsi="Arial"/>
          <w:sz w:val="18"/>
          <w:szCs w:val="18"/>
          <w:color w:val="32406B"/>
        </w:rPr>
        <w:t>Commercial Officer for Entasis Therapeutics, Inc. from April 2019 to September 2020 and as a consultant for various emerging biotechnology companies from June 2013 to April 2019. Mr. Kimble received an A.B. in English Literature and Business Economics from Brown University and an M.B.A. from the Harvard Business School.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Non-Employee Directors</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32406B"/>
        </w:rPr>
        <w:t xml:space="preserve">René Russo, Pharm.D. </w:t>
      </w:r>
      <w:r>
        <w:rPr>
          <w:rFonts w:ascii="Arial" w:cs="Arial" w:eastAsia="Arial" w:hAnsi="Arial"/>
          <w:sz w:val="18"/>
          <w:szCs w:val="18"/>
          <w:color w:val="32406B"/>
        </w:rPr>
        <w:t>is our co-founder and has served as the chair of our board of directors since October 2020. Dr. Russo has served as the</w:t>
      </w:r>
      <w:r>
        <w:rPr>
          <w:rFonts w:ascii="Arial" w:cs="Arial" w:eastAsia="Arial" w:hAnsi="Arial"/>
          <w:sz w:val="18"/>
          <w:szCs w:val="18"/>
          <w:b w:val="1"/>
          <w:bCs w:val="1"/>
          <w:color w:val="32406B"/>
        </w:rPr>
        <w:t xml:space="preserve"> </w:t>
      </w:r>
      <w:r>
        <w:rPr>
          <w:rFonts w:ascii="Arial" w:cs="Arial" w:eastAsia="Arial" w:hAnsi="Arial"/>
          <w:sz w:val="18"/>
          <w:szCs w:val="18"/>
          <w:color w:val="32406B"/>
        </w:rPr>
        <w:t>Chief Executive Officer of Xilio Therapeutics, Inc since May 2019. Prior to her position at Xilio, Dr. Russo served as President and Chief Executive Officer of Arsanis, Inc. from April 2016</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163</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32406B"/>
        </w:rPr>
        <w:t>to November 2018, and as its Chief Development Officer from July 2015 to April 2016. In addition, Dr. Russo has served as a director of Celsius Therapeutics, Inc. since May 2020 and X4 Pharmaceuticals, Inc. since March 2019. Dr. Russo received a B.S. in Pharmacy and a Pharm.D. from Rutgers University. We believe Dr. Russo is qualified to serve as a member of our board of directors because of her experience as an executive at public and private pharmaceutical companies and her expertise in clinical development and commercialization of therapeutics.</w:t>
      </w:r>
    </w:p>
    <w:p>
      <w:pPr>
        <w:spacing w:after="0" w:line="16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color w:val="32406B"/>
        </w:rPr>
        <w:t xml:space="preserve">Terrance McGuire </w:t>
      </w:r>
      <w:r>
        <w:rPr>
          <w:rFonts w:ascii="Arial" w:cs="Arial" w:eastAsia="Arial" w:hAnsi="Arial"/>
          <w:sz w:val="17"/>
          <w:szCs w:val="17"/>
          <w:color w:val="32406B"/>
        </w:rPr>
        <w:t>has served as a member of our board of directors since October 2020. Mr. McGuire is a Founding Partner of Polaris Partners,</w:t>
      </w:r>
      <w:r>
        <w:rPr>
          <w:rFonts w:ascii="Arial" w:cs="Arial" w:eastAsia="Arial" w:hAnsi="Arial"/>
          <w:sz w:val="17"/>
          <w:szCs w:val="17"/>
          <w:b w:val="1"/>
          <w:bCs w:val="1"/>
          <w:color w:val="32406B"/>
        </w:rPr>
        <w:t xml:space="preserve"> </w:t>
      </w:r>
      <w:r>
        <w:rPr>
          <w:rFonts w:ascii="Arial" w:cs="Arial" w:eastAsia="Arial" w:hAnsi="Arial"/>
          <w:sz w:val="17"/>
          <w:szCs w:val="17"/>
          <w:color w:val="32406B"/>
        </w:rPr>
        <w:t>a venture capital firm investing in technology and healthcare companies, since 1996. In addition, Mr. McGuire serves as chairman of the board of directors of Ironwood Pharmaceuticals, Inc. and has served as a director since 1998. Mr. McGuire also currently serves on the boards of directors of Acceleron Pharma, Inc. since 2005, Pulmatrix, Inc. since May 2016 and Adimab, LLC since August 2007. Mr. McGuire received a B.S. in physics and economics from Hobart College, an M.B.A. from Harvard Business School and an M.S. in Engineering from the Thayer School at Dartmouth College. We believe Mr. McGuire is qualified to serve as a member of our board of directors because of his expertise in the biotechnology industry through his career in venture capital as well as his experience as a director of several biotechnology companies.</w:t>
      </w:r>
    </w:p>
    <w:p>
      <w:pPr>
        <w:spacing w:after="0" w:line="17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b w:val="1"/>
          <w:bCs w:val="1"/>
          <w:color w:val="32406B"/>
        </w:rPr>
        <w:t xml:space="preserve">Ajay Royan </w:t>
      </w:r>
      <w:r>
        <w:rPr>
          <w:rFonts w:ascii="Arial" w:cs="Arial" w:eastAsia="Arial" w:hAnsi="Arial"/>
          <w:sz w:val="18"/>
          <w:szCs w:val="18"/>
          <w:color w:val="32406B"/>
        </w:rPr>
        <w:t>has served as a member of our board of directors since October 2020. Mr. Royan has served as Managing General Partner and</w:t>
      </w:r>
      <w:r>
        <w:rPr>
          <w:rFonts w:ascii="Arial" w:cs="Arial" w:eastAsia="Arial" w:hAnsi="Arial"/>
          <w:sz w:val="18"/>
          <w:szCs w:val="18"/>
          <w:b w:val="1"/>
          <w:bCs w:val="1"/>
          <w:color w:val="32406B"/>
        </w:rPr>
        <w:t xml:space="preserve"> </w:t>
      </w:r>
      <w:r>
        <w:rPr>
          <w:rFonts w:ascii="Arial" w:cs="Arial" w:eastAsia="Arial" w:hAnsi="Arial"/>
          <w:sz w:val="18"/>
          <w:szCs w:val="18"/>
          <w:color w:val="32406B"/>
        </w:rPr>
        <w:t>Founder of Mithril Capital Management LLC, a venture capital firm investing in technology companies, since June 2012 and on the board of directors of several private companies in which Mithril Capital Management LLC or its affiliates have invested. In addition, Mr. Royan has served as a director of Adimab, LLC since September 2014 and has served as a director of Blacksky Holdings, Inc. since June 2016. Mr. Royan serves on the Science Advisory Board of the Oak Ridge National Laboratory, the board of directors of Fulbright Canada, and the Presidents’ Circle of the National Academies of Science, Engineering, and Medicine. Mr. Royan received a B.A. from Yale University. We believe Mr. Royan is qualified to serve as a member of our board of directors because of his expertise in the technology industry through his career in venture capital and his experience as a director of several technology companies.</w:t>
      </w:r>
    </w:p>
    <w:p>
      <w:pPr>
        <w:spacing w:after="0" w:line="19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b w:val="1"/>
          <w:bCs w:val="1"/>
          <w:color w:val="32406B"/>
        </w:rPr>
        <w:t xml:space="preserve">Howard Mayer, M.D. </w:t>
      </w:r>
      <w:r>
        <w:rPr>
          <w:rFonts w:ascii="Arial" w:cs="Arial" w:eastAsia="Arial" w:hAnsi="Arial"/>
          <w:sz w:val="17"/>
          <w:szCs w:val="17"/>
          <w:color w:val="32406B"/>
        </w:rPr>
        <w:t>has served as a member of our board of directors since August 2020. In addition, Dr. Mayer has served on the board of</w:t>
      </w:r>
      <w:r>
        <w:rPr>
          <w:rFonts w:ascii="Arial" w:cs="Arial" w:eastAsia="Arial" w:hAnsi="Arial"/>
          <w:sz w:val="17"/>
          <w:szCs w:val="17"/>
          <w:b w:val="1"/>
          <w:bCs w:val="1"/>
          <w:color w:val="32406B"/>
        </w:rPr>
        <w:t xml:space="preserve"> </w:t>
      </w:r>
      <w:r>
        <w:rPr>
          <w:rFonts w:ascii="Arial" w:cs="Arial" w:eastAsia="Arial" w:hAnsi="Arial"/>
          <w:sz w:val="17"/>
          <w:szCs w:val="17"/>
          <w:color w:val="32406B"/>
        </w:rPr>
        <w:t>directors of Entasis Therapeutics Holdings Inc. since August 2019. Dr. Mayer has served as the Executive Vice President, Head of Research and Development for Ipsen Biopharmaceuticals, Inc. since December 2019. Prior to joining Ipsen, Dr. Mayer served as the Senior Vice President, Chief Medical Officer and Global Head of Research &amp; Development, Neuroscience Division at Shire Pharmaceuticals, Inc., or Shire,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of directors because of his extensive experience in the biopharmaceutical industry and his scientific background.</w:t>
      </w:r>
    </w:p>
    <w:p>
      <w:pPr>
        <w:spacing w:after="0" w:line="173"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b w:val="1"/>
          <w:bCs w:val="1"/>
          <w:color w:val="32406B"/>
        </w:rPr>
        <w:t xml:space="preserve">Anand Shah, M.D. </w:t>
      </w:r>
      <w:r>
        <w:rPr>
          <w:rFonts w:ascii="Arial" w:cs="Arial" w:eastAsia="Arial" w:hAnsi="Arial"/>
          <w:sz w:val="16"/>
          <w:szCs w:val="16"/>
          <w:color w:val="32406B"/>
        </w:rPr>
        <w:t>has served as a member of our board of directors since June 2021. Dr. Shah served as the Deputy Commissioner for Medical</w:t>
      </w:r>
      <w:r>
        <w:rPr>
          <w:rFonts w:ascii="Arial" w:cs="Arial" w:eastAsia="Arial" w:hAnsi="Arial"/>
          <w:sz w:val="16"/>
          <w:szCs w:val="16"/>
          <w:b w:val="1"/>
          <w:bCs w:val="1"/>
          <w:color w:val="32406B"/>
        </w:rPr>
        <w:t xml:space="preserve"> </w:t>
      </w:r>
      <w:r>
        <w:rPr>
          <w:rFonts w:ascii="Arial" w:cs="Arial" w:eastAsia="Arial" w:hAnsi="Arial"/>
          <w:sz w:val="16"/>
          <w:szCs w:val="16"/>
          <w:color w:val="32406B"/>
        </w:rPr>
        <w:t>and Scientific Affairs at the U.S. Food and Drug Administration from January 2020 to January 2021. Dr. Shah has served as a senior advisor to Morgan Stanley since January 2021. Dr. Shah previously served as Chief Medical Officer of the Center for Medicare and Medicaid Innovation from October 2017 to January 2019 and Senior Medical Advisor from January 2019 to January 2020, both at the Centers for Medicare and Medicaid Services. Dr. Shah served as an Adjunct Senior Fellow at the Leonard David Institute of Health Economics at the University of Pennsylvania from March 2017 to January 2020. Dr. Shah received an M.D. from University of Pennsylvania, an M.P.H. in Health Care Management and Policy from the Harvard School of Public Health and a B.S. in Economics from Duke University. We believe Dr. Shah is qualified to serve as a member of our board of directors because of his expertise in health policy, the biotechnology field and bringing new technologies to market.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164</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294" w:lineRule="auto"/>
        <w:rPr>
          <w:sz w:val="20"/>
          <w:szCs w:val="20"/>
          <w:color w:val="auto"/>
        </w:rPr>
      </w:pPr>
      <w:r>
        <w:rPr>
          <w:rFonts w:ascii="Arial" w:cs="Arial" w:eastAsia="Arial" w:hAnsi="Arial"/>
          <w:sz w:val="16"/>
          <w:szCs w:val="16"/>
          <w:b w:val="1"/>
          <w:bCs w:val="1"/>
          <w:color w:val="32406B"/>
        </w:rPr>
        <w:t xml:space="preserve">Tom Heyman </w:t>
      </w:r>
      <w:r>
        <w:rPr>
          <w:rFonts w:ascii="Arial" w:cs="Arial" w:eastAsia="Arial" w:hAnsi="Arial"/>
          <w:sz w:val="16"/>
          <w:szCs w:val="16"/>
          <w:color w:val="32406B"/>
        </w:rPr>
        <w:t>has served as a member of our board of directors since June 2021. Mr. Heyman previously served as the President of Johnson &amp;</w:t>
      </w:r>
      <w:r>
        <w:rPr>
          <w:rFonts w:ascii="Arial" w:cs="Arial" w:eastAsia="Arial" w:hAnsi="Arial"/>
          <w:sz w:val="16"/>
          <w:szCs w:val="16"/>
          <w:b w:val="1"/>
          <w:bCs w:val="1"/>
          <w:color w:val="32406B"/>
        </w:rPr>
        <w:t xml:space="preserve"> </w:t>
      </w:r>
      <w:r>
        <w:rPr>
          <w:rFonts w:ascii="Arial" w:cs="Arial" w:eastAsia="Arial" w:hAnsi="Arial"/>
          <w:sz w:val="16"/>
          <w:szCs w:val="16"/>
          <w:color w:val="32406B"/>
        </w:rPr>
        <w:t>Johnson’s Corporate Venture Capital Group from April 2015 to September 2019 and as the Global Head of Business Development for Johnson &amp; Johnson’s Pharmaceutical Group from March 1992 to March 2015. In addition, Mr. Heyman previously served as Chief Executive Officer of Janssen Pharmaceuticals from November 2008 to November 2016. Mr. Heyman has served as a director of OptiNose, Inc. since December 2020 and a director of Akero Therapeutics, Inc. since June 2020. Mr. Heyman received his Master of Laws from Katholieke Universiteit Leuven. We believe Mr. Heyman is qualified to serve as a member of our board of directors because of his expertise in the biotechnology industry through his career in venture capital.</w:t>
      </w:r>
    </w:p>
    <w:p>
      <w:pPr>
        <w:spacing w:after="0" w:line="160" w:lineRule="exact"/>
        <w:rPr>
          <w:sz w:val="20"/>
          <w:szCs w:val="20"/>
          <w:color w:val="auto"/>
        </w:rPr>
      </w:pPr>
    </w:p>
    <w:p>
      <w:pPr>
        <w:jc w:val="both"/>
        <w:ind w:left="120" w:right="20" w:firstLine="440"/>
        <w:spacing w:after="0" w:line="292" w:lineRule="auto"/>
        <w:rPr>
          <w:sz w:val="20"/>
          <w:szCs w:val="20"/>
          <w:color w:val="auto"/>
        </w:rPr>
      </w:pPr>
      <w:r>
        <w:rPr>
          <w:rFonts w:ascii="Arial" w:cs="Arial" w:eastAsia="Arial" w:hAnsi="Arial"/>
          <w:sz w:val="16"/>
          <w:szCs w:val="16"/>
          <w:b w:val="1"/>
          <w:bCs w:val="1"/>
          <w:color w:val="32406B"/>
        </w:rPr>
        <w:t xml:space="preserve">Michael Wyzga </w:t>
      </w:r>
      <w:r>
        <w:rPr>
          <w:rFonts w:ascii="Arial" w:cs="Arial" w:eastAsia="Arial" w:hAnsi="Arial"/>
          <w:sz w:val="16"/>
          <w:szCs w:val="16"/>
          <w:color w:val="32406B"/>
        </w:rPr>
        <w:t>has served as a member of our board of directors since July 2021. Mr. Wyzga currently serves as the President of MSW</w:t>
      </w:r>
      <w:r>
        <w:rPr>
          <w:rFonts w:ascii="Arial" w:cs="Arial" w:eastAsia="Arial" w:hAnsi="Arial"/>
          <w:sz w:val="16"/>
          <w:szCs w:val="16"/>
          <w:b w:val="1"/>
          <w:bCs w:val="1"/>
          <w:color w:val="32406B"/>
        </w:rPr>
        <w:t xml:space="preserve"> </w:t>
      </w:r>
      <w:r>
        <w:rPr>
          <w:rFonts w:ascii="Arial" w:cs="Arial" w:eastAsia="Arial" w:hAnsi="Arial"/>
          <w:sz w:val="16"/>
          <w:szCs w:val="16"/>
          <w:color w:val="32406B"/>
        </w:rPr>
        <w:t>Consulting, Inc. since November 2013. Mr. Wyzga also currently serves as a member and chair of the board of directors for GenSight Biologics S.A. since July 2015 and for X4 Pharmaceuticals, Inc. since July 2018. Mr. Wyzga also currently serves as a member of the board and chair of the audit committee for LogicBio Therapeutics since December 2018 and for Exact Science, Inc. since February 2015. Mr. Wyzga serves as a member and deputy chair of the board of Mereo Pharmaceuticals since April 2019 and prior to that, Mr. Wyzga served as a member of the board of directors of OncoMed from October 2013 to April 2019. Mr. Wyzga received an M.B.A. from Providence College and a B.S. from Suffolk University. We believe Mr. Wyzga is qualified to serve as a member of our board of directors because of his experience in the biotechnology space and his financial experience.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Board Composition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Our business and affairs are managed under the direction of our board of directors, which currently consists of six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In accordance with our amended and restated certificate of incorporation and amended and restated bylaws that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3" w:lineRule="exact"/>
        <w:rPr>
          <w:sz w:val="20"/>
          <w:szCs w:val="20"/>
          <w:color w:val="auto"/>
        </w:rPr>
      </w:pPr>
    </w:p>
    <w:p>
      <w:pPr>
        <w:ind w:left="1080" w:hanging="532"/>
        <w:spacing w:after="0" w:line="277" w:lineRule="auto"/>
        <w:tabs>
          <w:tab w:leader="none" w:pos="1080" w:val="left"/>
        </w:tabs>
        <w:numPr>
          <w:ilvl w:val="0"/>
          <w:numId w:val="98"/>
        </w:numPr>
        <w:rPr>
          <w:rFonts w:ascii="Arial" w:cs="Arial" w:eastAsia="Arial" w:hAnsi="Arial"/>
          <w:sz w:val="18"/>
          <w:szCs w:val="18"/>
          <w:color w:val="32406B"/>
        </w:rPr>
      </w:pPr>
      <w:r>
        <w:rPr>
          <w:rFonts w:ascii="Arial" w:cs="Arial" w:eastAsia="Arial" w:hAnsi="Arial"/>
          <w:sz w:val="18"/>
          <w:szCs w:val="18"/>
          <w:color w:val="32406B"/>
        </w:rPr>
        <w:t>Class I, which will consist of Dr. Russo and Mr. Royan, and their terms will expire at our first annual meeting of stockholders to be held after the closing of this offering;</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32406B"/>
        </w:rPr>
      </w:pPr>
      <w:r>
        <w:rPr>
          <w:rFonts w:ascii="Arial" w:cs="Arial" w:eastAsia="Arial" w:hAnsi="Arial"/>
          <w:sz w:val="18"/>
          <w:szCs w:val="18"/>
          <w:color w:val="32406B"/>
        </w:rPr>
        <w:t>Class II, which will consist of Messrs. Heyman and McGuire and Dr. Mayer, and their terms will expire at our second annual meeting of stockholders to be held after the closing of this offering; and</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32406B"/>
        </w:rPr>
      </w:pPr>
      <w:r>
        <w:rPr>
          <w:rFonts w:ascii="Arial" w:cs="Arial" w:eastAsia="Arial" w:hAnsi="Arial"/>
          <w:sz w:val="18"/>
          <w:szCs w:val="18"/>
          <w:color w:val="32406B"/>
        </w:rPr>
        <w:t>Class III, which will consist of Drs. Gerngross and Shah and Mr. Wyzga, and their terms will expire at our third annual meeting of stockholders to be held after the closing of this offering.</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Director Independence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Applicable Nasdaq rules, or the Nasdaq Listing Rules, require a majority of a listed company’s board of directors to be composed of independent directors within one year of listing. In addition, the Nasdaq Listing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165</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32406B"/>
        </w:rPr>
        <w:t>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 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66"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Our board of directors has determined that all of our directors other than Dr. Gerngross and Messrs. McGuire and Royan, representing three of our eight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or her independence, including the beneficial ownership of our capital stock by each director and the transactions described in the section titled “Certain Relationships and Related Party Transactions.”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Role of the Board in Risk Oversight</w:t>
      </w:r>
    </w:p>
    <w:p>
      <w:pPr>
        <w:spacing w:after="0" w:line="121"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Board Committees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Audit Committee</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Upon the completion of this offering, our audit committee will consist of Dr. Russo and Messrs. Heyman and Wyzga, with Mr. Wyzga serving as chair of the audit committee. 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 that Mr. Wyzga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functions of this committee include, among other things:</w:t>
      </w:r>
    </w:p>
    <w:p>
      <w:pPr>
        <w:spacing w:after="0" w:line="131" w:lineRule="exact"/>
        <w:rPr>
          <w:sz w:val="20"/>
          <w:szCs w:val="20"/>
          <w:color w:val="auto"/>
        </w:rPr>
      </w:pPr>
    </w:p>
    <w:p>
      <w:pPr>
        <w:ind w:left="5480" w:right="3000" w:hanging="4932"/>
        <w:spacing w:after="0" w:line="449" w:lineRule="auto"/>
        <w:tabs>
          <w:tab w:leader="none" w:pos="1079" w:val="left"/>
        </w:tabs>
        <w:numPr>
          <w:ilvl w:val="0"/>
          <w:numId w:val="99"/>
        </w:numPr>
        <w:rPr>
          <w:rFonts w:ascii="Arial" w:cs="Arial" w:eastAsia="Arial" w:hAnsi="Arial"/>
          <w:sz w:val="18"/>
          <w:szCs w:val="18"/>
          <w:color w:val="32406B"/>
        </w:rPr>
      </w:pPr>
      <w:r>
        <w:rPr>
          <w:rFonts w:ascii="Arial" w:cs="Arial" w:eastAsia="Arial" w:hAnsi="Arial"/>
          <w:sz w:val="18"/>
          <w:szCs w:val="18"/>
          <w:color w:val="32406B"/>
        </w:rPr>
        <w:t>helping our board of directors oversee our corporate accounting and financial reporting processes; 166</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developing procedures for employees to submit concerns anonymously about questionable accounting or audit matters;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reviewing related person transactions;</w:t>
      </w:r>
    </w:p>
    <w:p>
      <w:pPr>
        <w:spacing w:after="0" w:line="130" w:lineRule="exact"/>
        <w:rPr>
          <w:rFonts w:ascii="Arial" w:cs="Arial" w:eastAsia="Arial" w:hAnsi="Arial"/>
          <w:sz w:val="18"/>
          <w:szCs w:val="18"/>
          <w:color w:val="32406B"/>
        </w:rPr>
      </w:pPr>
    </w:p>
    <w:p>
      <w:pPr>
        <w:jc w:val="both"/>
        <w:ind w:left="1080" w:hanging="532"/>
        <w:spacing w:after="0" w:line="263" w:lineRule="auto"/>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0"/>
        </w:numPr>
        <w:rPr>
          <w:rFonts w:ascii="Arial" w:cs="Arial" w:eastAsia="Arial" w:hAnsi="Arial"/>
          <w:sz w:val="18"/>
          <w:szCs w:val="18"/>
          <w:color w:val="32406B"/>
        </w:rPr>
      </w:pPr>
      <w:r>
        <w:rPr>
          <w:rFonts w:ascii="Arial" w:cs="Arial" w:eastAsia="Arial" w:hAnsi="Arial"/>
          <w:sz w:val="18"/>
          <w:szCs w:val="18"/>
          <w:color w:val="32406B"/>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We believe that the composition and functioning of our audit committee will comply with all applicable SEC and Nasdaq rules and regulations.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We intend to comply with future requirements to the extent they become applicable to us.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Compensation Committee</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Upon the completion of this offering, our compensation committee will consist of Drs. Mayer and Shah and Mr. Wyzga, with Dr. Mayer serving as chair of the compensation committee. Each of these individuals is a non-employee director, as defined in Rule 16b-3 promulgated under the Exchange Act. Our board of directors has determined that each of these individuals is ‘‘independent’’ as defined under the applicable listing standards of Nasdaq, including the standards specific to members of a compensation committee. The functions of this committee include, among other things:</w:t>
      </w:r>
    </w:p>
    <w:p>
      <w:pPr>
        <w:spacing w:after="0" w:line="63" w:lineRule="exact"/>
        <w:rPr>
          <w:sz w:val="20"/>
          <w:szCs w:val="20"/>
          <w:color w:val="auto"/>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reviewing, modifying and approving (or if it deems appropriate, making recommendations to the full board of directors regarding) our overall compensation strategy and policies;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making recommendations to the full board of directors regarding the compensation and other terms of employment of our executive officers;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reviewing and making recommendations to the full board of directors regarding performance goals and objectives relevant to the compensation of our executive officers and assessing their performance against these goals and objectives;</w:t>
      </w:r>
    </w:p>
    <w:p>
      <w:pPr>
        <w:spacing w:after="0" w:line="75"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89"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reviewing and making recommendations to the full board of directors regarding the type and amount of compensation to be paid or awarded to our non-employee board members;</w:t>
      </w:r>
    </w:p>
    <w:p>
      <w:pPr>
        <w:spacing w:after="0" w:line="75"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89"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reviewing and assessing the independence of compensation consultants, legal counsel and other advisors as required by Section 10C of the Exchange Act;</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administering our equity incentive plans;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1"/>
        </w:numPr>
        <w:rPr>
          <w:rFonts w:ascii="Arial" w:cs="Arial" w:eastAsia="Arial" w:hAnsi="Arial"/>
          <w:sz w:val="18"/>
          <w:szCs w:val="18"/>
          <w:color w:val="32406B"/>
        </w:rPr>
      </w:pPr>
      <w:r>
        <w:rPr>
          <w:rFonts w:ascii="Arial" w:cs="Arial" w:eastAsia="Arial" w:hAnsi="Arial"/>
          <w:sz w:val="18"/>
          <w:szCs w:val="18"/>
          <w:color w:val="32406B"/>
        </w:rPr>
        <w:t>establishing policies with respect to equity compensation arrangements;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167</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reviewing the competitiveness of our executive compensation programs and evaluating the effectiveness of our compensation policy and strategy in achieving expected benefits to us;</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75" w:lineRule="exact"/>
        <w:rPr>
          <w:rFonts w:ascii="Arial" w:cs="Arial" w:eastAsia="Arial" w:hAnsi="Arial"/>
          <w:sz w:val="18"/>
          <w:szCs w:val="18"/>
          <w:color w:val="32406B"/>
        </w:rPr>
      </w:pPr>
    </w:p>
    <w:p>
      <w:pPr>
        <w:ind w:left="1080" w:right="20" w:hanging="532"/>
        <w:spacing w:after="0" w:line="308" w:lineRule="auto"/>
        <w:tabs>
          <w:tab w:leader="none" w:pos="1080" w:val="left"/>
        </w:tabs>
        <w:numPr>
          <w:ilvl w:val="0"/>
          <w:numId w:val="102"/>
        </w:numPr>
        <w:rPr>
          <w:rFonts w:ascii="Arial" w:cs="Arial" w:eastAsia="Arial" w:hAnsi="Arial"/>
          <w:sz w:val="17"/>
          <w:szCs w:val="17"/>
          <w:color w:val="32406B"/>
        </w:rPr>
      </w:pPr>
      <w:r>
        <w:rPr>
          <w:rFonts w:ascii="Arial" w:cs="Arial" w:eastAsia="Arial" w:hAnsi="Arial"/>
          <w:sz w:val="17"/>
          <w:szCs w:val="17"/>
          <w:color w:val="32406B"/>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102"/>
        </w:numPr>
        <w:rPr>
          <w:rFonts w:ascii="Arial" w:cs="Arial" w:eastAsia="Arial" w:hAnsi="Arial"/>
          <w:sz w:val="18"/>
          <w:szCs w:val="18"/>
          <w:color w:val="32406B"/>
        </w:rPr>
      </w:pPr>
      <w:r>
        <w:rPr>
          <w:rFonts w:ascii="Arial" w:cs="Arial" w:eastAsia="Arial" w:hAnsi="Arial"/>
          <w:sz w:val="18"/>
          <w:szCs w:val="18"/>
          <w:color w:val="32406B"/>
        </w:rPr>
        <w:t>preparing the report that the SEC requires in our annual proxy statement;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2"/>
        </w:numPr>
        <w:rPr>
          <w:rFonts w:ascii="Arial" w:cs="Arial" w:eastAsia="Arial" w:hAnsi="Arial"/>
          <w:sz w:val="16"/>
          <w:szCs w:val="16"/>
          <w:color w:val="32406B"/>
        </w:rPr>
      </w:pPr>
      <w:r>
        <w:rPr>
          <w:rFonts w:ascii="Arial" w:cs="Arial" w:eastAsia="Arial" w:hAnsi="Arial"/>
          <w:sz w:val="16"/>
          <w:szCs w:val="16"/>
          <w:color w:val="32406B"/>
        </w:rPr>
        <w:t>reviewing and evaluating on an annual basis the performance of the compensation committee and the compensation committee charter.</w:t>
      </w:r>
    </w:p>
    <w:p>
      <w:pPr>
        <w:spacing w:after="0" w:line="24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Nominating and Corporate Governance Committee</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Upon the completion of this offering, our nominating and corporate governance committee will consist of Mr. Heyman and Drs. Mayer and Shah, with Mr. Heyman serving as chair of the nominating and corporate governance committee. Our board of directors has determined that each of these individuals is “independent’’ as defined under the applicable listing standards of Nasdaq and SEC rules and regulations. The functions of this committee include, among other things:</w:t>
      </w:r>
    </w:p>
    <w:p>
      <w:pPr>
        <w:spacing w:after="0" w:line="92"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identifying, reviewing and evaluating candidates to serve on our board of directors;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determining the minimum qualifications for service on our board of directors;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evaluating director performance on the board and applicable committees of the board and determining whether continued service on our board is appropriate;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evaluating, nominating and recommending individuals for membership on our board of directors;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evaluating nominations by stockholders of candidates for election to our board of directors;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considering and assessing the independence of members of our board of directors;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developing a set of corporate governance policies and principles and recommending to our board of directors any changes to such policies and principles;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reviewing and making recommendations to the board of directors with respect to management succession planning;</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considering questions of possible conflicts of interest of directors as such questions arise; and</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03"/>
        </w:numPr>
        <w:rPr>
          <w:rFonts w:ascii="Arial" w:cs="Arial" w:eastAsia="Arial" w:hAnsi="Arial"/>
          <w:sz w:val="18"/>
          <w:szCs w:val="18"/>
          <w:color w:val="32406B"/>
        </w:rPr>
      </w:pPr>
      <w:r>
        <w:rPr>
          <w:rFonts w:ascii="Arial" w:cs="Arial" w:eastAsia="Arial" w:hAnsi="Arial"/>
          <w:sz w:val="18"/>
          <w:szCs w:val="18"/>
          <w:color w:val="32406B"/>
        </w:rPr>
        <w:t>reviewing and evaluating on an annual basis the performance of the nominating and corporate governance committee and the nominating and corporate governance committee charter.</w:t>
      </w:r>
    </w:p>
    <w:p>
      <w:pPr>
        <w:spacing w:after="0" w:line="170"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Compensation Committee Interlocks and Insider Participation</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168</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Code of Business Conduct and Ethics</w:t>
      </w:r>
    </w:p>
    <w:p>
      <w:pPr>
        <w:spacing w:after="0" w:line="12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Effective upon the closing of this offering, we will adopt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adagiotx.com. We intend to post on our website all disclosures that are required by law or the listing standards of the Nasdaq Global Market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Non-Employee Director Compensation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With the exception of the payments provided pursuant the independent director compensation policy adopted in the fourth quarter of 2020, as described below, we have not historically paid cash retainers or other compensation with respect to service on our board of directors, except for reimbursement of direct expenses incurred in connection with attending meetings of the board or committees.</w:t>
      </w:r>
    </w:p>
    <w:p>
      <w:pPr>
        <w:spacing w:after="0" w:line="184"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32406B"/>
        </w:rPr>
        <w:t>In October 2020, we adopted an independent director compensation policy pursuant to which our independent directors are entitled to receive an annual cash retainer of $35,000 for serving on our board of directors, payable in arrears on a quarterly basis. In addition, each independent director who is appointed or elected following the policy’s adoption will be entitled to be granted an option to purchase 0.25% of our outstanding shares issuable at the start of the director’s term at an exercise price equal to the fair market value of our common stock on the date of grant, with 25% of the underlying shares vesting on the first anniversary of the grant date and the remainder vesting in 36 equal monthly installments thereafter, subject to the director’s continued service through the applicable vesting date. While Dr. Russo and Dr. Howard Mayer are both independent directors, only Dr. Mayer has received compensation pursuant to this policy because Dr. Russo received compensation pursuant to the consulting agreement described below and received an option award as a co-founder of the Company.</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have adopted a non-employee director compensation policy that became effective upon the effective date of the registration statement of which this prospectus forms a part, pursuant to which each of our non-employee directors will be eligible to receive compensation for service on our board of directors and committees of our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2020 Director Compensation Table</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following table sets forth information regarding the compensation earned for service on our board of directors in 2020 by our non-employee directors. Tillman U. Gerngross, Ph.D., our Chief Executive Officer, is also a member of our board of directors but did not receive any additional compensation for service as a director.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6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32406B"/>
                <w:w w:val="87"/>
              </w:rPr>
              <w:t>Fees</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32406B"/>
                <w:w w:val="94"/>
              </w:rPr>
              <w:t>Earned or</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32406B"/>
              </w:rPr>
              <w:t>Option</w:t>
            </w: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32406B"/>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32406B"/>
                <w:w w:val="95"/>
              </w:rPr>
              <w:t>Paid in</w:t>
            </w: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32406B"/>
                <w:w w:val="89"/>
              </w:rPr>
              <w:t>Name</w:t>
            </w:r>
          </w:p>
        </w:tc>
        <w:tc>
          <w:tcPr>
            <w:tcW w:w="3140" w:type="dxa"/>
            <w:vAlign w:val="bottom"/>
            <w:gridSpan w:val="2"/>
            <w:vMerge w:val="restart"/>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32406B"/>
                <w:w w:val="93"/>
              </w:rPr>
              <w:t>Cash</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32406B"/>
              </w:rPr>
              <w:t>Awards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32406B"/>
                <w:w w:val="88"/>
              </w:rPr>
              <w:t>Compensation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40" w:type="dxa"/>
            <w:vAlign w:val="bottom"/>
            <w:gridSpan w:val="2"/>
            <w:vMerge w:val="continue"/>
          </w:tcPr>
          <w:p>
            <w:pPr>
              <w:spacing w:after="0"/>
              <w:rPr>
                <w:sz w:val="15"/>
                <w:szCs w:val="15"/>
                <w:color w:val="auto"/>
              </w:rPr>
            </w:pPr>
          </w:p>
        </w:tc>
        <w:tc>
          <w:tcPr>
            <w:tcW w:w="4000" w:type="dxa"/>
            <w:vAlign w:val="bottom"/>
            <w:gridSpan w:val="2"/>
          </w:tcPr>
          <w:p>
            <w:pPr>
              <w:jc w:val="center"/>
              <w:ind w:left="3276"/>
              <w:spacing w:after="0" w:line="158" w:lineRule="exact"/>
              <w:rPr>
                <w:sz w:val="20"/>
                <w:szCs w:val="20"/>
                <w:color w:val="auto"/>
              </w:rPr>
            </w:pPr>
            <w:r>
              <w:rPr>
                <w:rFonts w:ascii="Arial" w:cs="Arial" w:eastAsia="Arial" w:hAnsi="Arial"/>
                <w:sz w:val="14"/>
                <w:szCs w:val="14"/>
                <w:b w:val="1"/>
                <w:bCs w:val="1"/>
                <w:color w:val="32406B"/>
                <w:w w:val="93"/>
              </w:rPr>
              <w:t>($)</w:t>
            </w:r>
          </w:p>
        </w:tc>
        <w:tc>
          <w:tcPr>
            <w:tcW w:w="620" w:type="dxa"/>
            <w:vAlign w:val="bottom"/>
          </w:tcPr>
          <w:p>
            <w:pPr>
              <w:spacing w:after="0"/>
              <w:rPr>
                <w:sz w:val="15"/>
                <w:szCs w:val="15"/>
                <w:color w:val="auto"/>
              </w:rPr>
            </w:pPr>
          </w:p>
        </w:tc>
        <w:tc>
          <w:tcPr>
            <w:tcW w:w="480" w:type="dxa"/>
            <w:vAlign w:val="bottom"/>
          </w:tcPr>
          <w:p>
            <w:pPr>
              <w:ind w:left="20"/>
              <w:spacing w:after="0" w:line="158" w:lineRule="exact"/>
              <w:rPr>
                <w:sz w:val="20"/>
                <w:szCs w:val="20"/>
                <w:color w:val="auto"/>
              </w:rPr>
            </w:pPr>
            <w:r>
              <w:rPr>
                <w:rFonts w:ascii="Arial" w:cs="Arial" w:eastAsia="Arial" w:hAnsi="Arial"/>
                <w:sz w:val="14"/>
                <w:szCs w:val="14"/>
                <w:b w:val="1"/>
                <w:bCs w:val="1"/>
                <w:color w:val="32406B"/>
                <w:w w:val="94"/>
              </w:rPr>
              <w:t>($)</w:t>
            </w:r>
            <w:r>
              <w:rPr>
                <w:rFonts w:ascii="Arial" w:cs="Arial" w:eastAsia="Arial" w:hAnsi="Arial"/>
                <w:sz w:val="12"/>
                <w:szCs w:val="12"/>
                <w:b w:val="1"/>
                <w:bCs w:val="1"/>
                <w:color w:val="32406B"/>
                <w:w w:val="94"/>
              </w:rPr>
              <w:t>(1)(2)</w:t>
            </w:r>
          </w:p>
        </w:tc>
        <w:tc>
          <w:tcPr>
            <w:tcW w:w="460" w:type="dxa"/>
            <w:vAlign w:val="bottom"/>
          </w:tcPr>
          <w:p>
            <w:pPr>
              <w:spacing w:after="0"/>
              <w:rPr>
                <w:sz w:val="15"/>
                <w:szCs w:val="15"/>
                <w:color w:val="auto"/>
              </w:rPr>
            </w:pPr>
          </w:p>
        </w:tc>
        <w:tc>
          <w:tcPr>
            <w:tcW w:w="88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32406B"/>
              </w:rPr>
              <w:t>($)</w:t>
            </w:r>
          </w:p>
        </w:tc>
        <w:tc>
          <w:tcPr>
            <w:tcW w:w="460" w:type="dxa"/>
            <w:vAlign w:val="bottom"/>
          </w:tcPr>
          <w:p>
            <w:pPr>
              <w:spacing w:after="0"/>
              <w:rPr>
                <w:sz w:val="15"/>
                <w:szCs w:val="15"/>
                <w:color w:val="auto"/>
              </w:rPr>
            </w:pPr>
          </w:p>
        </w:tc>
        <w:tc>
          <w:tcPr>
            <w:tcW w:w="56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32406B"/>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32406B"/>
              </w:rPr>
              <w:t>René Russo, Pharm.D.</w:t>
            </w:r>
          </w:p>
        </w:tc>
        <w:tc>
          <w:tcPr>
            <w:tcW w:w="3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32406B"/>
                <w:w w:val="90"/>
              </w:rPr>
              <w:t>78,343</w:t>
            </w:r>
          </w:p>
        </w:tc>
        <w:tc>
          <w:tcPr>
            <w:tcW w:w="620" w:type="dxa"/>
            <w:vAlign w:val="bottom"/>
            <w:tcBorders>
              <w:top w:val="single" w:sz="8" w:color="CCEEFF"/>
            </w:tcBorders>
            <w:shd w:val="clear" w:color="auto" w:fill="CCEEFF"/>
          </w:tcPr>
          <w:p>
            <w:pPr>
              <w:jc w:val="right"/>
              <w:ind w:right="364"/>
              <w:spacing w:after="0"/>
              <w:rPr>
                <w:sz w:val="20"/>
                <w:szCs w:val="20"/>
                <w:color w:val="auto"/>
              </w:rPr>
            </w:pPr>
            <w:r>
              <w:rPr>
                <w:rFonts w:ascii="Arial" w:cs="Arial" w:eastAsia="Arial" w:hAnsi="Arial"/>
                <w:sz w:val="15"/>
                <w:szCs w:val="15"/>
                <w:color w:val="32406B"/>
                <w:w w:val="87"/>
              </w:rPr>
              <w:t>(3)</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5,941</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w w:val="98"/>
              </w:rPr>
              <w:t>84,284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32406B"/>
              </w:rPr>
              <w:t>Terrance McGuire</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Ajay Royan</w:t>
            </w:r>
          </w:p>
        </w:tc>
        <w:tc>
          <w:tcPr>
            <w:tcW w:w="3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32406B"/>
              </w:rPr>
              <w:t>Philip Chase</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Howard Mayer, M.D.</w:t>
            </w:r>
          </w:p>
        </w:tc>
        <w:tc>
          <w:tcPr>
            <w:tcW w:w="4620" w:type="dxa"/>
            <w:vAlign w:val="bottom"/>
            <w:gridSpan w:val="3"/>
            <w:shd w:val="clear" w:color="auto" w:fill="CCEEFF"/>
          </w:tcPr>
          <w:p>
            <w:pPr>
              <w:jc w:val="right"/>
              <w:ind w:right="544"/>
              <w:spacing w:after="0"/>
              <w:rPr>
                <w:sz w:val="20"/>
                <w:szCs w:val="20"/>
                <w:color w:val="auto"/>
              </w:rPr>
            </w:pPr>
            <w:r>
              <w:rPr>
                <w:rFonts w:ascii="Arial" w:cs="Arial" w:eastAsia="Arial" w:hAnsi="Arial"/>
                <w:sz w:val="18"/>
                <w:szCs w:val="18"/>
                <w:color w:val="32406B"/>
              </w:rPr>
              <w:t>14,138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14,138</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32406B"/>
              </w:rPr>
              <w:t>Anand Shah, M.D.</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32406B"/>
              </w:rPr>
              <w:t>Tom Heyman</w:t>
            </w:r>
          </w:p>
        </w:tc>
        <w:tc>
          <w:tcPr>
            <w:tcW w:w="3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32406B"/>
              </w:rPr>
              <w:t>Michael Wyzga</w:t>
            </w:r>
          </w:p>
        </w:tc>
        <w:tc>
          <w:tcPr>
            <w:tcW w:w="3360" w:type="dxa"/>
            <w:vAlign w:val="bottom"/>
          </w:tcPr>
          <w:p>
            <w:pPr>
              <w:spacing w:after="0"/>
              <w:rPr>
                <w:sz w:val="20"/>
                <w:szCs w:val="20"/>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32406B"/>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32406B"/>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121"/>
        </w:trPr>
        <w:tc>
          <w:tcPr>
            <w:tcW w:w="360" w:type="dxa"/>
            <w:vAlign w:val="bottom"/>
            <w:tcBorders>
              <w:bottom w:val="single" w:sz="8" w:color="32406B"/>
            </w:tcBorders>
          </w:tcPr>
          <w:p>
            <w:pPr>
              <w:spacing w:after="0"/>
              <w:rPr>
                <w:sz w:val="10"/>
                <w:szCs w:val="10"/>
                <w:color w:val="auto"/>
              </w:rPr>
            </w:pPr>
          </w:p>
        </w:tc>
        <w:tc>
          <w:tcPr>
            <w:tcW w:w="860" w:type="dxa"/>
            <w:vAlign w:val="bottom"/>
            <w:tcBorders>
              <w:bottom w:val="single" w:sz="8" w:color="32406B"/>
            </w:tcBorders>
          </w:tcPr>
          <w:p>
            <w:pPr>
              <w:spacing w:after="0"/>
              <w:rPr>
                <w:sz w:val="10"/>
                <w:szCs w:val="10"/>
                <w:color w:val="auto"/>
              </w:rPr>
            </w:pPr>
          </w:p>
        </w:tc>
        <w:tc>
          <w:tcPr>
            <w:tcW w:w="2280" w:type="dxa"/>
            <w:vAlign w:val="bottom"/>
          </w:tcPr>
          <w:p>
            <w:pPr>
              <w:spacing w:after="0"/>
              <w:rPr>
                <w:sz w:val="10"/>
                <w:szCs w:val="10"/>
                <w:color w:val="auto"/>
              </w:rPr>
            </w:pPr>
          </w:p>
        </w:tc>
        <w:tc>
          <w:tcPr>
            <w:tcW w:w="3360" w:type="dxa"/>
            <w:vAlign w:val="bottom"/>
            <w:vMerge w:val="restart"/>
          </w:tcPr>
          <w:p>
            <w:pPr>
              <w:jc w:val="right"/>
              <w:ind w:right="1136"/>
              <w:spacing w:after="0"/>
              <w:rPr>
                <w:sz w:val="20"/>
                <w:szCs w:val="20"/>
                <w:color w:val="auto"/>
              </w:rPr>
            </w:pPr>
            <w:r>
              <w:rPr>
                <w:rFonts w:ascii="Arial" w:cs="Arial" w:eastAsia="Arial" w:hAnsi="Arial"/>
                <w:sz w:val="18"/>
                <w:szCs w:val="18"/>
                <w:color w:val="32406B"/>
              </w:rPr>
              <w:t>169</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9"/>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53" w:lineRule="auto"/>
        <w:tabs>
          <w:tab w:leader="none" w:pos="540" w:val="left"/>
        </w:tabs>
        <w:numPr>
          <w:ilvl w:val="0"/>
          <w:numId w:val="104"/>
        </w:numPr>
        <w:rPr>
          <w:rFonts w:ascii="Arial" w:cs="Arial" w:eastAsia="Arial" w:hAnsi="Arial"/>
          <w:sz w:val="18"/>
          <w:szCs w:val="18"/>
          <w:color w:val="32406B"/>
        </w:rPr>
      </w:pPr>
      <w:r>
        <w:rPr>
          <w:rFonts w:ascii="Arial" w:cs="Arial" w:eastAsia="Arial" w:hAnsi="Arial"/>
          <w:sz w:val="18"/>
          <w:szCs w:val="18"/>
          <w:color w:val="32406B"/>
        </w:rPr>
        <w:t>The amounts disclosed represent the aggregate grant-date fair value of the stock options granted under our 2020 Plan, computed in accordance with ASC Topic 718. The assumptions used in calculating the grant-date fair value of the stock options are set forth in the notes to our audited consolidated financial statements included elsewhere in this prospectus. These amounts do not reflect the actual economic value that will be realized by the non-employee director upon vesting of the stock options, the exercise of the stock options or the sale of the common stock underlying such stock options.</w:t>
      </w:r>
    </w:p>
    <w:p>
      <w:pPr>
        <w:spacing w:after="0" w:line="3" w:lineRule="exact"/>
        <w:rPr>
          <w:rFonts w:ascii="Arial" w:cs="Arial" w:eastAsia="Arial" w:hAnsi="Arial"/>
          <w:sz w:val="18"/>
          <w:szCs w:val="18"/>
          <w:color w:val="32406B"/>
        </w:rPr>
      </w:pPr>
    </w:p>
    <w:p>
      <w:pPr>
        <w:jc w:val="both"/>
        <w:ind w:left="540" w:right="20" w:hanging="424"/>
        <w:spacing w:after="0" w:line="265" w:lineRule="auto"/>
        <w:tabs>
          <w:tab w:leader="none" w:pos="54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Dr. Russo’s consulting agreement (referred to below) acknowledges that, in consideration of her consulting services, she was granted an option to purchase 1,985,295 shares of our common stock, which option vests as to 25% of the underlying share on June 15, 2021, and the remainder of the underlying shares vest in 36 substantially equal monthly installments, subject to her continued service through each vesting date. The terms of Dr. Russo’s option also include the ability for Dr. Russo to exercise the option in full on the date of grant. Dr. Russo exercised her stock option prior to December 31, 2020 and received unvested shares of our common stock. In the event of a “change in control” (as defined our 2020 Plan), the vesting of Dr. Russo’s option will accelerate in full, subject to her continued service as of immediately prior to such change in control. Such shares are subject to a right of repurchase in favor of us at the original option exercise price that lapses in accordance with such vesting schedule. As a result, none of our non-employee directors held option awards as of December 31, 2020, and none of our non-employee directors held stock awards as of December 31, 2020, other than Dr. Russo.</w:t>
      </w:r>
    </w:p>
    <w:p>
      <w:pPr>
        <w:spacing w:after="0" w:line="1" w:lineRule="exact"/>
        <w:rPr>
          <w:rFonts w:ascii="Arial" w:cs="Arial" w:eastAsia="Arial" w:hAnsi="Arial"/>
          <w:sz w:val="17"/>
          <w:szCs w:val="17"/>
          <w:color w:val="32406B"/>
        </w:rPr>
      </w:pPr>
    </w:p>
    <w:p>
      <w:pPr>
        <w:ind w:left="540" w:hanging="424"/>
        <w:spacing w:after="0"/>
        <w:tabs>
          <w:tab w:leader="none" w:pos="54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This amount represents cash consulting fees paid during 2020 pursuant to Dr. Russo’s consulting agreement with us, as described below.</w:t>
      </w:r>
    </w:p>
    <w:p>
      <w:pPr>
        <w:spacing w:after="0" w:line="330" w:lineRule="exact"/>
        <w:rPr>
          <w:rFonts w:ascii="Arial" w:cs="Arial" w:eastAsia="Arial" w:hAnsi="Arial"/>
          <w:sz w:val="17"/>
          <w:szCs w:val="17"/>
          <w:color w:val="32406B"/>
        </w:rPr>
      </w:pPr>
    </w:p>
    <w:p>
      <w:pPr>
        <w:ind w:left="560"/>
        <w:spacing w:after="0"/>
        <w:rPr>
          <w:rFonts w:ascii="Arial" w:cs="Arial" w:eastAsia="Arial" w:hAnsi="Arial"/>
          <w:sz w:val="17"/>
          <w:szCs w:val="17"/>
          <w:color w:val="32406B"/>
        </w:rPr>
      </w:pPr>
      <w:r>
        <w:rPr>
          <w:rFonts w:ascii="Arial" w:cs="Arial" w:eastAsia="Arial" w:hAnsi="Arial"/>
          <w:sz w:val="18"/>
          <w:szCs w:val="18"/>
          <w:b w:val="1"/>
          <w:bCs w:val="1"/>
          <w:i w:val="1"/>
          <w:iCs w:val="1"/>
          <w:color w:val="32406B"/>
        </w:rPr>
        <w:t>Non-Employee Director Compensation Policy</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 anticipation of this offering and the increased responsibilities of our directors as directors of a public company, our board of directors has adopted a non-employee director compensation policy, which became effective on the effective date of the registration statement of which this prospectus forms a part, pursuant to which each of our directors who is not an employee or consultant of our company will be eligible to receive compensation for service on our board of directors and committees of our board of directors.</w:t>
      </w:r>
    </w:p>
    <w:p>
      <w:pPr>
        <w:spacing w:after="0" w:line="18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Each eligible director will receive an annual cash retainer of $40,000 for serving on our board of directors and the independent chairperson of the board of directors will receive an additional annual cash retainer of $30,000 for his or her service. The chairperson of the audit committee will be entitled to an additional annual cash retainer of $15,000, the chairperson of the compensation committee will be entitled to an additional annual cash retainer of $10,000 and the chairperson of the nominating and corporate governance committee will be entitled to an additional annual cash retainer of $8,000. The members of the audit committee will be entitled to an additional annual cash retainer of $7,500, the members of the compensation committee will be entitled to an additional annual cash retainer of $5,000 and the members of the nominating and corporate governance committee will be entitled to an additional annual cash retainer of $4,000; however, in each case such cash retainer is payable only to members who are not the chairperson of such committee. All annual cash compensation amounts will be payable in equal quarterly installments in arrears, on the last day of each fiscal quarter in which the service occurred, pro-rated for any partial service in the applicable fiscal quarter.</w:t>
      </w:r>
    </w:p>
    <w:p>
      <w:pPr>
        <w:spacing w:after="0" w:line="18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Each new eligible director who joins our board of directors after this offering will be granted a non-statutory stock option to purchase a number of shares of our common stock with an aggregate Black-Scholes grant-date fair value of $800,000 under our 2021 Plan, provided that in no event shall the number of shares granted exceed 150,000 shares. The shares subject to this grant will vest over a three-year period, with one-third of the shares vesting on the first anniversary of the grant date, and 1/36</w:t>
      </w:r>
      <w:r>
        <w:rPr>
          <w:rFonts w:ascii="Arial" w:cs="Arial" w:eastAsia="Arial" w:hAnsi="Arial"/>
          <w:sz w:val="15"/>
          <w:szCs w:val="15"/>
          <w:color w:val="32406B"/>
        </w:rPr>
        <w:t>th</w:t>
      </w:r>
      <w:r>
        <w:rPr>
          <w:rFonts w:ascii="Arial" w:cs="Arial" w:eastAsia="Arial" w:hAnsi="Arial"/>
          <w:sz w:val="18"/>
          <w:szCs w:val="18"/>
          <w:color w:val="32406B"/>
        </w:rPr>
        <w:t xml:space="preserve"> of the shares vesting in equal monthly installments thereafter, subject to continued service as a director through each such vesting date.</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On the date of each annual meeting of our stockholders, each eligible director who continues to serve as a director of our company following the meeting will be granted a non-statutory stock option to purchase shares of our common stock with an aggregate Black-Scholes grant-date fair value of $400,000 under our 2021 Plan,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170</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32406B"/>
        </w:rPr>
        <w:t>provided that in no event shall the number of shares granted exceed 75,000 shares. Following the effective date, if an eligible director joins our board of directors on a date other than the date of our annual stockholder meeting, upon the first annual stockholder meeting following such eligible director’s appointment of election to the board of directors, such eligible director’s annual grant will be pro-rated to reflect the time between the eligible director’s appointment or election date and the date of such first annual stockholder meeting. The shares shall vest in full on the earlier of the first anniversary of the grant date or the date of the next annual stockholder meeting, subject to continued service as a director through such vesting date.</w:t>
      </w:r>
    </w:p>
    <w:p>
      <w:pPr>
        <w:spacing w:after="0" w:line="16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Each option awarded to eligible directors under the non-employee director compensation policy will be subject to accelerated vesting upon a Change in Control (as defined in the 2021 Plan).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addition, we will reimburse eligible directors for ordinary, necessary and reasonable out-of-pocket travel expenses to cover in-person attendance at and participation in board and committee meetings.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IPO Grants</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On the effective date of the registration statement of which this prospectus forms a part, each eligible director serving on our board of directors as of June 15, 2021 was granted a non-statutory stock option to purchase a number of shares of our common stock with an aggregate Black-Scholes grant-date fair value of $400,000 under our 2021 Plan, subject to continued service as a director through such grant date. Based on an exercise price of $17.00 per share, which is the initial public offering price of our common stock, each eligible director was granted an option for the purchase of 35,593 shares.</w:t>
      </w:r>
    </w:p>
    <w:p>
      <w:pPr>
        <w:spacing w:after="0" w:line="15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In addition, on the effective date of the registration statement of which this prospectus forms a part, Mr. Wyzga was granted a non-statutory stock option to purchase a number of shares of our common stock with an aggregate Black-Scholes grant-date fair value of $800,000 under our 2021 Plan, subject to continued service as a director through such grant date. Based on an exercise price of $17.00 per share, which is the initial public offering price of our common stock, Mr. Wzyga was granted an option for the purchase of 71,186 shares.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Consulting Agreement with Dr. Russo</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In June 2020, we entered into a consulting agreement with Dr. René Russo, a current non-employee member of our board of directors, pursuant to which Dr. Russo is entitled to receive $7,500 per month, with payment for any partial months prorated. In addition, Dr. Russo’s consulting agreement provides that she is eligible for an annual additional consulting fee at the discretion of our board of directors. Such annual additional consulting fee has a target amount of $40,500, but the actual amount of the annual additional consulting fee is determined by our board of directors in its discretion. This consulting agreement was terminated in connection with this offering.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171</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EXECUTIVE COMPENSATION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32406B"/>
        </w:rPr>
        <w:t>Our named executive officers for the period from June 3, 2020 (inception) to December 31, 2020, which consisted of our Chief Executive Officer and our two most highly compensated executive officers other than our Chief Executive Officer, were:</w:t>
      </w:r>
    </w:p>
    <w:p>
      <w:pPr>
        <w:spacing w:after="0" w:line="197"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Tillman U. Gerngross, Ph.D., our Co-Founder, Chief Executive Officer and President;</w:t>
      </w:r>
    </w:p>
    <w:p>
      <w:pPr>
        <w:spacing w:after="0" w:line="252" w:lineRule="exact"/>
        <w:rPr>
          <w:rFonts w:ascii="Arial" w:cs="Arial" w:eastAsia="Arial" w:hAnsi="Arial"/>
          <w:sz w:val="18"/>
          <w:szCs w:val="18"/>
          <w:color w:val="32406B"/>
        </w:rPr>
      </w:pPr>
    </w:p>
    <w:p>
      <w:pPr>
        <w:ind w:left="1080" w:hanging="532"/>
        <w:spacing w:after="0"/>
        <w:tabs>
          <w:tab w:leader="none" w:pos="10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Lynn Connolly, M.D., Ph.D., our Chief Medical Officer; and</w:t>
      </w:r>
    </w:p>
    <w:p>
      <w:pPr>
        <w:spacing w:after="0" w:line="252" w:lineRule="exact"/>
        <w:rPr>
          <w:rFonts w:ascii="Arial" w:cs="Arial" w:eastAsia="Arial" w:hAnsi="Arial"/>
          <w:sz w:val="18"/>
          <w:szCs w:val="18"/>
          <w:color w:val="32406B"/>
        </w:rPr>
      </w:pPr>
    </w:p>
    <w:p>
      <w:pPr>
        <w:ind w:left="1080" w:hanging="532"/>
        <w:spacing w:after="0"/>
        <w:tabs>
          <w:tab w:leader="none" w:pos="1080" w:val="left"/>
        </w:tabs>
        <w:numPr>
          <w:ilvl w:val="0"/>
          <w:numId w:val="105"/>
        </w:numPr>
        <w:rPr>
          <w:rFonts w:ascii="Arial" w:cs="Arial" w:eastAsia="Arial" w:hAnsi="Arial"/>
          <w:sz w:val="18"/>
          <w:szCs w:val="18"/>
          <w:color w:val="32406B"/>
        </w:rPr>
      </w:pPr>
      <w:r>
        <w:rPr>
          <w:rFonts w:ascii="Arial" w:cs="Arial" w:eastAsia="Arial" w:hAnsi="Arial"/>
          <w:sz w:val="18"/>
          <w:szCs w:val="18"/>
          <w:color w:val="32406B"/>
        </w:rPr>
        <w:t>Rebecca Dabora, Ph.D., our Chief Technology &amp; Manufacturing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Summary Compensation Table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following table sets forth information regarding compensation awarded to, earned by and paid to our named executive officers with respect to the period from June 3, 2020 (inception) to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32406B"/>
                <w:w w:val="95"/>
              </w:rPr>
              <w:t>Salary</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32406B"/>
                <w:w w:val="93"/>
              </w:rPr>
              <w:t>Option</w:t>
            </w: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32406B"/>
                <w:w w:val="98"/>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32406B"/>
                <w:w w:val="92"/>
              </w:rPr>
              <w:t>Name and Principal Position</w:t>
            </w:r>
          </w:p>
        </w:tc>
        <w:tc>
          <w:tcPr>
            <w:tcW w:w="39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32406B"/>
              </w:rPr>
              <w:t>Bonus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32406B"/>
                <w:w w:val="90"/>
              </w:rPr>
              <w:t>Awards</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32406B"/>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32406B"/>
              </w:rPr>
              <w:t>($)</w:t>
            </w:r>
          </w:p>
        </w:tc>
        <w:tc>
          <w:tcPr>
            <w:tcW w:w="5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9"/>
              </w:rPr>
              <w:t>($)(1)</w:t>
            </w:r>
          </w:p>
        </w:tc>
        <w:tc>
          <w:tcPr>
            <w:tcW w:w="3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rPr>
              <w:t>($)</w:t>
            </w:r>
          </w:p>
        </w:tc>
        <w:tc>
          <w:tcPr>
            <w:tcW w:w="50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32406B"/>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32406B"/>
              </w:rPr>
              <w:t>Tillman U. Gerngross, Ph.D.</w:t>
            </w:r>
            <w:r>
              <w:rPr>
                <w:rFonts w:ascii="Arial" w:cs="Arial" w:eastAsia="Arial" w:hAnsi="Arial"/>
                <w:sz w:val="15"/>
                <w:szCs w:val="15"/>
                <w:color w:val="32406B"/>
              </w:rPr>
              <w:t>(2)</w:t>
            </w: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32406B"/>
              </w:rPr>
              <w:t>Co-Founder, Chief Executive Officer and President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32406B"/>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rPr>
              <w:t>5,941</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5,941</w:t>
            </w:r>
          </w:p>
        </w:tc>
        <w:tc>
          <w:tcPr>
            <w:tcW w:w="0" w:type="dxa"/>
            <w:vAlign w:val="bottom"/>
          </w:tcPr>
          <w:p>
            <w:pPr>
              <w:spacing w:after="0"/>
              <w:rPr>
                <w:sz w:val="1"/>
                <w:szCs w:val="1"/>
                <w:color w:val="auto"/>
              </w:rPr>
            </w:pPr>
          </w:p>
        </w:tc>
      </w:tr>
      <w:tr>
        <w:trPr>
          <w:trHeight w:val="202"/>
        </w:trPr>
        <w:tc>
          <w:tcPr>
            <w:tcW w:w="5680" w:type="dxa"/>
            <w:vAlign w:val="bottom"/>
            <w:gridSpan w:val="2"/>
          </w:tcPr>
          <w:p>
            <w:pPr>
              <w:spacing w:after="0" w:line="201" w:lineRule="exact"/>
              <w:rPr>
                <w:sz w:val="20"/>
                <w:szCs w:val="20"/>
                <w:color w:val="auto"/>
              </w:rPr>
            </w:pPr>
            <w:r>
              <w:rPr>
                <w:rFonts w:ascii="Arial" w:cs="Arial" w:eastAsia="Arial" w:hAnsi="Arial"/>
                <w:sz w:val="18"/>
                <w:szCs w:val="18"/>
                <w:color w:val="32406B"/>
              </w:rPr>
              <w:t>Lynn Connolly, M.D., Ph.D.</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180"/>
              <w:spacing w:after="0"/>
              <w:rPr>
                <w:sz w:val="20"/>
                <w:szCs w:val="20"/>
                <w:color w:val="auto"/>
              </w:rPr>
            </w:pPr>
            <w:r>
              <w:rPr>
                <w:rFonts w:ascii="Arial" w:cs="Arial" w:eastAsia="Arial" w:hAnsi="Arial"/>
                <w:sz w:val="18"/>
                <w:szCs w:val="18"/>
                <w:i w:val="1"/>
                <w:iCs w:val="1"/>
                <w:color w:val="32406B"/>
              </w:rPr>
              <w:t>Chief Medical Officer</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32406B"/>
                <w:w w:val="95"/>
              </w:rPr>
              <w:t>169,154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32406B"/>
                <w:w w:val="98"/>
              </w:rPr>
              <w:t>88,820</w:t>
            </w:r>
            <w:r>
              <w:rPr>
                <w:rFonts w:ascii="Arial" w:cs="Arial" w:eastAsia="Arial" w:hAnsi="Arial"/>
                <w:sz w:val="15"/>
                <w:szCs w:val="15"/>
                <w:color w:val="32406B"/>
                <w:w w:val="98"/>
              </w:rPr>
              <w:t>(4)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32406B"/>
                <w:w w:val="98"/>
              </w:rPr>
              <w:t>584,095</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32406B"/>
              </w:rPr>
              <w:t>3,767</w:t>
            </w:r>
            <w:r>
              <w:rPr>
                <w:rFonts w:ascii="Arial" w:cs="Arial" w:eastAsia="Arial" w:hAnsi="Arial"/>
                <w:sz w:val="15"/>
                <w:szCs w:val="15"/>
                <w:color w:val="32406B"/>
              </w:rPr>
              <w:t>(5)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2406B"/>
                <w:w w:val="98"/>
              </w:rPr>
              <w:t>845,836</w:t>
            </w:r>
          </w:p>
        </w:tc>
        <w:tc>
          <w:tcPr>
            <w:tcW w:w="0" w:type="dxa"/>
            <w:vAlign w:val="bottom"/>
          </w:tcPr>
          <w:p>
            <w:pPr>
              <w:spacing w:after="0"/>
              <w:rPr>
                <w:sz w:val="1"/>
                <w:szCs w:val="1"/>
                <w:color w:val="auto"/>
              </w:rPr>
            </w:pPr>
          </w:p>
        </w:tc>
      </w:tr>
      <w:tr>
        <w:trPr>
          <w:trHeight w:val="202"/>
        </w:trPr>
        <w:tc>
          <w:tcPr>
            <w:tcW w:w="5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2406B"/>
              </w:rPr>
              <w:t>Rebecca Dabora, Ph.D.</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32406B"/>
              </w:rPr>
              <w:t>Chief Technology &amp; Manufacturing Officer</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95"/>
              </w:rPr>
              <w:t>357,838</w:t>
            </w:r>
            <w:r>
              <w:rPr>
                <w:rFonts w:ascii="Arial" w:cs="Arial" w:eastAsia="Arial" w:hAnsi="Arial"/>
                <w:sz w:val="15"/>
                <w:szCs w:val="15"/>
                <w:color w:val="32406B"/>
                <w:w w:val="95"/>
              </w:rPr>
              <w:t>(3)</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32406B"/>
                <w:w w:val="98"/>
              </w:rPr>
              <w:t>225,292</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8"/>
              </w:rPr>
              <w:t>583,129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2" w:lineRule="auto"/>
        <w:tabs>
          <w:tab w:leader="none" w:pos="540"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The amounts reported reflect the aggregate grant-date fair value of option awards granted during the year measured pursuant to Financial Accounting Standard Board Accounting Standards Codification Topic 718, or ASC 718, the basis for computing stock-based compensation in our consolidated financial statements. This calculation assumes that the named executive officer will perform the requisite service for the award to vest in full as required by SEC rules. The assumptions we used in valuing options are described in Note 10 to our audited consolidated financial statements appearing at the end of this prospectus.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Arial" w:cs="Arial" w:eastAsia="Arial" w:hAnsi="Arial"/>
          <w:sz w:val="18"/>
          <w:szCs w:val="18"/>
          <w:color w:val="32406B"/>
        </w:rPr>
      </w:pPr>
    </w:p>
    <w:p>
      <w:pPr>
        <w:ind w:left="540" w:hanging="424"/>
        <w:spacing w:after="0"/>
        <w:tabs>
          <w:tab w:leader="none" w:pos="540" w:val="left"/>
        </w:tabs>
        <w:numPr>
          <w:ilvl w:val="0"/>
          <w:numId w:val="106"/>
        </w:numPr>
        <w:rPr>
          <w:rFonts w:ascii="Arial" w:cs="Arial" w:eastAsia="Arial" w:hAnsi="Arial"/>
          <w:sz w:val="16"/>
          <w:szCs w:val="16"/>
          <w:color w:val="32406B"/>
        </w:rPr>
      </w:pPr>
      <w:r>
        <w:rPr>
          <w:rFonts w:ascii="Arial" w:cs="Arial" w:eastAsia="Arial" w:hAnsi="Arial"/>
          <w:sz w:val="16"/>
          <w:szCs w:val="16"/>
          <w:color w:val="32406B"/>
        </w:rPr>
        <w:t>Dr. Gerngross is also a member of our board of directors, but he did not receive any additional compensation in his capacity as a director in 2020.</w:t>
      </w:r>
    </w:p>
    <w:p>
      <w:pPr>
        <w:spacing w:after="0" w:line="32" w:lineRule="exact"/>
        <w:rPr>
          <w:rFonts w:ascii="Arial" w:cs="Arial" w:eastAsia="Arial" w:hAnsi="Arial"/>
          <w:sz w:val="16"/>
          <w:szCs w:val="16"/>
          <w:color w:val="32406B"/>
        </w:rPr>
      </w:pPr>
    </w:p>
    <w:p>
      <w:pPr>
        <w:jc w:val="both"/>
        <w:ind w:left="540" w:hanging="424"/>
        <w:spacing w:after="0" w:line="250" w:lineRule="auto"/>
        <w:tabs>
          <w:tab w:leader="none" w:pos="540"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Represents total hourly compensation paid in 2020 under the terms of the consulting agreement pursuant to which Dr. Dabora provided services to us before her conversion to a full-time employee. See “—Agreements with our Named Executive Officers—Prior Agreements with our Named Executive Officers—Dr. Dabora’s Prior Consulting Agreement.”</w:t>
      </w:r>
    </w:p>
    <w:p>
      <w:pPr>
        <w:spacing w:after="0" w:line="1" w:lineRule="exact"/>
        <w:rPr>
          <w:rFonts w:ascii="Arial" w:cs="Arial" w:eastAsia="Arial" w:hAnsi="Arial"/>
          <w:sz w:val="18"/>
          <w:szCs w:val="18"/>
          <w:color w:val="32406B"/>
        </w:rPr>
      </w:pPr>
    </w:p>
    <w:p>
      <w:pPr>
        <w:jc w:val="both"/>
        <w:ind w:left="540" w:right="20" w:hanging="424"/>
        <w:spacing w:after="0" w:line="250" w:lineRule="auto"/>
        <w:tabs>
          <w:tab w:leader="none" w:pos="540"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Represents the prorated 2020 annual bonus paid to Dr. Connolly pursuant to the terms of her prior employment agreement with us. See “— Agreements with our Named Executive Officers—Prior Agreements with our Named Executive Officers—Dr. Connolly’s Prior Employment Agreement.”</w:t>
      </w:r>
    </w:p>
    <w:p>
      <w:pPr>
        <w:spacing w:after="0" w:line="1" w:lineRule="exact"/>
        <w:rPr>
          <w:rFonts w:ascii="Arial" w:cs="Arial" w:eastAsia="Arial" w:hAnsi="Arial"/>
          <w:sz w:val="18"/>
          <w:szCs w:val="18"/>
          <w:color w:val="32406B"/>
        </w:rPr>
      </w:pPr>
    </w:p>
    <w:p>
      <w:pPr>
        <w:ind w:left="540" w:right="20" w:hanging="424"/>
        <w:spacing w:after="0" w:line="260" w:lineRule="auto"/>
        <w:tabs>
          <w:tab w:leader="none" w:pos="540" w:val="left"/>
        </w:tabs>
        <w:numPr>
          <w:ilvl w:val="0"/>
          <w:numId w:val="106"/>
        </w:numPr>
        <w:rPr>
          <w:rFonts w:ascii="Arial" w:cs="Arial" w:eastAsia="Arial" w:hAnsi="Arial"/>
          <w:sz w:val="18"/>
          <w:szCs w:val="18"/>
          <w:color w:val="32406B"/>
        </w:rPr>
      </w:pPr>
      <w:r>
        <w:rPr>
          <w:rFonts w:ascii="Arial" w:cs="Arial" w:eastAsia="Arial" w:hAnsi="Arial"/>
          <w:sz w:val="18"/>
          <w:szCs w:val="18"/>
          <w:color w:val="32406B"/>
        </w:rPr>
        <w:t>Represents employer contributions to Dr. Connolly’s 401(k) plan account and life insurance premiums. See “—Retirement Benefits and Other Compensation.”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172</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Outstanding Equity Awards at Fiscal 2020 Period-End</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32406B"/>
        </w:rPr>
        <w:t>The following table sets forth certain information about outstanding equity awards granted to our named executive officers that were outstanding as of December 31, 2020.</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32406B"/>
                <w:w w:val="92"/>
              </w:rPr>
              <w:t xml:space="preserve">Option Awards </w:t>
            </w:r>
            <w:r>
              <w:rPr>
                <w:rFonts w:ascii="Arial" w:cs="Arial" w:eastAsia="Arial" w:hAnsi="Arial"/>
                <w:sz w:val="27"/>
                <w:szCs w:val="27"/>
                <w:b w:val="1"/>
                <w:bCs w:val="1"/>
                <w:color w:val="32406B"/>
                <w:w w:val="92"/>
                <w:vertAlign w:val="superscript"/>
              </w:rPr>
              <w:t>(1)</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4"/>
          </w:tcPr>
          <w:p>
            <w:pPr>
              <w:ind w:left="440"/>
              <w:spacing w:after="0"/>
              <w:rPr>
                <w:sz w:val="20"/>
                <w:szCs w:val="20"/>
                <w:color w:val="auto"/>
              </w:rPr>
            </w:pPr>
            <w:r>
              <w:rPr>
                <w:rFonts w:ascii="Arial" w:cs="Arial" w:eastAsia="Arial" w:hAnsi="Arial"/>
                <w:sz w:val="16"/>
                <w:szCs w:val="16"/>
                <w:b w:val="1"/>
                <w:bCs w:val="1"/>
                <w:color w:val="32406B"/>
              </w:rPr>
              <w:t>Stock Awards</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32406B"/>
              </w:rPr>
              <w:t>Market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32406B"/>
                <w:w w:val="94"/>
              </w:rPr>
              <w:t>Number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32406B"/>
                <w:w w:val="89"/>
              </w:rPr>
              <w:t>Value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32406B"/>
                <w:w w:val="92"/>
              </w:rPr>
              <w:t>Number of</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32406B"/>
                <w:w w:val="92"/>
              </w:rPr>
              <w:t>Number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32406B"/>
                <w:w w:val="88"/>
              </w:rPr>
              <w:t>shares or</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32406B"/>
                <w:w w:val="86"/>
              </w:rPr>
              <w:t>shares or</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32406B"/>
                <w:w w:val="86"/>
              </w:rPr>
              <w:t>Securities</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32406B"/>
                <w:w w:val="86"/>
              </w:rPr>
              <w:t>Securities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32406B"/>
                <w:w w:val="89"/>
              </w:rPr>
              <w:t>units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32406B"/>
                <w:w w:val="89"/>
              </w:rPr>
              <w:t>units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32406B"/>
                <w:w w:val="86"/>
              </w:rPr>
              <w:t>Vesting</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32406B"/>
                <w:w w:val="93"/>
              </w:rPr>
              <w:t>Underlying</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32406B"/>
                <w:w w:val="93"/>
              </w:rPr>
              <w:t>Underlying</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32406B"/>
              </w:rPr>
              <w:t>Option</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32406B"/>
                <w:w w:val="89"/>
              </w:rPr>
              <w:t>stock that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32406B"/>
                <w:w w:val="89"/>
              </w:rPr>
              <w:t>stock that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32406B"/>
                <w:w w:val="89"/>
              </w:rPr>
              <w:t>Commence-</w:t>
            </w:r>
          </w:p>
        </w:tc>
        <w:tc>
          <w:tcPr>
            <w:tcW w:w="9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32406B"/>
                <w:w w:val="88"/>
              </w:rPr>
              <w:t>Unexercised</w:t>
            </w:r>
          </w:p>
        </w:tc>
        <w:tc>
          <w:tcPr>
            <w:tcW w:w="200" w:type="dxa"/>
            <w:vAlign w:val="bottom"/>
          </w:tcPr>
          <w:p>
            <w:pPr>
              <w:spacing w:after="0"/>
              <w:rPr>
                <w:sz w:val="17"/>
                <w:szCs w:val="17"/>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32406B"/>
                <w:w w:val="88"/>
              </w:rPr>
              <w:t>Unexercised</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32406B"/>
                <w:w w:val="85"/>
              </w:rPr>
              <w:t>Exercise</w:t>
            </w:r>
          </w:p>
        </w:tc>
        <w:tc>
          <w:tcPr>
            <w:tcW w:w="10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32406B"/>
              </w:rPr>
              <w:t>Option</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32406B"/>
                <w:w w:val="91"/>
              </w:rPr>
              <w:t>have not</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32406B"/>
                <w:w w:val="88"/>
              </w:rPr>
              <w:t>have not</w:t>
            </w:r>
          </w:p>
        </w:tc>
        <w:tc>
          <w:tcPr>
            <w:tcW w:w="0" w:type="dxa"/>
            <w:vAlign w:val="bottom"/>
          </w:tcPr>
          <w:p>
            <w:pPr>
              <w:spacing w:after="0"/>
              <w:rPr>
                <w:sz w:val="1"/>
                <w:szCs w:val="1"/>
                <w:color w:val="auto"/>
              </w:rPr>
            </w:pPr>
          </w:p>
        </w:tc>
      </w:tr>
      <w:tr>
        <w:trPr>
          <w:trHeight w:val="199"/>
        </w:trPr>
        <w:tc>
          <w:tcPr>
            <w:tcW w:w="2560" w:type="dxa"/>
            <w:vAlign w:val="bottom"/>
            <w:gridSpan w:val="2"/>
            <w:vMerge w:val="restart"/>
          </w:tcPr>
          <w:p>
            <w:pPr>
              <w:spacing w:after="0"/>
              <w:rPr>
                <w:sz w:val="20"/>
                <w:szCs w:val="20"/>
                <w:color w:val="auto"/>
              </w:rPr>
            </w:pPr>
            <w:r>
              <w:rPr>
                <w:rFonts w:ascii="Arial" w:cs="Arial" w:eastAsia="Arial" w:hAnsi="Arial"/>
                <w:sz w:val="16"/>
                <w:szCs w:val="16"/>
                <w:b w:val="1"/>
                <w:bCs w:val="1"/>
                <w:color w:val="32406B"/>
              </w:rPr>
              <w:t>Name</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32406B"/>
                <w:w w:val="88"/>
              </w:rPr>
              <w:t>ment</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32406B"/>
                <w:w w:val="92"/>
              </w:rPr>
              <w:t>Options (#)</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32406B"/>
                <w:w w:val="92"/>
              </w:rPr>
              <w:t>Options (#)</w:t>
            </w:r>
          </w:p>
        </w:tc>
        <w:tc>
          <w:tcPr>
            <w:tcW w:w="8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32406B"/>
              </w:rPr>
              <w:t>Price</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32406B"/>
                <w:w w:val="94"/>
              </w:rPr>
              <w:t>Expiration</w:t>
            </w: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32406B"/>
                <w:w w:val="86"/>
              </w:rPr>
              <w:t>vested</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32406B"/>
                <w:w w:val="82"/>
              </w:rPr>
              <w:t>vested</w:t>
            </w:r>
          </w:p>
        </w:tc>
        <w:tc>
          <w:tcPr>
            <w:tcW w:w="0" w:type="dxa"/>
            <w:vAlign w:val="bottom"/>
          </w:tcPr>
          <w:p>
            <w:pPr>
              <w:spacing w:after="0"/>
              <w:rPr>
                <w:sz w:val="1"/>
                <w:szCs w:val="1"/>
                <w:color w:val="auto"/>
              </w:rPr>
            </w:pPr>
          </w:p>
        </w:tc>
      </w:tr>
      <w:tr>
        <w:trPr>
          <w:trHeight w:val="206"/>
        </w:trPr>
        <w:tc>
          <w:tcPr>
            <w:tcW w:w="2560" w:type="dxa"/>
            <w:vAlign w:val="bottom"/>
            <w:gridSpan w:val="2"/>
            <w:vMerge w:val="continue"/>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32406B"/>
              </w:rPr>
              <w:t>Grant Date</w:t>
            </w: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32406B"/>
                <w:w w:val="92"/>
              </w:rPr>
              <w:t>Date</w:t>
            </w:r>
          </w:p>
        </w:tc>
        <w:tc>
          <w:tcPr>
            <w:tcW w:w="9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32406B"/>
                <w:w w:val="89"/>
              </w:rPr>
              <w:t>Exercisable</w:t>
            </w:r>
          </w:p>
        </w:tc>
        <w:tc>
          <w:tcPr>
            <w:tcW w:w="200" w:type="dxa"/>
            <w:vAlign w:val="bottom"/>
          </w:tcPr>
          <w:p>
            <w:pPr>
              <w:spacing w:after="0"/>
              <w:rPr>
                <w:sz w:val="17"/>
                <w:szCs w:val="17"/>
                <w:color w:val="auto"/>
              </w:rPr>
            </w:pPr>
          </w:p>
        </w:tc>
        <w:tc>
          <w:tcPr>
            <w:tcW w:w="1560" w:type="dxa"/>
            <w:vAlign w:val="bottom"/>
            <w:gridSpan w:val="2"/>
          </w:tcPr>
          <w:p>
            <w:pPr>
              <w:jc w:val="center"/>
              <w:ind w:right="420"/>
              <w:spacing w:after="0" w:line="207" w:lineRule="exact"/>
              <w:rPr>
                <w:sz w:val="20"/>
                <w:szCs w:val="20"/>
                <w:color w:val="auto"/>
              </w:rPr>
            </w:pPr>
            <w:r>
              <w:rPr>
                <w:rFonts w:ascii="Arial" w:cs="Arial" w:eastAsia="Arial" w:hAnsi="Arial"/>
                <w:sz w:val="14"/>
                <w:szCs w:val="14"/>
                <w:b w:val="1"/>
                <w:bCs w:val="1"/>
                <w:color w:val="32406B"/>
              </w:rPr>
              <w:t>Unexercisable</w:t>
            </w:r>
            <w:r>
              <w:rPr>
                <w:rFonts w:ascii="Arial" w:cs="Arial" w:eastAsia="Arial" w:hAnsi="Arial"/>
                <w:sz w:val="23"/>
                <w:szCs w:val="23"/>
                <w:b w:val="1"/>
                <w:bCs w:val="1"/>
                <w:color w:val="32406B"/>
                <w:vertAlign w:val="superscript"/>
              </w:rPr>
              <w:t>(2)</w:t>
            </w:r>
          </w:p>
        </w:tc>
        <w:tc>
          <w:tcPr>
            <w:tcW w:w="580" w:type="dxa"/>
            <w:vAlign w:val="bottom"/>
          </w:tcPr>
          <w:p>
            <w:pPr>
              <w:jc w:val="right"/>
              <w:ind w:right="37"/>
              <w:spacing w:after="0" w:line="207" w:lineRule="exact"/>
              <w:rPr>
                <w:sz w:val="20"/>
                <w:szCs w:val="20"/>
                <w:color w:val="auto"/>
              </w:rPr>
            </w:pPr>
            <w:r>
              <w:rPr>
                <w:rFonts w:ascii="Arial" w:cs="Arial" w:eastAsia="Arial" w:hAnsi="Arial"/>
                <w:sz w:val="14"/>
                <w:szCs w:val="14"/>
                <w:b w:val="1"/>
                <w:bCs w:val="1"/>
                <w:color w:val="32406B"/>
              </w:rPr>
              <w:t>($)</w:t>
            </w:r>
            <w:r>
              <w:rPr>
                <w:rFonts w:ascii="Arial" w:cs="Arial" w:eastAsia="Arial" w:hAnsi="Arial"/>
                <w:sz w:val="23"/>
                <w:szCs w:val="23"/>
                <w:b w:val="1"/>
                <w:bCs w:val="1"/>
                <w:color w:val="32406B"/>
                <w:vertAlign w:val="superscript"/>
              </w:rPr>
              <w:t>(3)</w:t>
            </w:r>
          </w:p>
        </w:tc>
        <w:tc>
          <w:tcPr>
            <w:tcW w:w="24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32406B"/>
              </w:rPr>
              <w:t>Date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32406B"/>
              </w:rPr>
              <w:t>(#)</w:t>
            </w:r>
          </w:p>
        </w:tc>
        <w:tc>
          <w:tcPr>
            <w:tcW w:w="2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32406B"/>
                <w:w w:val="91"/>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32406B"/>
              </w:rPr>
              <w:t>Tillman U. Gerngross, Ph.D.</w:t>
            </w:r>
            <w:r>
              <w:rPr>
                <w:rFonts w:ascii="Arial" w:cs="Arial" w:eastAsia="Arial" w:hAnsi="Arial"/>
                <w:sz w:val="15"/>
                <w:szCs w:val="15"/>
                <w:color w:val="32406B"/>
              </w:rPr>
              <w:t>(4)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32406B"/>
                <w:w w:val="88"/>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7"/>
              </w:rPr>
              <w:t>1,985,295</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32406B"/>
                <w:w w:val="94"/>
              </w:rPr>
              <w:t>9,148,239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32406B"/>
              </w:rPr>
              <w:t>Lynn Connolly, M.D., Ph.D.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32406B"/>
                <w:w w:val="97"/>
              </w:rPr>
              <w:t>9/28/2020</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32406B"/>
              </w:rPr>
              <w:t>7/13/2020</w:t>
            </w:r>
          </w:p>
        </w:tc>
        <w:tc>
          <w:tcPr>
            <w:tcW w:w="900" w:type="dxa"/>
            <w:vAlign w:val="bottom"/>
            <w:gridSpan w:val="2"/>
          </w:tcPr>
          <w:p>
            <w:pPr>
              <w:ind w:left="680"/>
              <w:spacing w:after="0"/>
              <w:rPr>
                <w:sz w:val="20"/>
                <w:szCs w:val="20"/>
                <w:color w:val="auto"/>
              </w:rPr>
            </w:pPr>
            <w:r>
              <w:rPr>
                <w:rFonts w:ascii="Arial" w:cs="Arial" w:eastAsia="Arial" w:hAnsi="Arial"/>
                <w:sz w:val="18"/>
                <w:szCs w:val="18"/>
                <w:color w:val="32406B"/>
              </w:rPr>
              <w:t>—</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32406B"/>
              </w:rPr>
              <w:t>860,290</w:t>
            </w:r>
            <w:r>
              <w:rPr>
                <w:rFonts w:ascii="Arial" w:cs="Arial" w:eastAsia="Arial" w:hAnsi="Arial"/>
                <w:sz w:val="15"/>
                <w:szCs w:val="15"/>
                <w:color w:val="32406B"/>
              </w:rPr>
              <w:t>(5)</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32406B"/>
              </w:rPr>
              <w:t>0.78</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32406B"/>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Rebecca Dabora, Ph.D.</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97"/>
              </w:rPr>
              <w:t>9/28/2020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9/28/2020</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32406B"/>
              </w:rPr>
              <w:t>—</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32406B"/>
              </w:rPr>
              <w:t>330,880</w:t>
            </w:r>
            <w:r>
              <w:rPr>
                <w:rFonts w:ascii="Arial" w:cs="Arial" w:eastAsia="Arial" w:hAnsi="Arial"/>
                <w:sz w:val="15"/>
                <w:szCs w:val="15"/>
                <w:color w:val="32406B"/>
              </w:rPr>
              <w:t>(5)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0.78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8" w:lineRule="auto"/>
        <w:tabs>
          <w:tab w:leader="none" w:pos="540"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All of the awards listed in this table were granted under our 2020 Plan. See the section titled “—Equity Incentive Plans—2020 Equity Incentive Plan” below for additional information.</w:t>
      </w:r>
    </w:p>
    <w:p>
      <w:pPr>
        <w:spacing w:after="0" w:line="1" w:lineRule="exact"/>
        <w:rPr>
          <w:rFonts w:ascii="Arial" w:cs="Arial" w:eastAsia="Arial" w:hAnsi="Arial"/>
          <w:sz w:val="18"/>
          <w:szCs w:val="18"/>
          <w:color w:val="32406B"/>
        </w:rPr>
      </w:pPr>
    </w:p>
    <w:p>
      <w:pPr>
        <w:jc w:val="both"/>
        <w:ind w:left="540" w:hanging="424"/>
        <w:spacing w:after="0" w:line="250" w:lineRule="auto"/>
        <w:tabs>
          <w:tab w:leader="none" w:pos="540"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 Accordingly, the columns and footnotes below reflect the extent to which stock options held by our named executive officers were vested (as opposed to exercisable) as of December 31, 2020.</w:t>
      </w:r>
    </w:p>
    <w:p>
      <w:pPr>
        <w:spacing w:after="0" w:line="1" w:lineRule="exact"/>
        <w:rPr>
          <w:rFonts w:ascii="Arial" w:cs="Arial" w:eastAsia="Arial" w:hAnsi="Arial"/>
          <w:sz w:val="18"/>
          <w:szCs w:val="18"/>
          <w:color w:val="32406B"/>
        </w:rPr>
      </w:pPr>
    </w:p>
    <w:p>
      <w:pPr>
        <w:ind w:left="540" w:hanging="424"/>
        <w:spacing w:after="0" w:line="250" w:lineRule="auto"/>
        <w:tabs>
          <w:tab w:leader="none" w:pos="540"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All of the option awards listed in the table were granted with a per share exercise price equal to or above the estimated fair value of our common stock on the date of grant, as determined in good faith by our board of directors.</w:t>
      </w:r>
    </w:p>
    <w:p>
      <w:pPr>
        <w:jc w:val="both"/>
        <w:ind w:left="540" w:hanging="424"/>
        <w:spacing w:after="0" w:line="265" w:lineRule="auto"/>
        <w:tabs>
          <w:tab w:leader="none" w:pos="540" w:val="left"/>
        </w:tabs>
        <w:numPr>
          <w:ilvl w:val="0"/>
          <w:numId w:val="107"/>
        </w:numPr>
        <w:rPr>
          <w:rFonts w:ascii="Arial" w:cs="Arial" w:eastAsia="Arial" w:hAnsi="Arial"/>
          <w:sz w:val="17"/>
          <w:szCs w:val="17"/>
          <w:color w:val="32406B"/>
        </w:rPr>
      </w:pPr>
      <w:r>
        <w:rPr>
          <w:rFonts w:ascii="Arial" w:cs="Arial" w:eastAsia="Arial" w:hAnsi="Arial"/>
          <w:sz w:val="17"/>
          <w:szCs w:val="17"/>
          <w:color w:val="32406B"/>
        </w:rPr>
        <w:t>Dr. Gerngross’ prior consulting agreement (referred to below) acknowledged that, in consideration of his consulting services, he was granted an option to purchase 1,985,295 shares of our common stock, which option vests as to 25% of the underlying shares on June 15, 2021 and the remainder of the underlying shares vest in 36 substantially equal monthly installments, subject to his continued service through each vesting date. In the event of a “change in control” (as defined our 2020 Plan), the vesting of Dr. Gerngross’s option will accelerate in full, subject to his continued service as of immediately prior to such change in control. The terms of Dr. Gerngross’s option also include the ability for Dr. Gerngross to exercise the option in full on the date of grant. Dr. Gerngross exercised his stock option prior to December 31, 2020 and received unvested shares of our common stock. After exercising his stock option, Dr. Gerngross transferred the unvested shares to Adimab, in exchange for no consideration. Dr. Gerngross is a co-founder and currently serving as Chief Executive Officer and as a director of Adimab. The unvested shares held by Adimab remain subject to the same vesting conditions applicable to Dr. Gerngross’s original option award, including the requirement that Dr. Gerngross continue providing services to us through each vesting date, and such shares are subject to a right of repurchase in favor of us at the original option exercise price that lapses in accordance with such vesting schedule.</w:t>
      </w:r>
    </w:p>
    <w:p>
      <w:pPr>
        <w:spacing w:after="0" w:line="1" w:lineRule="exact"/>
        <w:rPr>
          <w:rFonts w:ascii="Arial" w:cs="Arial" w:eastAsia="Arial" w:hAnsi="Arial"/>
          <w:sz w:val="17"/>
          <w:szCs w:val="17"/>
          <w:color w:val="32406B"/>
        </w:rPr>
      </w:pPr>
    </w:p>
    <w:p>
      <w:pPr>
        <w:jc w:val="both"/>
        <w:ind w:left="540" w:right="20" w:hanging="424"/>
        <w:spacing w:after="0" w:line="253" w:lineRule="auto"/>
        <w:tabs>
          <w:tab w:leader="none" w:pos="540" w:val="left"/>
        </w:tabs>
        <w:numPr>
          <w:ilvl w:val="0"/>
          <w:numId w:val="107"/>
        </w:numPr>
        <w:rPr>
          <w:rFonts w:ascii="Arial" w:cs="Arial" w:eastAsia="Arial" w:hAnsi="Arial"/>
          <w:sz w:val="18"/>
          <w:szCs w:val="18"/>
          <w:color w:val="32406B"/>
        </w:rPr>
      </w:pPr>
      <w:r>
        <w:rPr>
          <w:rFonts w:ascii="Arial" w:cs="Arial" w:eastAsia="Arial" w:hAnsi="Arial"/>
          <w:sz w:val="18"/>
          <w:szCs w:val="18"/>
          <w:color w:val="32406B"/>
        </w:rPr>
        <w:t>25% of the shares subject to this award will vest on the first anniversary of the vesting commencement date, with the remaining shares vesting in equal monthly installments over the three years thereafter, in each case subject to the named executive officer’s continued service. Notwithstanding the foregoing, 100% of the shares subject to this award will vest immediately prior to a change in control, subject to the named executive officer’s continued service until immediately prior to such change in control.</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173</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Agreements with our Named Executive Officers</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have previously entered into employment or consulting agreements with each of our named executive officers, and in connection with this offering, we will enter into employment agreements with Drs. Gerngross and Dabora to supersede their consulting agreement and offer letter, respectively, and a restated and amended employment agreement with Dr. Connolly to supersede her prior employment agreement. The key terms of the prior and prospective agreements are described below. For a discussion of the severance pay and other benefits to be provided in connection with a termination of employment or a change in control under the arrangements with our named executive officers, please see “Potential Payments Upon Termination in the Employment Agreements to be Executed in Connection with this Offering” below.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Prior Agreements with our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Dr. Gerngross’ Prior Consulting Agreement</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In July 2020, we entered into a consulting agreement with Dr. Gerngross. This agreement governs the current terms of Dr. Gerngross’s consulting arrangement with us. Dr. Gerngross’s consulting agreement does not provide for the payment of consulting fees but acknowledges that, in consideration of his consulting services, he was granted an option to purchase 1,985,295 shares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Dr. Connolly’s Prior Employment Agreement</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In November 2020, we entered into an employment agreement with Dr. Connolly. This agreement governs the current terms of Dr. Connolly’s employment with us. Pursuant to her employment agreement, Dr. Connolly is entitled to an annual base salary of $360,000, and is eligible to receive an annual target bonus equal to 35% of her annual base salary, with the actual payout determined in the discretion our board of directors and any bonus payable in respect of calendar year 2020 prorated from the commencement of her employment. Dr. Connolly is also eligible for standard benefits such as paid time off, for reimbursement of business expenses, and to participate in our employee benefit plans and programs.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Dr. Dabora’s Prior Consulting Agreement</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In June 2020, we entered into a consulting agreement with RDBio Consulting LLC, a limited liability company owned by Dr. Dabora, pursuant to which RDBio Consulting LLC agreed to make Dr. Dabora available to provide services to us. The agreement had an initial term of one year and governed the terms of Dr. Dabora’s service relationship with us before she was converted to a full-time employee. The agreement provided that we pay RDBio Consulting, LLC an amount of $400 per hour that Dr. Dabora provided services to us (but not to exceed $3,200 per day). The agreement also provided for reimbursement of business expenses and could be terminated by either party upon 30 days’ prior written notice. In May 2021, Dr. Dabora entered into an offer letter agreement with us, similar in terms to the employment agreement, except that the offer letter did not include severance or change in control benefits.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Prospective Agreements with our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Dr. Gerngross’s Employment Agreement</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Dr. Gerngross’s employment agreement includes a base salary of $550,000 and an annual target bonus of 50% of his base salary. The annual bonus will be determined by the compensation committee based on the achievement of performance goals and objectives for the calendar year. The employment agreement provides for standard benefits, such as paid time off, reimbursement of business expenses, and participation in our employee benefit plans and programs. The employment agreement states that any time-based equity issued on or after the offering will not accelerate in full upon a change in control if such equity is assumed, continued or substituted by the successor entity. Severance terms are detailed further below under “Potential Payments Upon Termination in the Employment Agreements to be Executed in Connection with this Offering.”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174</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32406B"/>
        </w:rPr>
        <w:t>Dr. Dabora’s Employment Agreement and Dr. Connolly’s Restated and Amended Employment Agreement</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Dr. Dabora’s employment agreement and Dr. Connolly’s restated and amended employment agreement follow the same form as Dr. Gerngross’s employment agreement, except that Dr. Dabora will receive a salary of $400,000 and a target bonus of 40% of her base salary, and Dr. Connolly will receive a salary of $440,000 and a target bonus of 40% of her base salary. Other substantive differences are limited to the definition of Good Reason, which, for Drs. Dabora and Connolly, is further triggered by a material reduction in the authority, duties or responsibilities of the CEO to whom the executives report. Severance terms are detailed further below under “Potential Payments Upon Termination in the Employment Agreements to be Executed in Connection with this Offering.”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Potential Payments Upon Termination in the Employment Agreements to be Executed in Connection with this Offering</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Drs. Gerngross, Connolly and Dabora will be entitled to certain severance and change in control benefits pursuant to the employment agreements executed in connection with this offering.</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the event that the executives’ employment ends upon death or a disability, they will be entitled to accrued obligations and payment of their target bonus so long as their employment terminates after the completion of the calendar year but prior to the date of payment of the bonus, or the Earned Bonus.</w:t>
      </w:r>
    </w:p>
    <w:p>
      <w:pPr>
        <w:spacing w:after="0" w:line="184"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In the event that employment terminates, other than during the period commencing three months prior to or ending 12 months following a “change in control,” or the Change in Control Period, by us without “cause” or by the executive for “good reason” (as defined in our equity plan and the respective employment agreement), and subject to the delivery to us of a separation agreement that includes a general release of claims, Drs. Dabora and Connolly will each receive cash severance equal to nine months of their base salary, as well as the Earned Bonus, if applicable, and nine months continuation of benefits. In exchange for the same terms, Dr. Gerngross will receive cash severance equal to 12 months of his base salary, the Earned Bonus, if applicable, and 12 months continuation of benefits. Each of the three executives will also be entitled to delayed forfeiture of unvested time-based equity awards until 90 days after the date of termination.</w:t>
      </w:r>
    </w:p>
    <w:p>
      <w:pPr>
        <w:spacing w:after="0" w:line="17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In the event that the executives’ employment is terminated by us without cause or by the executive for good reason, in either case, during the Change in Control Period, and subject to their delivery to us of a separation agreement that includes a general release of claims, Drs. Dabora and Connolly will each receive cash severance equal to 12 months of their base salary, their respective target bonus for the year of termination, as well as the Earned Bonus, if applicable, and 12 months continuation of benefits. In exchange for the same terms, Dr. Gerngross will receive cash severance equal to 18 months of his base salary, the target bonus for the year of termination with a 1.5 multiplier, the Earned Bonus, if applicable, and 18 months continuation of benefits. All three executives will also be entitled to immediate acceleration and full vesting of any time-based equity awards, exercisable or nonforfeitable as if employment continued until the later of the date of termination or the effective date of the separation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Retirement Benefits and Other Compensation</w:t>
      </w:r>
    </w:p>
    <w:p>
      <w:pPr>
        <w:spacing w:after="0" w:line="121"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Our named executive officers were eligible to participate in our employee benefits,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2020.</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175</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2021 Equity Incentive Plan</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Our board of directors adopted, and our stockholders approved, our 2021 Equity Incentive Plan, or the 2021 Plan, in July 2021. Our 2021 Plan provides for the grant of incentive stock options, or ISOs, to employees, including employees of any parent or subsidiary, and for the grant of nonstatutory stock options, or NSOs, stock appreciation rights, restricted stock awards, restricted stock unit awards, performance awards and other forms of stock awards to employees, directors, and consultants, including employees and consultants of our affiliates. Our 2021 Plan is a successor to the 2020 Plan and became effective immediately prior to and contingent upon the execution of the underwriting agreement related to this offering.</w:t>
      </w:r>
    </w:p>
    <w:p>
      <w:pPr>
        <w:spacing w:after="0" w:line="16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i w:val="1"/>
          <w:iCs w:val="1"/>
          <w:color w:val="32406B"/>
        </w:rPr>
        <w:t>Authorized Shares</w:t>
      </w:r>
      <w:r>
        <w:rPr>
          <w:rFonts w:ascii="Arial" w:cs="Arial" w:eastAsia="Arial" w:hAnsi="Arial"/>
          <w:sz w:val="17"/>
          <w:szCs w:val="17"/>
          <w:color w:val="32406B"/>
        </w:rPr>
        <w:t>. Initially, the maximum number of shares of our common stock that may be issued under our 2021 Plan is 35,075,122 shares,</w:t>
      </w:r>
      <w:r>
        <w:rPr>
          <w:rFonts w:ascii="Arial" w:cs="Arial" w:eastAsia="Arial" w:hAnsi="Arial"/>
          <w:sz w:val="17"/>
          <w:szCs w:val="17"/>
          <w:i w:val="1"/>
          <w:iCs w:val="1"/>
          <w:color w:val="32406B"/>
        </w:rPr>
        <w:t xml:space="preserve"> </w:t>
      </w:r>
      <w:r>
        <w:rPr>
          <w:rFonts w:ascii="Arial" w:cs="Arial" w:eastAsia="Arial" w:hAnsi="Arial"/>
          <w:sz w:val="17"/>
          <w:szCs w:val="17"/>
          <w:color w:val="32406B"/>
        </w:rPr>
        <w:t>which is the sum of (i) 11,413,572 new shares; plus (ii) the number of shares (not to exceed 23,661,550 shares) equal to (A) the shares that remained available for issuance under the 2020 Plan at the time our 2021 Plan became effective, and (B) any shares subject to outstanding stock options or other stock awards that were granted under the 2020 Plan that are forfeited, terminate, expire or are otherwise not issued. In addition, the number of shares of our common stock reserved for issuance under our 2021 Plan will automatically increase on January 1 of each calendar year, starting on January 1, 2022 and continuing through January 1, 2031, in an amount equal to 5% of the total number of shares of our common stock outstanding on the last day of the calendar month before the date of each automatic increase, or a lesser number of shares determined by our board of directors (in either case, such amount is referred to herein as the annual increase). The maximum number of shares of our common stock that may be issued on the exercise of ISOs under our 2021 Plan shall not exceed the initial reserve cumulatively increased on January 1, 2022 and each January 1st thereafter by the lesser of (i) the annual increase for such year or (ii) 23,827,144 shares of common stock.</w:t>
      </w:r>
    </w:p>
    <w:p>
      <w:pPr>
        <w:spacing w:after="0" w:line="185"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Shares subject to stock awards granted under our 2021 Plan that expire or terminate without being exercised in full, or that are paid out in cash rather than in shares, do not reduce the number of shares available for issuance under our 2021 Plan. Additionally, shares become available for future grant under our 2021 Plan if they were issued under stock awards under our 2021 Plan if we repurchase them or they are forfeited. This includes shares used to pay the exercise price of a stock award or to satisfy the tax withholding obligations related to a stock award.</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Plan Administration</w:t>
      </w:r>
      <w:r>
        <w:rPr>
          <w:rFonts w:ascii="Arial" w:cs="Arial" w:eastAsia="Arial" w:hAnsi="Arial"/>
          <w:sz w:val="18"/>
          <w:szCs w:val="18"/>
          <w:color w:val="32406B"/>
        </w:rPr>
        <w:t>. Our board of directors, or a duly authorized committee of our board of directors, will administer our 2021 Plan. Our board of</w:t>
      </w:r>
      <w:r>
        <w:rPr>
          <w:rFonts w:ascii="Arial" w:cs="Arial" w:eastAsia="Arial" w:hAnsi="Arial"/>
          <w:sz w:val="18"/>
          <w:szCs w:val="18"/>
          <w:i w:val="1"/>
          <w:iCs w:val="1"/>
          <w:color w:val="32406B"/>
        </w:rPr>
        <w:t xml:space="preserve"> </w:t>
      </w:r>
      <w:r>
        <w:rPr>
          <w:rFonts w:ascii="Arial" w:cs="Arial" w:eastAsia="Arial" w:hAnsi="Arial"/>
          <w:sz w:val="18"/>
          <w:szCs w:val="18"/>
          <w:color w:val="32406B"/>
        </w:rPr>
        <w:t>directors may also delegate to one or more of our officers the authority to (i) designate employees (other than officers) to receive specified stock awards and (ii) determine the number of shares subject to such stock awards. Under our 2021 Plan, our board of directors has the authority to determine and amend the terms of awards and underlying agreements, including:</w:t>
      </w:r>
    </w:p>
    <w:p>
      <w:pPr>
        <w:spacing w:after="0" w:line="9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32406B"/>
        </w:rPr>
      </w:pPr>
      <w:r>
        <w:rPr>
          <w:rFonts w:ascii="Arial" w:cs="Arial" w:eastAsia="Arial" w:hAnsi="Arial"/>
          <w:sz w:val="18"/>
          <w:szCs w:val="18"/>
          <w:color w:val="32406B"/>
        </w:rPr>
        <w:t>recipients;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8"/>
        </w:numPr>
        <w:rPr>
          <w:rFonts w:ascii="Arial" w:cs="Arial" w:eastAsia="Arial" w:hAnsi="Arial"/>
          <w:sz w:val="18"/>
          <w:szCs w:val="18"/>
          <w:color w:val="32406B"/>
        </w:rPr>
      </w:pPr>
      <w:r>
        <w:rPr>
          <w:rFonts w:ascii="Arial" w:cs="Arial" w:eastAsia="Arial" w:hAnsi="Arial"/>
          <w:sz w:val="18"/>
          <w:szCs w:val="18"/>
          <w:color w:val="32406B"/>
        </w:rPr>
        <w:t>the exercise, purchase or strike price of stock awards, if any; the number of shares subject to each stock award;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8"/>
        </w:numPr>
        <w:rPr>
          <w:rFonts w:ascii="Arial" w:cs="Arial" w:eastAsia="Arial" w:hAnsi="Arial"/>
          <w:sz w:val="18"/>
          <w:szCs w:val="18"/>
          <w:color w:val="32406B"/>
        </w:rPr>
      </w:pPr>
      <w:r>
        <w:rPr>
          <w:rFonts w:ascii="Arial" w:cs="Arial" w:eastAsia="Arial" w:hAnsi="Arial"/>
          <w:sz w:val="18"/>
          <w:szCs w:val="18"/>
          <w:color w:val="32406B"/>
        </w:rPr>
        <w:t>the vesting schedule applicable to the awards, together with any vesting acceleration;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8"/>
        </w:numPr>
        <w:rPr>
          <w:rFonts w:ascii="Arial" w:cs="Arial" w:eastAsia="Arial" w:hAnsi="Arial"/>
          <w:sz w:val="18"/>
          <w:szCs w:val="18"/>
          <w:color w:val="32406B"/>
        </w:rPr>
      </w:pPr>
      <w:r>
        <w:rPr>
          <w:rFonts w:ascii="Arial" w:cs="Arial" w:eastAsia="Arial" w:hAnsi="Arial"/>
          <w:sz w:val="18"/>
          <w:szCs w:val="18"/>
          <w:color w:val="32406B"/>
        </w:rPr>
        <w:t>the form of consideration, if any, payable on exercise or settlement of the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2406B"/>
        </w:rPr>
        <w:t>Under the 2021 Plan, the board of directors also generally has the authority to effect, with the consent of any adversely affected participant:</w:t>
      </w:r>
    </w:p>
    <w:p>
      <w:pPr>
        <w:spacing w:after="0" w:line="131"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32406B"/>
        </w:rPr>
      </w:pPr>
      <w:r>
        <w:rPr>
          <w:rFonts w:ascii="Arial" w:cs="Arial" w:eastAsia="Arial" w:hAnsi="Arial"/>
          <w:sz w:val="18"/>
          <w:szCs w:val="18"/>
          <w:color w:val="32406B"/>
        </w:rPr>
        <w:t>the reduction of the exercise, purchase, or strike price of any outstanding award;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09"/>
        </w:numPr>
        <w:rPr>
          <w:rFonts w:ascii="Arial" w:cs="Arial" w:eastAsia="Arial" w:hAnsi="Arial"/>
          <w:sz w:val="17"/>
          <w:szCs w:val="17"/>
          <w:color w:val="32406B"/>
        </w:rPr>
      </w:pPr>
      <w:r>
        <w:rPr>
          <w:rFonts w:ascii="Arial" w:cs="Arial" w:eastAsia="Arial" w:hAnsi="Arial"/>
          <w:sz w:val="17"/>
          <w:szCs w:val="17"/>
          <w:color w:val="32406B"/>
        </w:rPr>
        <w:t>the cancellation of any outstanding award and the grant in substitution therefore of other awards, cash, or other consideration; or</w:t>
      </w:r>
    </w:p>
    <w:p>
      <w:pPr>
        <w:spacing w:after="0" w:line="142" w:lineRule="exact"/>
        <w:rPr>
          <w:rFonts w:ascii="Arial" w:cs="Arial" w:eastAsia="Arial" w:hAnsi="Arial"/>
          <w:sz w:val="17"/>
          <w:szCs w:val="17"/>
          <w:color w:val="32406B"/>
        </w:rPr>
      </w:pPr>
    </w:p>
    <w:p>
      <w:pPr>
        <w:ind w:left="1080" w:hanging="532"/>
        <w:spacing w:after="0"/>
        <w:tabs>
          <w:tab w:leader="none" w:pos="1080" w:val="left"/>
        </w:tabs>
        <w:numPr>
          <w:ilvl w:val="0"/>
          <w:numId w:val="109"/>
        </w:numPr>
        <w:rPr>
          <w:rFonts w:ascii="Arial" w:cs="Arial" w:eastAsia="Arial" w:hAnsi="Arial"/>
          <w:sz w:val="18"/>
          <w:szCs w:val="18"/>
          <w:color w:val="32406B"/>
        </w:rPr>
      </w:pPr>
      <w:r>
        <w:rPr>
          <w:rFonts w:ascii="Arial" w:cs="Arial" w:eastAsia="Arial" w:hAnsi="Arial"/>
          <w:sz w:val="18"/>
          <w:szCs w:val="18"/>
          <w:color w:val="32406B"/>
        </w:rPr>
        <w:t>any other action that is treated as a repricing under generally accepted accounting principles.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176</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32406B"/>
        </w:rPr>
        <w:t xml:space="preserve">Stock Options. </w:t>
      </w:r>
      <w:r>
        <w:rPr>
          <w:rFonts w:ascii="Arial" w:cs="Arial" w:eastAsia="Arial" w:hAnsi="Arial"/>
          <w:sz w:val="18"/>
          <w:szCs w:val="18"/>
          <w:color w:val="32406B"/>
        </w:rPr>
        <w:t>ISOs and NSOs are granted under stock option agreements adopted by the plan administrator. The plan administrator determines</w:t>
      </w:r>
      <w:r>
        <w:rPr>
          <w:rFonts w:ascii="Arial" w:cs="Arial" w:eastAsia="Arial" w:hAnsi="Arial"/>
          <w:sz w:val="18"/>
          <w:szCs w:val="18"/>
          <w:i w:val="1"/>
          <w:iCs w:val="1"/>
          <w:color w:val="32406B"/>
        </w:rPr>
        <w:t xml:space="preserve"> </w:t>
      </w:r>
      <w:r>
        <w:rPr>
          <w:rFonts w:ascii="Arial" w:cs="Arial" w:eastAsia="Arial" w:hAnsi="Arial"/>
          <w:sz w:val="18"/>
          <w:szCs w:val="18"/>
          <w:color w:val="32406B"/>
        </w:rPr>
        <w:t>the exercise price for stock options,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plan administrator.</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32406B"/>
        </w:rPr>
        <w:t>Tax Limitations on ISOs</w:t>
      </w:r>
      <w:r>
        <w:rPr>
          <w:rFonts w:ascii="Arial" w:cs="Arial" w:eastAsia="Arial" w:hAnsi="Arial"/>
          <w:sz w:val="18"/>
          <w:szCs w:val="18"/>
          <w:color w:val="32406B"/>
        </w:rPr>
        <w:t>. The aggregate fair market value, determined at the time of grant, of our common stock with respect to ISOs that are</w:t>
      </w:r>
      <w:r>
        <w:rPr>
          <w:rFonts w:ascii="Arial" w:cs="Arial" w:eastAsia="Arial" w:hAnsi="Arial"/>
          <w:sz w:val="18"/>
          <w:szCs w:val="18"/>
          <w:i w:val="1"/>
          <w:iCs w:val="1"/>
          <w:color w:val="32406B"/>
        </w:rPr>
        <w:t xml:space="preserve"> </w:t>
      </w:r>
      <w:r>
        <w:rPr>
          <w:rFonts w:ascii="Arial" w:cs="Arial" w:eastAsia="Arial" w:hAnsi="Arial"/>
          <w:sz w:val="18"/>
          <w:szCs w:val="18"/>
          <w:color w:val="32406B"/>
        </w:rPr>
        <w:t>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spacing w:after="0" w:line="192"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i w:val="1"/>
          <w:iCs w:val="1"/>
          <w:color w:val="32406B"/>
        </w:rPr>
        <w:t xml:space="preserve">Restricted Stock Unit Awards. </w:t>
      </w:r>
      <w:r>
        <w:rPr>
          <w:rFonts w:ascii="Arial" w:cs="Arial" w:eastAsia="Arial" w:hAnsi="Arial"/>
          <w:sz w:val="17"/>
          <w:szCs w:val="17"/>
          <w:color w:val="32406B"/>
        </w:rPr>
        <w:t>Restricted stock units are granted under restricted stock unit award agreements adopted by the plan administrator.</w:t>
      </w:r>
      <w:r>
        <w:rPr>
          <w:rFonts w:ascii="Arial" w:cs="Arial" w:eastAsia="Arial" w:hAnsi="Arial"/>
          <w:sz w:val="17"/>
          <w:szCs w:val="17"/>
          <w:i w:val="1"/>
          <w:iCs w:val="1"/>
          <w:color w:val="32406B"/>
        </w:rPr>
        <w:t xml:space="preserve"> </w:t>
      </w:r>
      <w:r>
        <w:rPr>
          <w:rFonts w:ascii="Arial" w:cs="Arial" w:eastAsia="Arial" w:hAnsi="Arial"/>
          <w:sz w:val="17"/>
          <w:szCs w:val="17"/>
          <w:color w:val="32406B"/>
        </w:rPr>
        <w:t>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8"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32406B"/>
        </w:rPr>
        <w:t xml:space="preserve">Restricted Stock Awards. </w:t>
      </w:r>
      <w:r>
        <w:rPr>
          <w:rFonts w:ascii="Arial" w:cs="Arial" w:eastAsia="Arial" w:hAnsi="Arial"/>
          <w:sz w:val="18"/>
          <w:szCs w:val="18"/>
          <w:color w:val="32406B"/>
        </w:rPr>
        <w:t>Restricted stock awards are granted under restricted stock award agreements adopted by the plan administrator. A</w:t>
      </w:r>
      <w:r>
        <w:rPr>
          <w:rFonts w:ascii="Arial" w:cs="Arial" w:eastAsia="Arial" w:hAnsi="Arial"/>
          <w:sz w:val="18"/>
          <w:szCs w:val="18"/>
          <w:i w:val="1"/>
          <w:iCs w:val="1"/>
          <w:color w:val="32406B"/>
        </w:rPr>
        <w:t xml:space="preserve"> </w:t>
      </w:r>
      <w:r>
        <w:rPr>
          <w:rFonts w:ascii="Arial" w:cs="Arial" w:eastAsia="Arial" w:hAnsi="Arial"/>
          <w:sz w:val="18"/>
          <w:szCs w:val="18"/>
          <w:color w:val="32406B"/>
        </w:rPr>
        <w:t>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 xml:space="preserve">Stock Appreciation Rights. </w:t>
      </w:r>
      <w:r>
        <w:rPr>
          <w:rFonts w:ascii="Arial" w:cs="Arial" w:eastAsia="Arial" w:hAnsi="Arial"/>
          <w:sz w:val="18"/>
          <w:szCs w:val="18"/>
          <w:color w:val="32406B"/>
        </w:rPr>
        <w:t>Stock appreciation rights are granted under stock appreciation grant agreements adopted by the plan administrator. The</w:t>
      </w:r>
      <w:r>
        <w:rPr>
          <w:rFonts w:ascii="Arial" w:cs="Arial" w:eastAsia="Arial" w:hAnsi="Arial"/>
          <w:sz w:val="18"/>
          <w:szCs w:val="18"/>
          <w:i w:val="1"/>
          <w:iCs w:val="1"/>
          <w:color w:val="32406B"/>
        </w:rPr>
        <w:t xml:space="preserve"> </w:t>
      </w:r>
      <w:r>
        <w:rPr>
          <w:rFonts w:ascii="Arial" w:cs="Arial" w:eastAsia="Arial" w:hAnsi="Arial"/>
          <w:sz w:val="18"/>
          <w:szCs w:val="18"/>
          <w:color w:val="32406B"/>
        </w:rPr>
        <w:t>plan administrator determines the purchase price or strike price for a stock appreciation right, which generally cannot be less than 100% of the fair market value of our common stock on the date of grant. A stock appreciation right granted under the 2021 Plan vests at the rate specified in the stock appreciation right agreement as determined by the plan administrator.</w:t>
      </w:r>
    </w:p>
    <w:p>
      <w:pPr>
        <w:spacing w:after="0" w:line="187"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i w:val="1"/>
          <w:iCs w:val="1"/>
          <w:color w:val="32406B"/>
        </w:rPr>
        <w:t xml:space="preserve">Performance Awards. </w:t>
      </w:r>
      <w:r>
        <w:rPr>
          <w:rFonts w:ascii="Arial" w:cs="Arial" w:eastAsia="Arial" w:hAnsi="Arial"/>
          <w:sz w:val="16"/>
          <w:szCs w:val="16"/>
          <w:color w:val="32406B"/>
        </w:rPr>
        <w:t>The 2021 Plan permits the grant of performance-based stock and cash awards. The plan administrator may structure awards</w:t>
      </w:r>
      <w:r>
        <w:rPr>
          <w:rFonts w:ascii="Arial" w:cs="Arial" w:eastAsia="Arial" w:hAnsi="Arial"/>
          <w:sz w:val="16"/>
          <w:szCs w:val="16"/>
          <w:i w:val="1"/>
          <w:iCs w:val="1"/>
          <w:color w:val="32406B"/>
        </w:rPr>
        <w:t xml:space="preserve"> </w:t>
      </w:r>
      <w:r>
        <w:rPr>
          <w:rFonts w:ascii="Arial" w:cs="Arial" w:eastAsia="Arial" w:hAnsi="Arial"/>
          <w:sz w:val="16"/>
          <w:szCs w:val="16"/>
          <w:color w:val="32406B"/>
        </w:rPr>
        <w:t>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w:t>
      </w:r>
    </w:p>
    <w:p>
      <w:pPr>
        <w:spacing w:after="0" w:line="1" w:lineRule="exact"/>
        <w:rPr>
          <w:sz w:val="20"/>
          <w:szCs w:val="20"/>
          <w:color w:val="auto"/>
        </w:rPr>
      </w:pPr>
    </w:p>
    <w:p>
      <w:pPr>
        <w:jc w:val="both"/>
        <w:ind w:left="120" w:right="20" w:hanging="4"/>
        <w:spacing w:after="0" w:line="255" w:lineRule="auto"/>
        <w:tabs>
          <w:tab w:leader="none" w:pos="379" w:val="left"/>
        </w:tabs>
        <w:numPr>
          <w:ilvl w:val="0"/>
          <w:numId w:val="110"/>
        </w:numPr>
        <w:rPr>
          <w:rFonts w:ascii="Arial" w:cs="Arial" w:eastAsia="Arial" w:hAnsi="Arial"/>
          <w:sz w:val="18"/>
          <w:szCs w:val="18"/>
          <w:color w:val="32406B"/>
        </w:rPr>
      </w:pPr>
      <w:r>
        <w:rPr>
          <w:rFonts w:ascii="Arial" w:cs="Arial" w:eastAsia="Arial" w:hAnsi="Arial"/>
          <w:sz w:val="18"/>
          <w:szCs w:val="18"/>
          <w:color w:val="32406B"/>
        </w:rPr>
        <w:t>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177</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32406B"/>
        </w:rPr>
        <w:t>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FDA or any other regulatory body. In addition, we retain the discretion to reduce or eliminate the compensation or economic benefit due upon attainment of the goals. The performance goals may differ from participant to participant and from award to award.</w:t>
      </w:r>
    </w:p>
    <w:p>
      <w:pPr>
        <w:spacing w:after="0" w:line="18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32406B"/>
        </w:rPr>
        <w:t xml:space="preserve">Other Stock Awards. </w:t>
      </w:r>
      <w:r>
        <w:rPr>
          <w:rFonts w:ascii="Arial" w:cs="Arial" w:eastAsia="Arial" w:hAnsi="Arial"/>
          <w:sz w:val="18"/>
          <w:szCs w:val="18"/>
          <w:color w:val="32406B"/>
        </w:rPr>
        <w:t>The plan administrator may grant other awards based in whole or in part by reference to our common stock. The plan</w:t>
      </w:r>
      <w:r>
        <w:rPr>
          <w:rFonts w:ascii="Arial" w:cs="Arial" w:eastAsia="Arial" w:hAnsi="Arial"/>
          <w:sz w:val="18"/>
          <w:szCs w:val="18"/>
          <w:i w:val="1"/>
          <w:iCs w:val="1"/>
          <w:color w:val="32406B"/>
        </w:rPr>
        <w:t xml:space="preserve"> </w:t>
      </w:r>
      <w:r>
        <w:rPr>
          <w:rFonts w:ascii="Arial" w:cs="Arial" w:eastAsia="Arial" w:hAnsi="Arial"/>
          <w:sz w:val="18"/>
          <w:szCs w:val="18"/>
          <w:color w:val="32406B"/>
        </w:rPr>
        <w:t>administrator will set the number of shares under the stock award and all other terms and conditions of such awards.</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i w:val="1"/>
          <w:iCs w:val="1"/>
          <w:color w:val="32406B"/>
        </w:rPr>
        <w:t>Non-Employee Director Compensation Limit</w:t>
      </w:r>
      <w:r>
        <w:rPr>
          <w:rFonts w:ascii="Arial" w:cs="Arial" w:eastAsia="Arial" w:hAnsi="Arial"/>
          <w:sz w:val="16"/>
          <w:szCs w:val="16"/>
          <w:color w:val="32406B"/>
        </w:rPr>
        <w:t>. The aggregate value of all compensation granted or paid to any non-employee director with respect</w:t>
      </w:r>
      <w:r>
        <w:rPr>
          <w:rFonts w:ascii="Arial" w:cs="Arial" w:eastAsia="Arial" w:hAnsi="Arial"/>
          <w:sz w:val="16"/>
          <w:szCs w:val="16"/>
          <w:i w:val="1"/>
          <w:iCs w:val="1"/>
          <w:color w:val="32406B"/>
        </w:rPr>
        <w:t xml:space="preserve"> </w:t>
      </w:r>
      <w:r>
        <w:rPr>
          <w:rFonts w:ascii="Arial" w:cs="Arial" w:eastAsia="Arial" w:hAnsi="Arial"/>
          <w:sz w:val="16"/>
          <w:szCs w:val="16"/>
          <w:color w:val="32406B"/>
        </w:rPr>
        <w:t>to any calendar year, including stock awards granted and cash fees paid by us to such non-employee director, will not exceed $1,500,000 in total value, calculating the value of any such stock awards based on the grant-date fair value of such stock awards for financial reporting purposes.</w:t>
      </w:r>
    </w:p>
    <w:p>
      <w:pPr>
        <w:spacing w:after="0" w:line="14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i w:val="1"/>
          <w:iCs w:val="1"/>
          <w:color w:val="32406B"/>
        </w:rPr>
        <w:t xml:space="preserve">Changes to Capital Structure. </w:t>
      </w:r>
      <w:r>
        <w:rPr>
          <w:rFonts w:ascii="Arial" w:cs="Arial" w:eastAsia="Arial" w:hAnsi="Arial"/>
          <w:sz w:val="18"/>
          <w:szCs w:val="18"/>
          <w:color w:val="32406B"/>
        </w:rPr>
        <w:t>In the event there is a specified type of change in our capital structure, such as a stock split, reverse stock split, or</w:t>
      </w:r>
      <w:r>
        <w:rPr>
          <w:rFonts w:ascii="Arial" w:cs="Arial" w:eastAsia="Arial" w:hAnsi="Arial"/>
          <w:sz w:val="18"/>
          <w:szCs w:val="18"/>
          <w:i w:val="1"/>
          <w:iCs w:val="1"/>
          <w:color w:val="32406B"/>
        </w:rPr>
        <w:t xml:space="preserve"> </w:t>
      </w:r>
      <w:r>
        <w:rPr>
          <w:rFonts w:ascii="Arial" w:cs="Arial" w:eastAsia="Arial" w:hAnsi="Arial"/>
          <w:sz w:val="18"/>
          <w:szCs w:val="18"/>
          <w:color w:val="32406B"/>
        </w:rPr>
        <w:t>recapitalization, appropriate adjustments will be made to (i) the class and maximum number of shares reserved for issuance under the 2021 Plan, (ii) the class and maximum number of shares by which the share reserve may increase automatically each year, (iii) the class and maximum number of shares that may be issued on the exercise of incentive stock options, and (iv) the class and number of shares and exercise price, strike price, or purchase price, if applicable, of all outstanding stock awards.</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32406B"/>
        </w:rPr>
        <w:t xml:space="preserve">Corporate Transactions. </w:t>
      </w:r>
      <w:r>
        <w:rPr>
          <w:rFonts w:ascii="Arial" w:cs="Arial" w:eastAsia="Arial" w:hAnsi="Arial"/>
          <w:sz w:val="18"/>
          <w:szCs w:val="18"/>
          <w:color w:val="32406B"/>
        </w:rPr>
        <w:t>The following applies to stock awards under the 2021 Plan in the event of a corporate transaction, unless otherwise</w:t>
      </w:r>
      <w:r>
        <w:rPr>
          <w:rFonts w:ascii="Arial" w:cs="Arial" w:eastAsia="Arial" w:hAnsi="Arial"/>
          <w:sz w:val="18"/>
          <w:szCs w:val="18"/>
          <w:i w:val="1"/>
          <w:iCs w:val="1"/>
          <w:color w:val="32406B"/>
        </w:rPr>
        <w:t xml:space="preserve"> </w:t>
      </w:r>
      <w:r>
        <w:rPr>
          <w:rFonts w:ascii="Arial" w:cs="Arial" w:eastAsia="Arial" w:hAnsi="Arial"/>
          <w:sz w:val="18"/>
          <w:szCs w:val="18"/>
          <w:color w:val="32406B"/>
        </w:rPr>
        <w:t>provided in a participant’s stock award agreement or other written agreement with us or one of our affiliates or unless otherwise expressly provided by the plan administrator at the time of grant.</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178</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32406B"/>
        </w:rPr>
        <w:t>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w:t>
      </w:r>
    </w:p>
    <w:p>
      <w:pPr>
        <w:spacing w:after="0" w:line="14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32406B"/>
        </w:rPr>
        <w:t xml:space="preserve">Change in Control. </w:t>
      </w:r>
      <w:r>
        <w:rPr>
          <w:rFonts w:ascii="Arial" w:cs="Arial" w:eastAsia="Arial" w:hAnsi="Arial"/>
          <w:sz w:val="18"/>
          <w:szCs w:val="18"/>
          <w:color w:val="32406B"/>
        </w:rPr>
        <w:t>In the event of a change in control, as defined under our 2021 Plan, awards granted under our 2021 Plan will not receive</w:t>
      </w:r>
      <w:r>
        <w:rPr>
          <w:rFonts w:ascii="Arial" w:cs="Arial" w:eastAsia="Arial" w:hAnsi="Arial"/>
          <w:sz w:val="18"/>
          <w:szCs w:val="18"/>
          <w:i w:val="1"/>
          <w:iCs w:val="1"/>
          <w:color w:val="32406B"/>
        </w:rPr>
        <w:t xml:space="preserve"> </w:t>
      </w:r>
      <w:r>
        <w:rPr>
          <w:rFonts w:ascii="Arial" w:cs="Arial" w:eastAsia="Arial" w:hAnsi="Arial"/>
          <w:sz w:val="18"/>
          <w:szCs w:val="18"/>
          <w:color w:val="32406B"/>
        </w:rPr>
        <w:t>automatic acceleration of vesting and exercisability, although this treatment may be provided for in an award agreement.</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Under our 2021 Plan, a corporate transaction is defined to include: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Under the 2021 Plan, a change in control is defined to include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(3) the approval by the stockholders or the board of directors of a plan of complete dissolution or liquidation of the company, or the occurrence of a complete dissolution or liquidation of the company, except for a liquidation into a parent corporation; (4) a sale, lease, exclusive license or other disposition of all or substantially all of our assets other than to an entity more than 50% of the combined voting power of which is owned by our stockholders; and (5) an unapproved change in the majority of the board of directors.</w:t>
      </w:r>
    </w:p>
    <w:p>
      <w:pPr>
        <w:spacing w:after="0" w:line="17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32406B"/>
        </w:rPr>
        <w:t xml:space="preserve">Transferability. </w:t>
      </w:r>
      <w:r>
        <w:rPr>
          <w:rFonts w:ascii="Arial" w:cs="Arial" w:eastAsia="Arial" w:hAnsi="Arial"/>
          <w:sz w:val="18"/>
          <w:szCs w:val="18"/>
          <w:color w:val="32406B"/>
        </w:rPr>
        <w:t>A participant may not transfer stock awards under our 2021 Plan other than by will, the laws of descent and distribution, or as</w:t>
      </w:r>
      <w:r>
        <w:rPr>
          <w:rFonts w:ascii="Arial" w:cs="Arial" w:eastAsia="Arial" w:hAnsi="Arial"/>
          <w:sz w:val="18"/>
          <w:szCs w:val="18"/>
          <w:i w:val="1"/>
          <w:iCs w:val="1"/>
          <w:color w:val="32406B"/>
        </w:rPr>
        <w:t xml:space="preserve"> </w:t>
      </w:r>
      <w:r>
        <w:rPr>
          <w:rFonts w:ascii="Arial" w:cs="Arial" w:eastAsia="Arial" w:hAnsi="Arial"/>
          <w:sz w:val="18"/>
          <w:szCs w:val="18"/>
          <w:color w:val="32406B"/>
        </w:rPr>
        <w:t>otherwise provided under our 2021 Plan.</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i w:val="1"/>
          <w:iCs w:val="1"/>
          <w:color w:val="32406B"/>
        </w:rPr>
        <w:t xml:space="preserve">Plan Amendment or Termination. </w:t>
      </w:r>
      <w:r>
        <w:rPr>
          <w:rFonts w:ascii="Arial" w:cs="Arial" w:eastAsia="Arial" w:hAnsi="Arial"/>
          <w:sz w:val="17"/>
          <w:szCs w:val="17"/>
          <w:color w:val="32406B"/>
        </w:rPr>
        <w:t>Our board of directors has the authority to amend, suspend, or terminate our 2021 Plan, provided that such</w:t>
      </w:r>
      <w:r>
        <w:rPr>
          <w:rFonts w:ascii="Arial" w:cs="Arial" w:eastAsia="Arial" w:hAnsi="Arial"/>
          <w:sz w:val="17"/>
          <w:szCs w:val="17"/>
          <w:i w:val="1"/>
          <w:iCs w:val="1"/>
          <w:color w:val="32406B"/>
        </w:rPr>
        <w:t xml:space="preserve"> </w:t>
      </w:r>
      <w:r>
        <w:rPr>
          <w:rFonts w:ascii="Arial" w:cs="Arial" w:eastAsia="Arial" w:hAnsi="Arial"/>
          <w:sz w:val="17"/>
          <w:szCs w:val="17"/>
          <w:color w:val="32406B"/>
        </w:rPr>
        <w:t>action does not materially impair the existing rights of any participant without such participant’s written consent. Certain material amendments also require the approval of our stockholders. No incentive stock options may be granted after the tenth anniversary of the date our board of directors adopted our 2021 Plan. No stock awards may be granted under our 2021 Plan while it is suspended or after it is terminated.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2020 Equity Incentive Plan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2020 Equity Incentive Plan, or the 2020 Plan, was originally adopted by our board of directors on June 19, 2020 and approved by our stockholders on June 22, 2020. The 2020 Plan allows for the grant of ISOs to employees, including employees of any parent or subsidiary, and for the grant of NSOs, restricted stock awards, restricted stock units and other forms of stock awards to employees, directors, and consultants. Once our 2021 Plan became effective, no further grants may be made under the 2020 Plan. Any outstanding awards granted under the 2020 Plan will remain subject to the terms of the 2020 Plan and applicable award agreements.</w:t>
      </w:r>
    </w:p>
    <w:p>
      <w:pPr>
        <w:spacing w:after="0" w:line="18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i w:val="1"/>
          <w:iCs w:val="1"/>
          <w:color w:val="32406B"/>
        </w:rPr>
        <w:t>Authorized Shares</w:t>
      </w:r>
      <w:r>
        <w:rPr>
          <w:rFonts w:ascii="Arial" w:cs="Arial" w:eastAsia="Arial" w:hAnsi="Arial"/>
          <w:sz w:val="17"/>
          <w:szCs w:val="17"/>
          <w:color w:val="32406B"/>
        </w:rPr>
        <w:t>. The maximum number of shares of our common stock that may be issued under the 2020 Plan is 29,254,790 shares. Shares</w:t>
      </w:r>
      <w:r>
        <w:rPr>
          <w:rFonts w:ascii="Arial" w:cs="Arial" w:eastAsia="Arial" w:hAnsi="Arial"/>
          <w:sz w:val="17"/>
          <w:szCs w:val="17"/>
          <w:i w:val="1"/>
          <w:iCs w:val="1"/>
          <w:color w:val="32406B"/>
        </w:rPr>
        <w:t xml:space="preserve"> </w:t>
      </w:r>
      <w:r>
        <w:rPr>
          <w:rFonts w:ascii="Arial" w:cs="Arial" w:eastAsia="Arial" w:hAnsi="Arial"/>
          <w:sz w:val="17"/>
          <w:szCs w:val="17"/>
          <w:color w:val="32406B"/>
        </w:rPr>
        <w:t>subject to stock awards granted under the 2020 Plan that are cancelled, forfeited, settled in cash or that expire by their terms do not reduce the number of shares available for issuance under the 2020 Plan. Additionally, shares used to pay the exercise price of a stock award or to satisfy the tax withholding obligations related to a stock award become available for future grant under the 2020 Plan.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179</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i w:val="1"/>
          <w:iCs w:val="1"/>
          <w:color w:val="32406B"/>
        </w:rPr>
        <w:t>Administration</w:t>
      </w:r>
      <w:r>
        <w:rPr>
          <w:rFonts w:ascii="Arial" w:cs="Arial" w:eastAsia="Arial" w:hAnsi="Arial"/>
          <w:sz w:val="17"/>
          <w:szCs w:val="17"/>
          <w:color w:val="32406B"/>
        </w:rPr>
        <w:t>. Our board of directors, or a duly authorized committee thereof, administers the 2020 Plan. Under the 2020 Plan, the plan</w:t>
      </w:r>
      <w:r>
        <w:rPr>
          <w:rFonts w:ascii="Arial" w:cs="Arial" w:eastAsia="Arial" w:hAnsi="Arial"/>
          <w:sz w:val="17"/>
          <w:szCs w:val="17"/>
          <w:i w:val="1"/>
          <w:iCs w:val="1"/>
          <w:color w:val="32406B"/>
        </w:rPr>
        <w:t xml:space="preserve"> </w:t>
      </w:r>
      <w:r>
        <w:rPr>
          <w:rFonts w:ascii="Arial" w:cs="Arial" w:eastAsia="Arial" w:hAnsi="Arial"/>
          <w:sz w:val="17"/>
          <w:szCs w:val="17"/>
          <w:color w:val="32406B"/>
        </w:rPr>
        <w:t>administrator has the full authority and discretion to take any actions it deems necessary or advisable for the 2020 Plan’s administration.</w:t>
      </w:r>
    </w:p>
    <w:p>
      <w:pPr>
        <w:spacing w:after="0" w:line="14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i w:val="1"/>
          <w:iCs w:val="1"/>
          <w:color w:val="32406B"/>
        </w:rPr>
        <w:t xml:space="preserve">Stock Options. </w:t>
      </w:r>
      <w:r>
        <w:rPr>
          <w:rFonts w:ascii="Arial" w:cs="Arial" w:eastAsia="Arial" w:hAnsi="Arial"/>
          <w:sz w:val="16"/>
          <w:szCs w:val="16"/>
          <w:color w:val="32406B"/>
        </w:rPr>
        <w:t>ISOs and NSOs were granted pursuant to award agreements adopted by the plan administrator. Each award agreement specifies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number of shares subject to the option and the exercise price, provided that the exercise price of a stock option generally cannot be less than 100% (or 110% in the case of ISOs granted to certain stockholders) of the fair market value of our common stock on the date of grant. Options granted under the 2020 Plan vest at the rate specified in the applicable award agreement. Payment for the purchase of common stock issued upon the exercise of a stock option may be made in cash or cash equivalents. However, the plan administrator may also allow for other forms of consideration, including</w:t>
      </w:r>
    </w:p>
    <w:p>
      <w:pPr>
        <w:spacing w:after="0" w:line="2" w:lineRule="exact"/>
        <w:rPr>
          <w:sz w:val="20"/>
          <w:szCs w:val="20"/>
          <w:color w:val="auto"/>
        </w:rPr>
      </w:pPr>
    </w:p>
    <w:p>
      <w:pPr>
        <w:ind w:left="360" w:hanging="244"/>
        <w:spacing w:after="0"/>
        <w:tabs>
          <w:tab w:leader="none" w:pos="360" w:val="left"/>
        </w:tabs>
        <w:numPr>
          <w:ilvl w:val="0"/>
          <w:numId w:val="111"/>
        </w:numPr>
        <w:rPr>
          <w:rFonts w:ascii="Arial" w:cs="Arial" w:eastAsia="Arial" w:hAnsi="Arial"/>
          <w:sz w:val="16"/>
          <w:szCs w:val="16"/>
          <w:color w:val="32406B"/>
        </w:rPr>
      </w:pPr>
      <w:r>
        <w:rPr>
          <w:rFonts w:ascii="Arial" w:cs="Arial" w:eastAsia="Arial" w:hAnsi="Arial"/>
          <w:sz w:val="16"/>
          <w:szCs w:val="16"/>
          <w:color w:val="32406B"/>
        </w:rPr>
        <w:t>surrendering shares of common stock already owned by a participant, (ii) delivery of a promissory note, (iii) a broker-assisted cashless exercise,</w:t>
      </w:r>
    </w:p>
    <w:p>
      <w:pPr>
        <w:spacing w:after="0" w:line="32" w:lineRule="exact"/>
        <w:rPr>
          <w:rFonts w:ascii="Arial" w:cs="Arial" w:eastAsia="Arial" w:hAnsi="Arial"/>
          <w:sz w:val="16"/>
          <w:szCs w:val="16"/>
          <w:color w:val="32406B"/>
        </w:rPr>
      </w:pPr>
    </w:p>
    <w:p>
      <w:pPr>
        <w:jc w:val="both"/>
        <w:ind w:left="120" w:right="20" w:hanging="4"/>
        <w:spacing w:after="0" w:line="253" w:lineRule="auto"/>
        <w:tabs>
          <w:tab w:leader="none" w:pos="445" w:val="left"/>
        </w:tabs>
        <w:numPr>
          <w:ilvl w:val="0"/>
          <w:numId w:val="112"/>
        </w:numPr>
        <w:rPr>
          <w:rFonts w:ascii="Arial" w:cs="Arial" w:eastAsia="Arial" w:hAnsi="Arial"/>
          <w:sz w:val="18"/>
          <w:szCs w:val="18"/>
          <w:color w:val="32406B"/>
        </w:rPr>
      </w:pPr>
      <w:r>
        <w:rPr>
          <w:rFonts w:ascii="Arial" w:cs="Arial" w:eastAsia="Arial" w:hAnsi="Arial"/>
          <w:sz w:val="18"/>
          <w:szCs w:val="18"/>
          <w:color w:val="32406B"/>
        </w:rPr>
        <w:t>by a “net exercise” arrangement, or (v) by other forms consistent with applicable law. The award agreements specify the term of stock options granted under the 2020 Plan, up to a maximum of 10 years (or five years in the case of ISOs granted to certain stockholders). The plan administrator shall determine the effect on a stock award of the disability, death, retirement, authorized leave of absence, or any other change or purported change in a holder’s status. Unless the plan administrator provides otherwise, stock options generally are not transferable except by will, the laws of descent and distribution.</w:t>
      </w:r>
    </w:p>
    <w:p>
      <w:pPr>
        <w:spacing w:after="0" w:line="19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i w:val="1"/>
          <w:iCs w:val="1"/>
          <w:color w:val="32406B"/>
        </w:rPr>
        <w:t xml:space="preserve">Changes to Capital Structure. </w:t>
      </w:r>
      <w:r>
        <w:rPr>
          <w:rFonts w:ascii="Arial" w:cs="Arial" w:eastAsia="Arial" w:hAnsi="Arial"/>
          <w:sz w:val="16"/>
          <w:szCs w:val="16"/>
          <w:color w:val="32406B"/>
        </w:rPr>
        <w:t>In the event that the plan administrator determines that any dividend or other distribution, reorganization, merger,</w:t>
      </w:r>
      <w:r>
        <w:rPr>
          <w:rFonts w:ascii="Arial" w:cs="Arial" w:eastAsia="Arial" w:hAnsi="Arial"/>
          <w:sz w:val="16"/>
          <w:szCs w:val="16"/>
          <w:i w:val="1"/>
          <w:iCs w:val="1"/>
          <w:color w:val="32406B"/>
        </w:rPr>
        <w:t xml:space="preserve"> </w:t>
      </w:r>
      <w:r>
        <w:rPr>
          <w:rFonts w:ascii="Arial" w:cs="Arial" w:eastAsia="Arial" w:hAnsi="Arial"/>
          <w:sz w:val="16"/>
          <w:szCs w:val="16"/>
          <w:color w:val="32406B"/>
        </w:rPr>
        <w:t>consolidation, combination, repurchase, recapitalization, liquidation, dissolution, or sale, transfer, exchange or other disposition of our assets, or sale or exchange of common stock or other securities, issuance of warrants or other rights to purchase common stock or other securities, or other similar corporate transaction or event, affects the common stock such that an adjustment is determined by the administrator to be appropriate, the plan administrator will make appropriate adjustments to the following: (i) the number and kind of shares available for future stock awards, (ii) the number and kind of shares covered by each outstanding stock award, (iii) the grant or exercise price with respect to any award, and (iv) the terms and conditions of any awards (including, without limitation, any applicable financial or other performance “targets” specified in an award agreement.</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Corporate Transactions</w:t>
      </w:r>
      <w:r>
        <w:rPr>
          <w:rFonts w:ascii="Arial" w:cs="Arial" w:eastAsia="Arial" w:hAnsi="Arial"/>
          <w:sz w:val="18"/>
          <w:szCs w:val="18"/>
          <w:color w:val="32406B"/>
        </w:rPr>
        <w:t>. The 2020 Plan provides that in the event of a specified corporate transaction, including without limitation a merger or</w:t>
      </w:r>
      <w:r>
        <w:rPr>
          <w:rFonts w:ascii="Arial" w:cs="Arial" w:eastAsia="Arial" w:hAnsi="Arial"/>
          <w:sz w:val="18"/>
          <w:szCs w:val="18"/>
          <w:i w:val="1"/>
          <w:iCs w:val="1"/>
          <w:color w:val="32406B"/>
        </w:rPr>
        <w:t xml:space="preserve"> </w:t>
      </w:r>
      <w:r>
        <w:rPr>
          <w:rFonts w:ascii="Arial" w:cs="Arial" w:eastAsia="Arial" w:hAnsi="Arial"/>
          <w:sz w:val="18"/>
          <w:szCs w:val="18"/>
          <w:color w:val="32406B"/>
        </w:rPr>
        <w:t>other consolidation, or the sale or other disposition of all or substantially all of our stock or assets, or in the event of such other corporate transaction, such as a separation or reorganization, the plan administrator will determine how to treat each outstanding stock award. The plan administrator may provide for the:</w:t>
      </w:r>
    </w:p>
    <w:p>
      <w:pPr>
        <w:spacing w:after="0" w:line="92" w:lineRule="exact"/>
        <w:rPr>
          <w:sz w:val="20"/>
          <w:szCs w:val="20"/>
          <w:color w:val="auto"/>
        </w:rPr>
      </w:pPr>
    </w:p>
    <w:p>
      <w:pPr>
        <w:ind w:left="1080" w:right="20" w:hanging="532"/>
        <w:spacing w:after="0" w:line="277" w:lineRule="auto"/>
        <w:tabs>
          <w:tab w:leader="none" w:pos="10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settlement of the intrinsic value of stock awards to the extent vested and exercisable awards, with payment made in cash, cash equivalents or property, followed by the cancellation of such stock awards (whether or not then vested or exercisable);</w:t>
      </w:r>
    </w:p>
    <w:p>
      <w:pPr>
        <w:spacing w:after="0" w:line="75" w:lineRule="exact"/>
        <w:rPr>
          <w:rFonts w:ascii="Arial" w:cs="Arial" w:eastAsia="Arial" w:hAnsi="Arial"/>
          <w:sz w:val="18"/>
          <w:szCs w:val="18"/>
          <w:color w:val="32406B"/>
        </w:rPr>
      </w:pPr>
    </w:p>
    <w:p>
      <w:pPr>
        <w:ind w:left="1080" w:right="20" w:hanging="532"/>
        <w:spacing w:after="0" w:line="308" w:lineRule="auto"/>
        <w:tabs>
          <w:tab w:leader="none" w:pos="1080" w:val="left"/>
        </w:tabs>
        <w:numPr>
          <w:ilvl w:val="0"/>
          <w:numId w:val="113"/>
        </w:numPr>
        <w:rPr>
          <w:rFonts w:ascii="Arial" w:cs="Arial" w:eastAsia="Arial" w:hAnsi="Arial"/>
          <w:sz w:val="17"/>
          <w:szCs w:val="17"/>
          <w:color w:val="32406B"/>
        </w:rPr>
      </w:pPr>
      <w:r>
        <w:rPr>
          <w:rFonts w:ascii="Arial" w:cs="Arial" w:eastAsia="Arial" w:hAnsi="Arial"/>
          <w:sz w:val="17"/>
          <w:szCs w:val="17"/>
          <w:color w:val="32406B"/>
        </w:rPr>
        <w:t>exercisability and settlement, in whole or in part, of stock awards to the extent vested and exercisable followed by the cancellation of such stock awards (whether or not then vested or exercisable) upon or immediately prior to the effectiveness of the transaction;</w:t>
      </w:r>
    </w:p>
    <w:p>
      <w:pPr>
        <w:spacing w:after="0" w:line="51" w:lineRule="exact"/>
        <w:rPr>
          <w:rFonts w:ascii="Arial" w:cs="Arial" w:eastAsia="Arial" w:hAnsi="Arial"/>
          <w:sz w:val="17"/>
          <w:szCs w:val="17"/>
          <w:color w:val="32406B"/>
        </w:rPr>
      </w:pPr>
    </w:p>
    <w:p>
      <w:pPr>
        <w:ind w:left="1080" w:hanging="532"/>
        <w:spacing w:after="0"/>
        <w:tabs>
          <w:tab w:leader="none" w:pos="10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assumption or substitution, in whole or in part, of a stock award by a successor corporation;</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adjustment in the number and type of shares of common stock subject to outstanding awards and/or in the terms and conditions of (including, without limitation, the grant or exercise price), and the criteria included in, outstanding awards;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replacement of such award with other rights or property selected by the plan administrator; and/or</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3"/>
        </w:numPr>
        <w:rPr>
          <w:rFonts w:ascii="Arial" w:cs="Arial" w:eastAsia="Arial" w:hAnsi="Arial"/>
          <w:sz w:val="18"/>
          <w:szCs w:val="18"/>
          <w:color w:val="32406B"/>
        </w:rPr>
      </w:pPr>
      <w:r>
        <w:rPr>
          <w:rFonts w:ascii="Arial" w:cs="Arial" w:eastAsia="Arial" w:hAnsi="Arial"/>
          <w:sz w:val="18"/>
          <w:szCs w:val="18"/>
          <w:color w:val="32406B"/>
        </w:rPr>
        <w:t>termination of such award.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180</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32406B"/>
        </w:rPr>
        <w:t>Amendment or Termination</w:t>
      </w:r>
      <w:r>
        <w:rPr>
          <w:rFonts w:ascii="Arial" w:cs="Arial" w:eastAsia="Arial" w:hAnsi="Arial"/>
          <w:sz w:val="18"/>
          <w:szCs w:val="18"/>
          <w:color w:val="32406B"/>
        </w:rPr>
        <w:t>. The plan administrator has the authority to amend, suspend, or terminate the 2020 Plan or any portion thereof at any</w:t>
      </w:r>
      <w:r>
        <w:rPr>
          <w:rFonts w:ascii="Arial" w:cs="Arial" w:eastAsia="Arial" w:hAnsi="Arial"/>
          <w:sz w:val="18"/>
          <w:szCs w:val="18"/>
          <w:i w:val="1"/>
          <w:iCs w:val="1"/>
          <w:color w:val="32406B"/>
        </w:rPr>
        <w:t xml:space="preserve"> </w:t>
      </w:r>
      <w:r>
        <w:rPr>
          <w:rFonts w:ascii="Arial" w:cs="Arial" w:eastAsia="Arial" w:hAnsi="Arial"/>
          <w:sz w:val="18"/>
          <w:szCs w:val="18"/>
          <w:color w:val="32406B"/>
        </w:rPr>
        <w:t>time, provided that no amendment of the 2020 Plan shall materially and adversely affect (as determined by the plan administrator) any award outstanding at the time of such amendment without the participant’s consent. Our board shall obtain stockholder approval of any amendment to the extent necessary to comply with applicable laws.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2021 Employee Stock Purchase Plan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Our board of directors adopted, and our stockholders approved, our 2021 Employee Stock Purchase Plan, or the 2021 ESPP, in July 2021. The 2021 ESPP became effective immediately prior to and contingent upon the execution of the underwriting agreement related to this offering. The purpose of the 2021 ESPP is to secure the services of new employees, to retain the services of existing employees, and to provide incentives for such individuals to exert maximum efforts toward our success and that of our affiliates. The 2021 ESPP is intended to qualify as an “employee stock purchase plan” within the meaning of Section 423 of the Code for U.S. employees.</w:t>
      </w:r>
    </w:p>
    <w:p>
      <w:pPr>
        <w:spacing w:after="0" w:line="18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i w:val="1"/>
          <w:iCs w:val="1"/>
          <w:color w:val="32406B"/>
        </w:rPr>
        <w:t xml:space="preserve">Share Reserve. </w:t>
      </w:r>
      <w:r>
        <w:rPr>
          <w:rFonts w:ascii="Arial" w:cs="Arial" w:eastAsia="Arial" w:hAnsi="Arial"/>
          <w:sz w:val="16"/>
          <w:szCs w:val="16"/>
          <w:color w:val="32406B"/>
        </w:rPr>
        <w:t>Following this offering, the 2021 ESPP authorizes the issuance of shares of our common stock under purchase rights granted to our</w:t>
      </w:r>
      <w:r>
        <w:rPr>
          <w:rFonts w:ascii="Arial" w:cs="Arial" w:eastAsia="Arial" w:hAnsi="Arial"/>
          <w:sz w:val="16"/>
          <w:szCs w:val="16"/>
          <w:i w:val="1"/>
          <w:iCs w:val="1"/>
          <w:color w:val="32406B"/>
        </w:rPr>
        <w:t xml:space="preserve"> </w:t>
      </w:r>
      <w:r>
        <w:rPr>
          <w:rFonts w:ascii="Arial" w:cs="Arial" w:eastAsia="Arial" w:hAnsi="Arial"/>
          <w:sz w:val="16"/>
          <w:szCs w:val="16"/>
          <w:color w:val="32406B"/>
        </w:rPr>
        <w:t>employees or to employees of any of our designated affiliates. The 2021 ESPP will initially provide participating employees with the opportunity to purchase up to an aggregate of 1,342,773 shares of our common stock. The number of shares of our common stock reserved for issuance will automatically increase on January 1 of each calendar year, starting on January 1, 2022 and continuing through January 1, 2031, by the lesser of (i) 1% of the total number of shares of our common stock outstanding on the last day of the calendar month before the date of the automatic increase; and</w:t>
      </w:r>
    </w:p>
    <w:p>
      <w:pPr>
        <w:spacing w:after="0" w:line="2" w:lineRule="exact"/>
        <w:rPr>
          <w:sz w:val="20"/>
          <w:szCs w:val="20"/>
          <w:color w:val="auto"/>
        </w:rPr>
      </w:pPr>
    </w:p>
    <w:p>
      <w:pPr>
        <w:ind w:left="120" w:right="20" w:hanging="4"/>
        <w:spacing w:after="0" w:line="323" w:lineRule="auto"/>
        <w:tabs>
          <w:tab w:leader="none" w:pos="396" w:val="left"/>
        </w:tabs>
        <w:numPr>
          <w:ilvl w:val="0"/>
          <w:numId w:val="114"/>
        </w:numPr>
        <w:rPr>
          <w:rFonts w:ascii="Arial" w:cs="Arial" w:eastAsia="Arial" w:hAnsi="Arial"/>
          <w:sz w:val="16"/>
          <w:szCs w:val="16"/>
          <w:color w:val="32406B"/>
        </w:rPr>
      </w:pPr>
      <w:r>
        <w:rPr>
          <w:rFonts w:ascii="Arial" w:cs="Arial" w:eastAsia="Arial" w:hAnsi="Arial"/>
          <w:sz w:val="16"/>
          <w:szCs w:val="16"/>
          <w:color w:val="32406B"/>
        </w:rPr>
        <w:t>2,685,546 shares; provided that before the date of any such increase, our board of directors may determine that such increase will be less than the amount set forth in clauses (i) and (ii). As of the date hereof, no shares of our common stock have been purchased under the 2021 ESPP.</w:t>
      </w:r>
    </w:p>
    <w:p>
      <w:pPr>
        <w:spacing w:after="0" w:line="138"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i w:val="1"/>
          <w:iCs w:val="1"/>
          <w:color w:val="32406B"/>
        </w:rPr>
        <w:t xml:space="preserve">Administration. </w:t>
      </w:r>
      <w:r>
        <w:rPr>
          <w:rFonts w:ascii="Arial" w:cs="Arial" w:eastAsia="Arial" w:hAnsi="Arial"/>
          <w:sz w:val="16"/>
          <w:szCs w:val="16"/>
          <w:color w:val="32406B"/>
        </w:rPr>
        <w:t>Our board of directors intends to delegate concurrent authority to administer the 2021 ESPP to our compensation committee.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2021 ESPP is implemented through a series of offerings under which eligible employees are granted purchase rights to purchase shares of our common stock on specified dates during such offerings. Under the 2021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2021 ESPP may be terminated under certain circumstances.</w:t>
      </w:r>
    </w:p>
    <w:p>
      <w:pPr>
        <w:spacing w:after="0" w:line="16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i w:val="1"/>
          <w:iCs w:val="1"/>
          <w:color w:val="32406B"/>
        </w:rPr>
        <w:t xml:space="preserve">Payroll Deductions. </w:t>
      </w:r>
      <w:r>
        <w:rPr>
          <w:rFonts w:ascii="Arial" w:cs="Arial" w:eastAsia="Arial" w:hAnsi="Arial"/>
          <w:sz w:val="16"/>
          <w:szCs w:val="16"/>
          <w:color w:val="32406B"/>
        </w:rPr>
        <w:t>Generally, all regular employees, including executive officers, employed by us or by any of our designated affiliates, may</w:t>
      </w:r>
      <w:r>
        <w:rPr>
          <w:rFonts w:ascii="Arial" w:cs="Arial" w:eastAsia="Arial" w:hAnsi="Arial"/>
          <w:sz w:val="16"/>
          <w:szCs w:val="16"/>
          <w:i w:val="1"/>
          <w:iCs w:val="1"/>
          <w:color w:val="32406B"/>
        </w:rPr>
        <w:t xml:space="preserve"> </w:t>
      </w:r>
      <w:r>
        <w:rPr>
          <w:rFonts w:ascii="Arial" w:cs="Arial" w:eastAsia="Arial" w:hAnsi="Arial"/>
          <w:sz w:val="16"/>
          <w:szCs w:val="16"/>
          <w:color w:val="32406B"/>
        </w:rPr>
        <w:t>participate in the 2021 ESPP and may contribute, normally through payroll deductions, up to a certain percentage of their earnings (as defined in the 2021 ESPP) as designated for each offering for the purchase of our common stock under the 2021 ESPP. Unless otherwise determined by our board of directors, common stock will be purchased for the accounts of employees participating in the 2021 ESPP at a price per share that is at least the lesser of</w:t>
      </w:r>
    </w:p>
    <w:p>
      <w:pPr>
        <w:spacing w:after="0" w:line="1" w:lineRule="exact"/>
        <w:rPr>
          <w:sz w:val="20"/>
          <w:szCs w:val="20"/>
          <w:color w:val="auto"/>
        </w:rPr>
      </w:pPr>
    </w:p>
    <w:p>
      <w:pPr>
        <w:ind w:left="120" w:right="20" w:hanging="4"/>
        <w:spacing w:after="0" w:line="260" w:lineRule="auto"/>
        <w:tabs>
          <w:tab w:leader="none" w:pos="346" w:val="left"/>
        </w:tabs>
        <w:numPr>
          <w:ilvl w:val="0"/>
          <w:numId w:val="115"/>
        </w:numPr>
        <w:rPr>
          <w:rFonts w:ascii="Arial" w:cs="Arial" w:eastAsia="Arial" w:hAnsi="Arial"/>
          <w:sz w:val="18"/>
          <w:szCs w:val="18"/>
          <w:color w:val="32406B"/>
        </w:rPr>
      </w:pPr>
      <w:r>
        <w:rPr>
          <w:rFonts w:ascii="Arial" w:cs="Arial" w:eastAsia="Arial" w:hAnsi="Arial"/>
          <w:sz w:val="18"/>
          <w:szCs w:val="18"/>
          <w:color w:val="32406B"/>
        </w:rPr>
        <w:t>85% of the fair market value of a share of our common stock on the first date of an offering; or (ii) 85% of the fair market value of a share of our common stock on the date of purchase.</w:t>
      </w:r>
    </w:p>
    <w:p>
      <w:pPr>
        <w:spacing w:after="0" w:line="18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i w:val="1"/>
          <w:iCs w:val="1"/>
          <w:color w:val="32406B"/>
        </w:rPr>
        <w:t>Limitations</w:t>
      </w:r>
      <w:r>
        <w:rPr>
          <w:rFonts w:ascii="Arial" w:cs="Arial" w:eastAsia="Arial" w:hAnsi="Arial"/>
          <w:sz w:val="17"/>
          <w:szCs w:val="17"/>
          <w:color w:val="32406B"/>
        </w:rPr>
        <w:t>. Employees may have to satisfy one or more of the following service requirements before participating in the 2021 ESPP, as</w:t>
      </w:r>
      <w:r>
        <w:rPr>
          <w:rFonts w:ascii="Arial" w:cs="Arial" w:eastAsia="Arial" w:hAnsi="Arial"/>
          <w:sz w:val="17"/>
          <w:szCs w:val="17"/>
          <w:i w:val="1"/>
          <w:iCs w:val="1"/>
          <w:color w:val="32406B"/>
        </w:rPr>
        <w:t xml:space="preserve"> </w:t>
      </w:r>
      <w:r>
        <w:rPr>
          <w:rFonts w:ascii="Arial" w:cs="Arial" w:eastAsia="Arial" w:hAnsi="Arial"/>
          <w:sz w:val="17"/>
          <w:szCs w:val="17"/>
          <w:color w:val="32406B"/>
        </w:rPr>
        <w:t>determined by our 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2021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2021 ESPP if immediately after such rights are granted, such employee has voting power over 5% or more of our outstanding capital stock measured by vote or value under Section 424(d) of the Code.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181</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32406B"/>
        </w:rPr>
        <w:t xml:space="preserve">Changes to Capital Structure. </w:t>
      </w:r>
      <w:r>
        <w:rPr>
          <w:rFonts w:ascii="Arial" w:cs="Arial" w:eastAsia="Arial" w:hAnsi="Arial"/>
          <w:sz w:val="18"/>
          <w:szCs w:val="18"/>
          <w:color w:val="32406B"/>
        </w:rPr>
        <w:t>In the event there is a change in our capital structure through such actions as a stock split, merger, consolidation,</w:t>
      </w:r>
      <w:r>
        <w:rPr>
          <w:rFonts w:ascii="Arial" w:cs="Arial" w:eastAsia="Arial" w:hAnsi="Arial"/>
          <w:sz w:val="18"/>
          <w:szCs w:val="18"/>
          <w:i w:val="1"/>
          <w:iCs w:val="1"/>
          <w:color w:val="32406B"/>
        </w:rPr>
        <w:t xml:space="preserve"> </w:t>
      </w:r>
      <w:r>
        <w:rPr>
          <w:rFonts w:ascii="Arial" w:cs="Arial" w:eastAsia="Arial" w:hAnsi="Arial"/>
          <w:sz w:val="18"/>
          <w:szCs w:val="18"/>
          <w:color w:val="32406B"/>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2021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32406B"/>
        </w:rPr>
        <w:t xml:space="preserve">Corporate Transactions. </w:t>
      </w:r>
      <w:r>
        <w:rPr>
          <w:rFonts w:ascii="Arial" w:cs="Arial" w:eastAsia="Arial" w:hAnsi="Arial"/>
          <w:sz w:val="17"/>
          <w:szCs w:val="17"/>
          <w:color w:val="32406B"/>
        </w:rPr>
        <w:t>In the event of certain significant corporate transactions, including (i) a sale of all or substantially all of our assets;</w:t>
      </w:r>
    </w:p>
    <w:p>
      <w:pPr>
        <w:spacing w:after="0" w:line="35" w:lineRule="exact"/>
        <w:rPr>
          <w:sz w:val="20"/>
          <w:szCs w:val="20"/>
          <w:color w:val="auto"/>
        </w:rPr>
      </w:pPr>
    </w:p>
    <w:p>
      <w:pPr>
        <w:jc w:val="both"/>
        <w:ind w:left="120" w:hanging="4"/>
        <w:spacing w:after="0" w:line="252" w:lineRule="auto"/>
        <w:tabs>
          <w:tab w:leader="none" w:pos="389" w:val="left"/>
        </w:tabs>
        <w:numPr>
          <w:ilvl w:val="0"/>
          <w:numId w:val="116"/>
        </w:numPr>
        <w:rPr>
          <w:rFonts w:ascii="Arial" w:cs="Arial" w:eastAsia="Arial" w:hAnsi="Arial"/>
          <w:sz w:val="18"/>
          <w:szCs w:val="18"/>
          <w:color w:val="32406B"/>
        </w:rPr>
      </w:pPr>
      <w:r>
        <w:rPr>
          <w:rFonts w:ascii="Arial" w:cs="Arial" w:eastAsia="Arial" w:hAnsi="Arial"/>
          <w:sz w:val="18"/>
          <w:szCs w:val="18"/>
          <w:color w:val="32406B"/>
        </w:rPr>
        <w:t>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2021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32406B"/>
        </w:rPr>
        <w:t>Amendment or Termination</w:t>
      </w:r>
      <w:r>
        <w:rPr>
          <w:rFonts w:ascii="Arial" w:cs="Arial" w:eastAsia="Arial" w:hAnsi="Arial"/>
          <w:sz w:val="18"/>
          <w:szCs w:val="18"/>
          <w:color w:val="32406B"/>
        </w:rPr>
        <w:t>. Our board of directors has the authority to amend or terminate our 2021 ESPP, provided that except in certain</w:t>
      </w:r>
      <w:r>
        <w:rPr>
          <w:rFonts w:ascii="Arial" w:cs="Arial" w:eastAsia="Arial" w:hAnsi="Arial"/>
          <w:sz w:val="18"/>
          <w:szCs w:val="18"/>
          <w:i w:val="1"/>
          <w:iCs w:val="1"/>
          <w:color w:val="32406B"/>
        </w:rPr>
        <w:t xml:space="preserve"> </w:t>
      </w:r>
      <w:r>
        <w:rPr>
          <w:rFonts w:ascii="Arial" w:cs="Arial" w:eastAsia="Arial" w:hAnsi="Arial"/>
          <w:sz w:val="18"/>
          <w:szCs w:val="18"/>
          <w:color w:val="32406B"/>
        </w:rPr>
        <w:t>circumstances such amendment or termination may not materially impair any outstanding purchase rights without the holder’s consent. We will obtain stockholder approval of any amendment to our 2021 ESPP, as required by applicable law or listing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Limitations on Liability and Indemnification Matters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any breach of the director’s duty of loyalty to the corporation or its stockholders;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any act or omission not in good faith or that involves intentional misconduct or a knowing violation of law;</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17"/>
        </w:numPr>
        <w:rPr>
          <w:rFonts w:ascii="Arial" w:cs="Arial" w:eastAsia="Arial" w:hAnsi="Arial"/>
          <w:sz w:val="18"/>
          <w:szCs w:val="18"/>
          <w:color w:val="32406B"/>
        </w:rPr>
      </w:pPr>
      <w:r>
        <w:rPr>
          <w:rFonts w:ascii="Arial" w:cs="Arial" w:eastAsia="Arial" w:hAnsi="Arial"/>
          <w:sz w:val="18"/>
          <w:szCs w:val="18"/>
          <w:color w:val="32406B"/>
        </w:rPr>
        <w:t>any transaction from which the director derived an improper personal benefit.</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This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182</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76"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Rule 10b5-1 Sales Plans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183</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CERTAIN RELATIONSHIPS AND RELATED PARTY TRANSACTIONS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following is a description of transactions since our inception in June 2020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that are described under “Management—Non-Employee Director Compensation” and “Executive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Private Placements of Our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Series A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6,237,500 shares of our Series A preferred stock at a purchase price of $8.00 per share for aggregate gross proceeds of $49.9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table below sets forth the aggregate number of shares of Series A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89"/>
              </w:rPr>
              <w:t>Series A</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2"/>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2406B"/>
                <w:w w:val="96"/>
              </w:rPr>
              <w:t>Preferred</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88"/>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32406B"/>
                <w:w w:val="89"/>
              </w:rPr>
              <w:t>Name</w:t>
            </w:r>
          </w:p>
        </w:tc>
        <w:tc>
          <w:tcPr>
            <w:tcW w:w="8440" w:type="dxa"/>
            <w:vAlign w:val="bottom"/>
            <w:vMerge w:val="restart"/>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89"/>
              </w:rPr>
              <w:t>Stock</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3"/>
              </w:rPr>
              <w:t>(#)</w:t>
            </w:r>
          </w:p>
        </w:tc>
        <w:tc>
          <w:tcPr>
            <w:tcW w:w="18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Mithril II LP</w:t>
            </w:r>
            <w:r>
              <w:rPr>
                <w:rFonts w:ascii="Arial" w:cs="Arial" w:eastAsia="Arial" w:hAnsi="Arial"/>
                <w:sz w:val="15"/>
                <w:szCs w:val="15"/>
                <w:color w:val="32406B"/>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1,250,000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10,000,000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32406B"/>
              </w:rPr>
              <w:t>OrbiMed Private Investments VII, LP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32406B"/>
              </w:rPr>
              <w:t>812,500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32406B"/>
              </w:rPr>
              <w:t>6,500,000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Entities affiliated with Polaris Partners</w:t>
            </w:r>
            <w:r>
              <w:rPr>
                <w:rFonts w:ascii="Arial" w:cs="Arial" w:eastAsia="Arial" w:hAnsi="Arial"/>
                <w:sz w:val="15"/>
                <w:szCs w:val="15"/>
                <w:color w:val="32406B"/>
              </w:rPr>
              <w:t>(2)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1,250,000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10,000,000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32406B"/>
              </w:rPr>
              <w:t>Entities affiliated with GV</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32406B"/>
              </w:rPr>
              <w:t>687,500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32406B"/>
              </w:rPr>
              <w:t>5,500,000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Entities affiliated with FMR, LLC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1,000,000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5" w:lineRule="auto"/>
        <w:tabs>
          <w:tab w:leader="none" w:pos="54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Arial" w:cs="Arial" w:eastAsia="Arial" w:hAnsi="Arial"/>
          <w:sz w:val="18"/>
          <w:szCs w:val="18"/>
          <w:color w:val="32406B"/>
        </w:rPr>
      </w:pPr>
    </w:p>
    <w:p>
      <w:pPr>
        <w:ind w:left="540" w:hanging="424"/>
        <w:spacing w:after="0" w:line="260" w:lineRule="auto"/>
        <w:tabs>
          <w:tab w:leader="none" w:pos="540" w:val="left"/>
        </w:tabs>
        <w:numPr>
          <w:ilvl w:val="0"/>
          <w:numId w:val="118"/>
        </w:numPr>
        <w:rPr>
          <w:rFonts w:ascii="Arial" w:cs="Arial" w:eastAsia="Arial" w:hAnsi="Arial"/>
          <w:sz w:val="18"/>
          <w:szCs w:val="18"/>
          <w:color w:val="32406B"/>
        </w:rPr>
      </w:pPr>
      <w:r>
        <w:rPr>
          <w:rFonts w:ascii="Arial" w:cs="Arial" w:eastAsia="Arial" w:hAnsi="Arial"/>
          <w:sz w:val="18"/>
          <w:szCs w:val="18"/>
          <w:color w:val="32406B"/>
        </w:rPr>
        <w:t>Terrance McGuire, a member of our board of directors, is a Founding Partner of Polaris Partners. Entities affiliated with Polaris Partners collectively hold more than 5% of our capital stock prior to this offering.</w:t>
      </w:r>
    </w:p>
    <w:p>
      <w:pPr>
        <w:spacing w:after="0" w:line="185"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color w:val="32406B"/>
        </w:rPr>
        <w:t>Each share of Series A preferred stock is convertible into five shares of common stock.</w:t>
      </w:r>
    </w:p>
    <w:p>
      <w:pPr>
        <w:spacing w:after="0" w:line="333"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b w:val="1"/>
          <w:bCs w:val="1"/>
          <w:i w:val="1"/>
          <w:iCs w:val="1"/>
          <w:color w:val="32406B"/>
        </w:rPr>
        <w:t>Adimab Assignment Agreement</w:t>
      </w:r>
    </w:p>
    <w:p>
      <w:pPr>
        <w:spacing w:after="0" w:line="117"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In July 2020, we issued 5,000,000 shares of our Series A preferred stock in connection with entering into an assignment and license agreement, or the Adimab Assignment Agreement, with Adimab, LLC, or Adimab. At the time of issuance, the 5,000,000 shares of our Series A convertible preferred had a fair value of $40.0 million. Tillman U. Gerngross, Ph.D., a member of our board of directors and our Chief Executive Officer, is an officer and member of the board of directors of Adimab, Philip Chase, a former member of our board of directors, is an officer and member of the board of directors of Adimab, Laura Walker, Ph.D., our Chief Scientific Officer, is an employee of Adimab, and Terrance McGuire and Ajay Royan, members of our board of directors, are members of the board of directors of Adimab. For more information regarding the Adimab Assignment Agreement, see the section titled “Business—Licensing, Collaborations and Partnerships—Assignment and License Agreement with Adimab.”</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184</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Series B Preferred Stock Financing</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 October and November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1,410,434 shares of our Series B preferred stock at a purchase price of $56.72 per share for aggregate gross proceeds of $80.0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table below sets forth the aggregate number of shares of Series B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89"/>
              </w:rPr>
              <w:t>Series B</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2406B"/>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1"/>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32406B"/>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Adimab, LLC</w:t>
            </w:r>
            <w:r>
              <w:rPr>
                <w:rFonts w:ascii="Arial" w:cs="Arial" w:eastAsia="Arial" w:hAnsi="Arial"/>
                <w:sz w:val="15"/>
                <w:szCs w:val="15"/>
                <w:color w:val="32406B"/>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44,076</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2,499,991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32406B"/>
              </w:rPr>
              <w:t xml:space="preserve">Mithril II LP </w:t>
            </w:r>
            <w:r>
              <w:rPr>
                <w:rFonts w:ascii="Arial" w:cs="Arial" w:eastAsia="Arial" w:hAnsi="Arial"/>
                <w:sz w:val="15"/>
                <w:szCs w:val="15"/>
                <w:color w:val="32406B"/>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176,304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32406B"/>
              </w:rPr>
              <w:t>9,999,963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88,152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4,999,981</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32406B"/>
              </w:rPr>
              <w:t>Entities affiliated with Polaris Partners</w:t>
            </w:r>
            <w:r>
              <w:rPr>
                <w:rFonts w:ascii="Arial" w:cs="Arial" w:eastAsia="Arial" w:hAnsi="Arial"/>
                <w:sz w:val="15"/>
                <w:szCs w:val="15"/>
                <w:color w:val="32406B"/>
              </w:rPr>
              <w:t>(3)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132,228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32406B"/>
              </w:rPr>
              <w:t>7,499,972</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Entities affiliated with GV</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352,609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19,999,982</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32406B"/>
              </w:rPr>
              <w:t>Entities affiliated with FMR, LLC</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352,609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32406B"/>
              </w:rPr>
              <w:t>19,999,982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hanging="424"/>
        <w:spacing w:after="0" w:line="253" w:lineRule="auto"/>
        <w:tabs>
          <w:tab w:leader="none" w:pos="540" w:val="left"/>
        </w:tabs>
        <w:numPr>
          <w:ilvl w:val="0"/>
          <w:numId w:val="119"/>
        </w:numPr>
        <w:rPr>
          <w:rFonts w:ascii="Arial" w:cs="Arial" w:eastAsia="Arial" w:hAnsi="Arial"/>
          <w:sz w:val="18"/>
          <w:szCs w:val="18"/>
          <w:color w:val="32406B"/>
        </w:rPr>
      </w:pPr>
      <w:r>
        <w:rPr>
          <w:rFonts w:ascii="Arial" w:cs="Arial" w:eastAsia="Arial" w:hAnsi="Arial"/>
          <w:sz w:val="18"/>
          <w:szCs w:val="18"/>
          <w:color w:val="32406B"/>
        </w:rPr>
        <w:t>(a) Tillman U. Gerngross, Ph.D., a member of our board of directors and our Chief Executive Officer, is an officer and member of the board of directors of Adimab, LLC, (b) Philip Chase, a former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32406B"/>
        </w:rPr>
      </w:pPr>
    </w:p>
    <w:p>
      <w:pPr>
        <w:jc w:val="both"/>
        <w:ind w:left="540" w:hanging="424"/>
        <w:spacing w:after="0" w:line="250" w:lineRule="auto"/>
        <w:tabs>
          <w:tab w:leader="none" w:pos="540" w:val="left"/>
        </w:tabs>
        <w:numPr>
          <w:ilvl w:val="0"/>
          <w:numId w:val="119"/>
        </w:numPr>
        <w:rPr>
          <w:rFonts w:ascii="Arial" w:cs="Arial" w:eastAsia="Arial" w:hAnsi="Arial"/>
          <w:sz w:val="18"/>
          <w:szCs w:val="18"/>
          <w:color w:val="32406B"/>
        </w:rPr>
      </w:pPr>
      <w:r>
        <w:rPr>
          <w:rFonts w:ascii="Arial" w:cs="Arial" w:eastAsia="Arial" w:hAnsi="Arial"/>
          <w:sz w:val="18"/>
          <w:szCs w:val="18"/>
          <w:color w:val="32406B"/>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32406B"/>
        </w:rPr>
      </w:pPr>
    </w:p>
    <w:p>
      <w:pPr>
        <w:ind w:left="540" w:hanging="424"/>
        <w:spacing w:after="0" w:line="260" w:lineRule="auto"/>
        <w:tabs>
          <w:tab w:leader="none" w:pos="540" w:val="left"/>
        </w:tabs>
        <w:numPr>
          <w:ilvl w:val="0"/>
          <w:numId w:val="119"/>
        </w:numPr>
        <w:rPr>
          <w:rFonts w:ascii="Arial" w:cs="Arial" w:eastAsia="Arial" w:hAnsi="Arial"/>
          <w:sz w:val="18"/>
          <w:szCs w:val="18"/>
          <w:color w:val="32406B"/>
        </w:rPr>
      </w:pPr>
      <w:r>
        <w:rPr>
          <w:rFonts w:ascii="Arial" w:cs="Arial" w:eastAsia="Arial" w:hAnsi="Arial"/>
          <w:sz w:val="18"/>
          <w:szCs w:val="18"/>
          <w:color w:val="32406B"/>
        </w:rPr>
        <w:t>Terrance McGuire, a member of our board of directors, is a Founding Partner of Polaris Partners. Entities affiliated with Polaris Partners collectively hold more than 5% of our capital stock prior to this offering.</w:t>
      </w:r>
    </w:p>
    <w:p>
      <w:pPr>
        <w:spacing w:after="0" w:line="185"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color w:val="32406B"/>
        </w:rPr>
        <w:t>Each share of Series B preferred stock is convertible into five shares of common stock.</w:t>
      </w:r>
    </w:p>
    <w:p>
      <w:pPr>
        <w:spacing w:after="0" w:line="333"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b w:val="1"/>
          <w:bCs w:val="1"/>
          <w:i w:val="1"/>
          <w:iCs w:val="1"/>
          <w:color w:val="32406B"/>
        </w:rPr>
        <w:t>Series C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April 2021,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4,296,550 shares of our Series C preferred stock at a purchase price of $78.08578 per share for aggregate gross proceeds of $335.5 million.</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185</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table below sets forth the aggregate number of shares of Series C preferred stock issued to our related parties in this financing:</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89"/>
              </w:rPr>
              <w:t>Series C</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2406B"/>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91"/>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32406B"/>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32406B"/>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32406B"/>
              </w:rPr>
              <w:t xml:space="preserve">Adimab, LLC </w:t>
            </w:r>
            <w:r>
              <w:rPr>
                <w:rFonts w:ascii="Arial" w:cs="Arial" w:eastAsia="Arial" w:hAnsi="Arial"/>
                <w:sz w:val="15"/>
                <w:szCs w:val="15"/>
                <w:color w:val="32406B"/>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128,064</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32406B"/>
              </w:rPr>
              <w:t>9,999,977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32406B"/>
              </w:rPr>
              <w:t xml:space="preserve">Mithril II LP </w:t>
            </w:r>
            <w:r>
              <w:rPr>
                <w:rFonts w:ascii="Arial" w:cs="Arial" w:eastAsia="Arial" w:hAnsi="Arial"/>
                <w:sz w:val="15"/>
                <w:szCs w:val="15"/>
                <w:color w:val="32406B"/>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422,612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32406B"/>
              </w:rPr>
              <w:t>32,999,988</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96,048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7,499,983</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32406B"/>
              </w:rPr>
              <w:t>Entities affiliated with RA Capital Management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960,482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32406B"/>
              </w:rPr>
              <w:t>74,999,986</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 xml:space="preserve">Entities affiliated with Polaris Partners </w:t>
            </w:r>
            <w:r>
              <w:rPr>
                <w:rFonts w:ascii="Arial" w:cs="Arial" w:eastAsia="Arial" w:hAnsi="Arial"/>
                <w:sz w:val="15"/>
                <w:szCs w:val="15"/>
                <w:color w:val="32406B"/>
              </w:rPr>
              <w:t>(3)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224,112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17,499,960</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32406B"/>
              </w:rPr>
              <w:t>Entities affiliated with GV</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32406B"/>
              </w:rPr>
              <w:t>96,048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32406B"/>
              </w:rPr>
              <w:t>7,499,983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Entities affiliated with FMR, LLC</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2406B"/>
              </w:rPr>
              <w:t>640,321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3" w:lineRule="auto"/>
        <w:tabs>
          <w:tab w:leader="none" w:pos="540" w:val="left"/>
        </w:tabs>
        <w:numPr>
          <w:ilvl w:val="0"/>
          <w:numId w:val="120"/>
        </w:numPr>
        <w:rPr>
          <w:rFonts w:ascii="Arial" w:cs="Arial" w:eastAsia="Arial" w:hAnsi="Arial"/>
          <w:sz w:val="18"/>
          <w:szCs w:val="18"/>
          <w:color w:val="32406B"/>
        </w:rPr>
      </w:pPr>
      <w:r>
        <w:rPr>
          <w:rFonts w:ascii="Arial" w:cs="Arial" w:eastAsia="Arial" w:hAnsi="Arial"/>
          <w:sz w:val="18"/>
          <w:szCs w:val="18"/>
          <w:color w:val="32406B"/>
        </w:rPr>
        <w:t>(a) Tillman U. Gerngross, Ph.D., a member of our board of directors and our Chief Executive Officer, is an officer and member of the board of directors of Adimab, LLC, (b) Philip Chase, a former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32406B"/>
        </w:rPr>
      </w:pPr>
    </w:p>
    <w:p>
      <w:pPr>
        <w:jc w:val="both"/>
        <w:ind w:left="540" w:hanging="424"/>
        <w:spacing w:after="0" w:line="250" w:lineRule="auto"/>
        <w:tabs>
          <w:tab w:leader="none" w:pos="540" w:val="left"/>
        </w:tabs>
        <w:numPr>
          <w:ilvl w:val="0"/>
          <w:numId w:val="120"/>
        </w:numPr>
        <w:rPr>
          <w:rFonts w:ascii="Arial" w:cs="Arial" w:eastAsia="Arial" w:hAnsi="Arial"/>
          <w:sz w:val="18"/>
          <w:szCs w:val="18"/>
          <w:color w:val="32406B"/>
        </w:rPr>
      </w:pPr>
      <w:r>
        <w:rPr>
          <w:rFonts w:ascii="Arial" w:cs="Arial" w:eastAsia="Arial" w:hAnsi="Arial"/>
          <w:sz w:val="18"/>
          <w:szCs w:val="18"/>
          <w:color w:val="32406B"/>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32406B"/>
        </w:rPr>
      </w:pPr>
    </w:p>
    <w:p>
      <w:pPr>
        <w:ind w:left="540" w:hanging="424"/>
        <w:spacing w:after="0" w:line="260" w:lineRule="auto"/>
        <w:tabs>
          <w:tab w:leader="none" w:pos="540" w:val="left"/>
        </w:tabs>
        <w:numPr>
          <w:ilvl w:val="0"/>
          <w:numId w:val="120"/>
        </w:numPr>
        <w:rPr>
          <w:rFonts w:ascii="Arial" w:cs="Arial" w:eastAsia="Arial" w:hAnsi="Arial"/>
          <w:sz w:val="18"/>
          <w:szCs w:val="18"/>
          <w:color w:val="32406B"/>
        </w:rPr>
      </w:pPr>
      <w:r>
        <w:rPr>
          <w:rFonts w:ascii="Arial" w:cs="Arial" w:eastAsia="Arial" w:hAnsi="Arial"/>
          <w:sz w:val="18"/>
          <w:szCs w:val="18"/>
          <w:color w:val="32406B"/>
        </w:rPr>
        <w:t>Terrance McGuire, a member of our board of directors, is a Founding Partner of Polaris Partners. Entities affiliated with Polaris Partners collectively hold more than 5% of our capital stock prior to this offering.</w:t>
      </w:r>
    </w:p>
    <w:p>
      <w:pPr>
        <w:spacing w:after="0" w:line="185" w:lineRule="exact"/>
        <w:rPr>
          <w:rFonts w:ascii="Arial" w:cs="Arial" w:eastAsia="Arial" w:hAnsi="Arial"/>
          <w:sz w:val="18"/>
          <w:szCs w:val="18"/>
          <w:color w:val="32406B"/>
        </w:rPr>
      </w:pPr>
    </w:p>
    <w:p>
      <w:pPr>
        <w:ind w:left="560"/>
        <w:spacing w:after="0"/>
        <w:rPr>
          <w:rFonts w:ascii="Arial" w:cs="Arial" w:eastAsia="Arial" w:hAnsi="Arial"/>
          <w:sz w:val="18"/>
          <w:szCs w:val="18"/>
          <w:color w:val="32406B"/>
        </w:rPr>
      </w:pPr>
      <w:r>
        <w:rPr>
          <w:rFonts w:ascii="Arial" w:cs="Arial" w:eastAsia="Arial" w:hAnsi="Arial"/>
          <w:sz w:val="18"/>
          <w:szCs w:val="18"/>
          <w:color w:val="32406B"/>
        </w:rPr>
        <w:t>Each share of Series C preferred stock is convertible into five shares of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Agreements with Adimab</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Assignment and License Agreement</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We have entered into the Adimab Assignment Agreement pursuant to which Adimab assigned to us all coronavirus antibodies controlled by it,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21,250,000 shares of our common stock, then having a fair value of $85,000. As of July 16, 2021, Adimab held approximately 30.8% of our outstanding capital stock on an as-converted basis.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and compulsory licensing.</w:t>
      </w:r>
    </w:p>
    <w:p>
      <w:pPr>
        <w:spacing w:after="0" w:line="192"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 the agreement upon dosing of the first patient in a Phase 2 clinical trial evaluating ADG20 for the prevention of</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186</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COVID-19, which obligated us to make a $2.5 million payment to Adimab. We made the payment in June 2021. In addition, for the period from June 3, 2020 (inception) to December 31, 2020 and for the three months ended March 31, 2021, we paid Adimab $0.6 million and $0.2 million, respectively, in connection with services provided under the Adimab Assignment Agreement. As of December 31, 2020 and March 31, 2021, $0.6 million and $0.2 million, respectively, was due to Adimab by us.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For more information on the Adimab Assignment Agreement, see the section titled “Business—Licensing, Collaborations and Partnerships— Assignment and License Agreement with Adimab.”</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Collaboration Agreement</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We have also entered into the Adimab Collaboration Agreement, pursuant to which we and Adimab will collaborate on the discovery and optimization of proprietary antibodies as potential therapeutic product candidates. In the event that Adimab discovers an antibody that is expected to meet certain product profiles developed by us, we will have the exclusive option to require Adimab to assign to us its rights in any such antibody and to grant us certain licenses. We entered into the collaboration agreement in May 2021 and are obligated to pay Adimab a quarterly fee of $1.3 million, which obligation may be cancelled at our option at any time.</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For more information on the Adimab Collaboration Agreement, see the section titled “Business—Licensing, Collaborations and Partnerships— Collaboration Agreement with Adimab.”</w:t>
      </w:r>
    </w:p>
    <w:p>
      <w:pPr>
        <w:spacing w:after="0" w:line="170"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Certain of our directors and officers are affiliated with Adimab. Tillman U. Gerngross, Ph.D., a member of our board of directors, our co-founder and Chief Executive Officer and the beneficial owner of 30.8% of our capital stock as of July 16, 2021, is a co-founder and the currently serving Chief Executive Officer of Adimab. Laura Walker, Ph.D., our co-founder and Chief Scientific Officer and a beneficial owner of approximately 1% of our capital stock as of July 16, 2021, is the Senior Director of Antibody Sciences at Adimab. Terrance McGuire, a beneficial owner of 8.9% of our capital stock as of July 16, 2021, and Ajay Royan, a beneficial owner of 10.2% of our capital stock as of July 16, 2021, are each a member of our board of directors and the board of directors of Adimab. Philip Chase, a beneficial owner of 30.8% of our capital stock as of July 16, 2021, is a former member of our board of directors and a member of the board of directors of Adimab.</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Investors’ Rights, Voting and Right of First Refusal Agreements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In connection with the sales of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will terminate upon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187</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closing of this offering, except for the registration rights granted under our amended and restated investors’ rights agreement, as more fully described in the section of this prospectus titled “Description of Capital Stock—Registration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Consulting Agreements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have entered into consulting agreements with certain of our non-employee directors. For more information regarding our consulting agreements with our non-executive directors, see “Management—Non-Employee Director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Employment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We have entered into employment agreements or offer letter agreements with certain of our executive officers. For more information regarding our employment agreements with our named executive officers, see “Executive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Indemnification Agreements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Our amended and restated certificate of incorporation that will be in effect immediately following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 —Limitations on Liability and Indemnification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Related Person Transaction Policy</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became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188</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32406B"/>
        </w:rPr>
        <w:t>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63"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the risks, costs and benefits to us;</w:t>
      </w:r>
    </w:p>
    <w:p>
      <w:pPr>
        <w:spacing w:after="0" w:line="130" w:lineRule="exact"/>
        <w:rPr>
          <w:rFonts w:ascii="Arial" w:cs="Arial" w:eastAsia="Arial" w:hAnsi="Arial"/>
          <w:sz w:val="18"/>
          <w:szCs w:val="18"/>
          <w:color w:val="32406B"/>
        </w:rPr>
      </w:pPr>
    </w:p>
    <w:p>
      <w:pPr>
        <w:ind w:left="1080" w:hanging="532"/>
        <w:spacing w:after="0" w:line="277" w:lineRule="auto"/>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the availability of other sources for comparable services or products;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1"/>
        </w:numPr>
        <w:rPr>
          <w:rFonts w:ascii="Arial" w:cs="Arial" w:eastAsia="Arial" w:hAnsi="Arial"/>
          <w:sz w:val="18"/>
          <w:szCs w:val="18"/>
          <w:color w:val="32406B"/>
        </w:rPr>
      </w:pPr>
      <w:r>
        <w:rPr>
          <w:rFonts w:ascii="Arial" w:cs="Arial" w:eastAsia="Arial" w:hAnsi="Arial"/>
          <w:sz w:val="18"/>
          <w:szCs w:val="18"/>
          <w:color w:val="32406B"/>
        </w:rPr>
        <w:t>the terms available to or from, as the case may be, unrelated third parties or to or from employees generally.</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189</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sets forth information regarding beneficial ownership of our capital stock as of July 16, 2021 by:</w:t>
      </w:r>
    </w:p>
    <w:p>
      <w:pPr>
        <w:spacing w:after="0" w:line="131"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32406B"/>
        </w:rPr>
      </w:pPr>
      <w:r>
        <w:rPr>
          <w:rFonts w:ascii="Arial" w:cs="Arial" w:eastAsia="Arial" w:hAnsi="Arial"/>
          <w:sz w:val="18"/>
          <w:szCs w:val="18"/>
          <w:color w:val="32406B"/>
        </w:rPr>
        <w:t>each person, or group of affiliated persons, known by us to beneficially own more than 5% of our common stock;</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2"/>
        </w:numPr>
        <w:rPr>
          <w:rFonts w:ascii="Arial" w:cs="Arial" w:eastAsia="Arial" w:hAnsi="Arial"/>
          <w:sz w:val="18"/>
          <w:szCs w:val="18"/>
          <w:color w:val="32406B"/>
        </w:rPr>
      </w:pPr>
      <w:r>
        <w:rPr>
          <w:rFonts w:ascii="Arial" w:cs="Arial" w:eastAsia="Arial" w:hAnsi="Arial"/>
          <w:sz w:val="18"/>
          <w:szCs w:val="18"/>
          <w:color w:val="32406B"/>
        </w:rPr>
        <w:t>each of our directors;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2"/>
        </w:numPr>
        <w:rPr>
          <w:rFonts w:ascii="Arial" w:cs="Arial" w:eastAsia="Arial" w:hAnsi="Arial"/>
          <w:sz w:val="18"/>
          <w:szCs w:val="18"/>
          <w:color w:val="32406B"/>
        </w:rPr>
      </w:pPr>
      <w:r>
        <w:rPr>
          <w:rFonts w:ascii="Arial" w:cs="Arial" w:eastAsia="Arial" w:hAnsi="Arial"/>
          <w:sz w:val="18"/>
          <w:szCs w:val="18"/>
          <w:color w:val="32406B"/>
        </w:rPr>
        <w:t>each of our named executive officers;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22"/>
        </w:numPr>
        <w:rPr>
          <w:rFonts w:ascii="Arial" w:cs="Arial" w:eastAsia="Arial" w:hAnsi="Arial"/>
          <w:sz w:val="18"/>
          <w:szCs w:val="18"/>
          <w:color w:val="32406B"/>
        </w:rPr>
      </w:pPr>
      <w:r>
        <w:rPr>
          <w:rFonts w:ascii="Arial" w:cs="Arial" w:eastAsia="Arial" w:hAnsi="Arial"/>
          <w:sz w:val="18"/>
          <w:szCs w:val="18"/>
          <w:color w:val="32406B"/>
        </w:rPr>
        <w:t>all of our current executive officers and directors as a group.</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90,321,660 shares of common stock outstanding as of July 16, 2021, after giving effect to the conversion of all outstanding shares of our preferred stock. In computing the number of shares beneficially owned by an individual or entity and the percentage ownership of that person, shares of common stock subject to options held by such person that are currently exercisable or will become exercisable within 60 days of July 16, 2021 are considered outstanding, although these shares are not considered outstanding for purposes of computing the percentage ownership of any other person.</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Unless noted otherwise, the address of all listed stockholders is c/o Adagio Therapeutics, Inc., 303 Wyman Street, Suite 300, Waltham, MA 02451.</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32406B"/>
                <w:w w:val="97"/>
              </w:rPr>
              <w:t>Number of</w:t>
            </w: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32406B"/>
                <w:w w:val="99"/>
              </w:rPr>
              <w:t>Percentage of Shares</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32406B"/>
                <w:w w:val="85"/>
              </w:rPr>
              <w:t>Shares</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32406B"/>
              </w:rPr>
              <w:t>Beneficially Owned</w:t>
            </w:r>
          </w:p>
        </w:tc>
        <w:tc>
          <w:tcPr>
            <w:tcW w:w="0" w:type="dxa"/>
            <w:vAlign w:val="bottom"/>
          </w:tcPr>
          <w:p>
            <w:pPr>
              <w:spacing w:after="0"/>
              <w:rPr>
                <w:sz w:val="1"/>
                <w:szCs w:val="1"/>
                <w:color w:val="auto"/>
              </w:rPr>
            </w:pPr>
          </w:p>
        </w:tc>
      </w:tr>
      <w:tr>
        <w:trPr>
          <w:trHeight w:val="119"/>
        </w:trPr>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w w:val="92"/>
              </w:rPr>
              <w:t>Name of Beneficial Owner</w:t>
            </w:r>
          </w:p>
        </w:tc>
        <w:tc>
          <w:tcPr>
            <w:tcW w:w="36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12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32406B"/>
                <w:w w:val="99"/>
              </w:rPr>
              <w:t>Beneficially</w:t>
            </w:r>
          </w:p>
        </w:tc>
        <w:tc>
          <w:tcPr>
            <w:tcW w:w="104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32406B"/>
              </w:rPr>
              <w:t>Before</w:t>
            </w:r>
          </w:p>
        </w:tc>
        <w:tc>
          <w:tcPr>
            <w:tcW w:w="54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32406B"/>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gridSpan w:val="3"/>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2740" w:type="dxa"/>
            <w:vAlign w:val="bottom"/>
          </w:tcPr>
          <w:p>
            <w:pPr>
              <w:spacing w:after="0"/>
              <w:rPr>
                <w:sz w:val="15"/>
                <w:szCs w:val="15"/>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32406B"/>
                <w:w w:val="94"/>
              </w:rPr>
              <w:t>Owned</w:t>
            </w:r>
          </w:p>
        </w:tc>
        <w:tc>
          <w:tcPr>
            <w:tcW w:w="10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32406B"/>
                <w:w w:val="95"/>
              </w:rPr>
              <w:t>Offering</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32406B"/>
                <w:w w:val="95"/>
              </w:rPr>
              <w:t>Offering</w:t>
            </w:r>
          </w:p>
        </w:tc>
        <w:tc>
          <w:tcPr>
            <w:tcW w:w="0" w:type="dxa"/>
            <w:vAlign w:val="bottom"/>
          </w:tcPr>
          <w:p>
            <w:pPr>
              <w:spacing w:after="0"/>
              <w:rPr>
                <w:sz w:val="1"/>
                <w:szCs w:val="1"/>
                <w:color w:val="auto"/>
              </w:rPr>
            </w:pPr>
          </w:p>
        </w:tc>
      </w:tr>
      <w:tr>
        <w:trPr>
          <w:trHeight w:val="190"/>
        </w:trPr>
        <w:tc>
          <w:tcPr>
            <w:tcW w:w="524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32406B"/>
              </w:rPr>
              <w:t>Greater than 5% stockholders</w:t>
            </w:r>
          </w:p>
        </w:tc>
        <w:tc>
          <w:tcPr>
            <w:tcW w:w="27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Adimab, LLC (1)</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32406B"/>
              </w:rPr>
              <w:t>27,845,995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32406B"/>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25.7%</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32406B"/>
              </w:rPr>
              <w:t>Entities affiliated with FMR, LLC (2).</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9,964,650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9.2%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Mithril II LP (3)</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32406B"/>
              </w:rPr>
              <w:t>9,244,580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32406B"/>
              </w:rPr>
              <w:t>10.2%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8.5%</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32406B"/>
              </w:rPr>
              <w:t>Entities affiliated with Polaris Partners (4)</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8,031,700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Entities affiliated with GV (5)</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32406B"/>
              </w:rPr>
              <w:t>5,680,785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32406B"/>
              </w:rPr>
              <w:t>6.3%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5.2%</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32406B"/>
              </w:rPr>
              <w:t>OrbiMed Private Investments VII, LP (6)</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4,983,500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5.5%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Entities affiliated with RA Capital Management (7)</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32406B"/>
              </w:rPr>
              <w:t>4,802,410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32406B"/>
              </w:rPr>
              <w:t>5.3%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4.4%</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32406B"/>
              </w:rPr>
              <w:t>Named Executive Officers and Directors</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Tillman U. Gerngross, Ph.D. (8)</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32406B"/>
              </w:rPr>
              <w:t>27,845,995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32406B"/>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25.7%</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32406B"/>
              </w:rPr>
              <w:t>Lynn Connolly, M.D., Ph.D. (9)</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250,915</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Rebecca Dabora, Ph.D.</w:t>
            </w:r>
          </w:p>
        </w:tc>
        <w:tc>
          <w:tcPr>
            <w:tcW w:w="27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32406B"/>
              </w:rPr>
              <w:t>René Russo, Pharm.D. (10)</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1,985,295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Terrance McGuire (11)</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32406B"/>
              </w:rPr>
              <w:t>8,031,700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32406B"/>
              </w:rPr>
              <w:t>8.9%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7.4%</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32406B"/>
              </w:rPr>
              <w:t>Ajay Royan (12)</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32406B"/>
              </w:rPr>
              <w:t>9,244,580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10.2%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Howard Mayer, M.D. (13)</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32406B"/>
              </w:rPr>
              <w:t>58,265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32406B"/>
              </w:rPr>
              <w:t>Anand Shah, M.D.</w:t>
            </w:r>
          </w:p>
        </w:tc>
        <w:tc>
          <w:tcPr>
            <w:tcW w:w="2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32406B"/>
              </w:rPr>
              <w:t>Tom Heyman</w:t>
            </w:r>
          </w:p>
        </w:tc>
        <w:tc>
          <w:tcPr>
            <w:tcW w:w="27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32406B"/>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32406B"/>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32406B"/>
              </w:rPr>
              <w:t>Michael Wyzga</w:t>
            </w:r>
          </w:p>
        </w:tc>
        <w:tc>
          <w:tcPr>
            <w:tcW w:w="2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32406B"/>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32406B"/>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32406B"/>
                <w:w w:val="92"/>
              </w:rPr>
              <w:t>All current executive officers and directors as a group (13 persons)(14)</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32406B"/>
              </w:rPr>
              <w:t>47,612,630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32406B"/>
              </w:rPr>
              <w:t>52.5%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32406B"/>
              </w:rPr>
              <w:t>43.7%</w:t>
            </w:r>
          </w:p>
        </w:tc>
        <w:tc>
          <w:tcPr>
            <w:tcW w:w="0" w:type="dxa"/>
            <w:vAlign w:val="bottom"/>
          </w:tcPr>
          <w:p>
            <w:pPr>
              <w:spacing w:after="0"/>
              <w:rPr>
                <w:sz w:val="1"/>
                <w:szCs w:val="1"/>
                <w:color w:val="auto"/>
              </w:rPr>
            </w:pPr>
          </w:p>
        </w:tc>
      </w:tr>
      <w:tr>
        <w:trPr>
          <w:trHeight w:val="121"/>
        </w:trPr>
        <w:tc>
          <w:tcPr>
            <w:tcW w:w="220" w:type="dxa"/>
            <w:vAlign w:val="bottom"/>
            <w:tcBorders>
              <w:bottom w:val="single" w:sz="8" w:color="32406B"/>
            </w:tcBorders>
          </w:tcPr>
          <w:p>
            <w:pPr>
              <w:spacing w:after="0"/>
              <w:rPr>
                <w:sz w:val="10"/>
                <w:szCs w:val="10"/>
                <w:color w:val="auto"/>
              </w:rPr>
            </w:pPr>
          </w:p>
        </w:tc>
        <w:tc>
          <w:tcPr>
            <w:tcW w:w="1000" w:type="dxa"/>
            <w:vAlign w:val="bottom"/>
            <w:tcBorders>
              <w:bottom w:val="single" w:sz="8" w:color="32406B"/>
            </w:tcBorders>
          </w:tcPr>
          <w:p>
            <w:pPr>
              <w:spacing w:after="0"/>
              <w:rPr>
                <w:sz w:val="10"/>
                <w:szCs w:val="10"/>
                <w:color w:val="auto"/>
              </w:rPr>
            </w:pPr>
          </w:p>
        </w:tc>
        <w:tc>
          <w:tcPr>
            <w:tcW w:w="4020" w:type="dxa"/>
            <w:vAlign w:val="bottom"/>
            <w:gridSpan w:val="2"/>
          </w:tcPr>
          <w:p>
            <w:pPr>
              <w:spacing w:after="0"/>
              <w:rPr>
                <w:sz w:val="10"/>
                <w:szCs w:val="10"/>
                <w:color w:val="auto"/>
              </w:rPr>
            </w:pPr>
          </w:p>
        </w:tc>
        <w:tc>
          <w:tcPr>
            <w:tcW w:w="2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color w:val="32406B"/>
              </w:rPr>
              <w:t>*</w:t>
            </w:r>
          </w:p>
        </w:tc>
        <w:tc>
          <w:tcPr>
            <w:tcW w:w="5020" w:type="dxa"/>
            <w:vAlign w:val="bottom"/>
            <w:gridSpan w:val="3"/>
          </w:tcPr>
          <w:p>
            <w:pPr>
              <w:ind w:left="200"/>
              <w:spacing w:after="0"/>
              <w:rPr>
                <w:sz w:val="20"/>
                <w:szCs w:val="20"/>
                <w:color w:val="auto"/>
              </w:rPr>
            </w:pPr>
            <w:r>
              <w:rPr>
                <w:rFonts w:ascii="Arial" w:cs="Arial" w:eastAsia="Arial" w:hAnsi="Arial"/>
                <w:sz w:val="18"/>
                <w:szCs w:val="18"/>
                <w:color w:val="32406B"/>
              </w:rPr>
              <w:t>Represents beneficial ownership of less than one percent.</w:t>
            </w:r>
          </w:p>
        </w:tc>
        <w:tc>
          <w:tcPr>
            <w:tcW w:w="2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40" w:type="dxa"/>
            <w:vAlign w:val="bottom"/>
          </w:tcPr>
          <w:p>
            <w:pPr>
              <w:jc w:val="right"/>
              <w:ind w:right="2250"/>
              <w:spacing w:after="0"/>
              <w:rPr>
                <w:sz w:val="20"/>
                <w:szCs w:val="20"/>
                <w:color w:val="auto"/>
              </w:rPr>
            </w:pPr>
            <w:r>
              <w:rPr>
                <w:rFonts w:ascii="Arial" w:cs="Arial" w:eastAsia="Arial" w:hAnsi="Arial"/>
                <w:sz w:val="18"/>
                <w:szCs w:val="18"/>
                <w:color w:val="32406B"/>
              </w:rPr>
              <w:t>190</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6"/>
          <w:szCs w:val="16"/>
          <w:color w:val="32406B"/>
        </w:rPr>
      </w:pPr>
      <w:r>
        <w:rPr>
          <w:rFonts w:ascii="Arial" w:cs="Arial" w:eastAsia="Arial" w:hAnsi="Arial"/>
          <w:sz w:val="16"/>
          <w:szCs w:val="16"/>
          <w:color w:val="32406B"/>
        </w:rPr>
        <w:t>Consists of (a) 1,985,295 shares of common stock, (b) 25,000,000 shares of common stock issuable upon conversion of Series A preferred stock,</w:t>
      </w:r>
    </w:p>
    <w:p>
      <w:pPr>
        <w:spacing w:after="0" w:line="46" w:lineRule="exact"/>
        <w:rPr>
          <w:rFonts w:ascii="Arial" w:cs="Arial" w:eastAsia="Arial" w:hAnsi="Arial"/>
          <w:sz w:val="16"/>
          <w:szCs w:val="16"/>
          <w:color w:val="32406B"/>
        </w:rPr>
      </w:pPr>
    </w:p>
    <w:p>
      <w:pPr>
        <w:jc w:val="both"/>
        <w:ind w:left="540"/>
        <w:spacing w:after="0" w:line="250" w:lineRule="auto"/>
        <w:rPr>
          <w:rFonts w:ascii="Arial" w:cs="Arial" w:eastAsia="Arial" w:hAnsi="Arial"/>
          <w:sz w:val="16"/>
          <w:szCs w:val="16"/>
          <w:color w:val="32406B"/>
        </w:rPr>
      </w:pPr>
      <w:r>
        <w:rPr>
          <w:rFonts w:ascii="Arial" w:cs="Arial" w:eastAsia="Arial" w:hAnsi="Arial"/>
          <w:sz w:val="18"/>
          <w:szCs w:val="18"/>
          <w:color w:val="32406B"/>
        </w:rPr>
        <w:t>(c) 220,380 shares of common stock issuable upon conversion of Series B preferred stock and (d) 640,320 shares of common stock issuable upon conversion of Series C preferred stock. Tillman U. Gerngross, a member of our board of directors and our Chief Executive Officer, is an officer and a member of the board of directors of Adimab, LLC and may be deemed to have shared voting and investment power with respect to the shares held by Adimab, LLC.</w:t>
      </w:r>
    </w:p>
    <w:p>
      <w:pPr>
        <w:spacing w:after="0" w:line="1" w:lineRule="exact"/>
        <w:rPr>
          <w:rFonts w:ascii="Arial" w:cs="Arial" w:eastAsia="Arial" w:hAnsi="Arial"/>
          <w:sz w:val="16"/>
          <w:szCs w:val="16"/>
          <w:color w:val="32406B"/>
        </w:rPr>
      </w:pPr>
    </w:p>
    <w:p>
      <w:pPr>
        <w:jc w:val="both"/>
        <w:ind w:left="540" w:hanging="424"/>
        <w:spacing w:after="0" w:line="267" w:lineRule="auto"/>
        <w:tabs>
          <w:tab w:leader="none" w:pos="540" w:val="left"/>
        </w:tabs>
        <w:numPr>
          <w:ilvl w:val="0"/>
          <w:numId w:val="123"/>
        </w:numPr>
        <w:rPr>
          <w:rFonts w:ascii="Arial" w:cs="Arial" w:eastAsia="Arial" w:hAnsi="Arial"/>
          <w:sz w:val="17"/>
          <w:szCs w:val="17"/>
          <w:color w:val="32406B"/>
        </w:rPr>
      </w:pPr>
      <w:r>
        <w:rPr>
          <w:rFonts w:ascii="Arial" w:cs="Arial" w:eastAsia="Arial" w:hAnsi="Arial"/>
          <w:sz w:val="17"/>
          <w:szCs w:val="17"/>
          <w:color w:val="32406B"/>
        </w:rPr>
        <w:t>Consists of (a) (i) 2,199,360 shares of common stock issuable upon conversion of Series A preferred stock, (ii) 688,500 shares of common stock issuable upon conversion of Series B preferred stock and (iii) 1,260,760 shares of common stock issuable upon conversion of Series C preferred stock held by Mag &amp; Co fbo Fidelity Growth Company Commingled Pool (FGCCP), (b) (i) 2,069,651 shares of common stock issuable upon conversion of Series A preferred stock, (ii) 747,500 shares of common stock issuable upon conversion of Series B preferred stock and (iii) 1,187,185 shares of common stock issuable upon conversion of Series C preferred stock held by Powhatan &amp; Co., LLC fbo Fidelity Mt. Vernon Street Trust: Fidelity Growth Company Fund (FGCF), (c) (i) 451,810 shares of common stock issuable upon conversion of Series A preferred stock, (ii) 140,680 shares of common stock issuable upon conversion of Series B preferred stock and (iii) 266,440 shares of common stock issuable upon conversion of Series C preferred stock held by Mag &amp; Co fbo Fidelity Mt. Vernon Street Trust: Fidelity Series Growth Company Fund (FSGCF), (d) (i) 279,180 shares of common stock issuable upon conversion of Series A preferred stock, (ii) 90,865 shares of common stock issuable upon conversion of Series B preferred stock and (iii) 487,221 shares of common stock issuable upon conversion of Series C preferred stock held by Powhatan &amp; Co., LLC fbo Fidelity Mt. Vernon Street Trust: Fidelity Growth Company K6 Fund (FGCKF), and (e) 95,500 shares of common stock issuable upon conversion of Series B preferred stock held by Mag &amp; Co fbo Fidelity Select Portfolios: Biotechnology Portfolio (FSPBP, together with FGCCP, FGCF, FSGCF and FGCKF, the Fidelity Funds).</w:t>
      </w:r>
    </w:p>
    <w:p>
      <w:pPr>
        <w:spacing w:after="0" w:line="74" w:lineRule="exact"/>
        <w:rPr>
          <w:rFonts w:ascii="Arial" w:cs="Arial" w:eastAsia="Arial" w:hAnsi="Arial"/>
          <w:sz w:val="17"/>
          <w:szCs w:val="17"/>
          <w:color w:val="32406B"/>
        </w:rPr>
      </w:pPr>
    </w:p>
    <w:p>
      <w:pPr>
        <w:ind w:left="560" w:right="20"/>
        <w:spacing w:after="0" w:line="277" w:lineRule="auto"/>
        <w:rPr>
          <w:rFonts w:ascii="Arial" w:cs="Arial" w:eastAsia="Arial" w:hAnsi="Arial"/>
          <w:sz w:val="17"/>
          <w:szCs w:val="17"/>
          <w:color w:val="32406B"/>
        </w:rPr>
      </w:pPr>
      <w:r>
        <w:rPr>
          <w:rFonts w:ascii="Arial" w:cs="Arial" w:eastAsia="Arial" w:hAnsi="Arial"/>
          <w:sz w:val="18"/>
          <w:szCs w:val="18"/>
          <w:color w:val="32406B"/>
        </w:rPr>
        <w:t>The Fidelity Funds are managed by direct or indirect subsidiaries of FMR LLC. Abigail P. Johnson is a Director, the Chairman, the Chief Executive Officer and the President of FMR LLC.</w:t>
      </w:r>
    </w:p>
    <w:p>
      <w:pPr>
        <w:spacing w:after="0" w:line="62" w:lineRule="exact"/>
        <w:rPr>
          <w:rFonts w:ascii="Arial" w:cs="Arial" w:eastAsia="Arial" w:hAnsi="Arial"/>
          <w:sz w:val="17"/>
          <w:szCs w:val="17"/>
          <w:color w:val="32406B"/>
        </w:rPr>
      </w:pPr>
    </w:p>
    <w:p>
      <w:pPr>
        <w:jc w:val="both"/>
        <w:ind w:left="560"/>
        <w:spacing w:after="0" w:line="255" w:lineRule="auto"/>
        <w:rPr>
          <w:rFonts w:ascii="Arial" w:cs="Arial" w:eastAsia="Arial" w:hAnsi="Arial"/>
          <w:sz w:val="17"/>
          <w:szCs w:val="17"/>
          <w:color w:val="32406B"/>
        </w:rPr>
      </w:pPr>
      <w:r>
        <w:rPr>
          <w:rFonts w:ascii="Arial" w:cs="Arial" w:eastAsia="Arial" w:hAnsi="Arial"/>
          <w:sz w:val="18"/>
          <w:szCs w:val="18"/>
          <w:color w:val="32406B"/>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84" w:lineRule="exact"/>
        <w:rPr>
          <w:rFonts w:ascii="Arial" w:cs="Arial" w:eastAsia="Arial" w:hAnsi="Arial"/>
          <w:sz w:val="17"/>
          <w:szCs w:val="17"/>
          <w:color w:val="32406B"/>
        </w:rPr>
      </w:pPr>
    </w:p>
    <w:p>
      <w:pPr>
        <w:jc w:val="both"/>
        <w:ind w:left="560" w:right="20"/>
        <w:spacing w:after="0" w:line="279" w:lineRule="auto"/>
        <w:rPr>
          <w:rFonts w:ascii="Arial" w:cs="Arial" w:eastAsia="Arial" w:hAnsi="Arial"/>
          <w:sz w:val="17"/>
          <w:szCs w:val="17"/>
          <w:color w:val="32406B"/>
        </w:rPr>
      </w:pPr>
      <w:r>
        <w:rPr>
          <w:rFonts w:ascii="Arial" w:cs="Arial" w:eastAsia="Arial" w:hAnsi="Arial"/>
          <w:sz w:val="17"/>
          <w:szCs w:val="17"/>
          <w:color w:val="32406B"/>
        </w:rPr>
        <w:t>Neither FMR LLC nor Abigail P. Johnson has the sole power to vote or direct the voting of the shares owned directly by the various investment companies registered under the Investment Company Act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63" w:lineRule="exact"/>
        <w:rPr>
          <w:rFonts w:ascii="Arial" w:cs="Arial" w:eastAsia="Arial" w:hAnsi="Arial"/>
          <w:sz w:val="17"/>
          <w:szCs w:val="17"/>
          <w:color w:val="32406B"/>
        </w:rPr>
      </w:pPr>
    </w:p>
    <w:p>
      <w:pPr>
        <w:ind w:left="560" w:right="20"/>
        <w:spacing w:after="0" w:line="277" w:lineRule="auto"/>
        <w:rPr>
          <w:rFonts w:ascii="Arial" w:cs="Arial" w:eastAsia="Arial" w:hAnsi="Arial"/>
          <w:sz w:val="17"/>
          <w:szCs w:val="17"/>
          <w:color w:val="32406B"/>
        </w:rPr>
      </w:pPr>
      <w:r>
        <w:rPr>
          <w:rFonts w:ascii="Arial" w:cs="Arial" w:eastAsia="Arial" w:hAnsi="Arial"/>
          <w:sz w:val="18"/>
          <w:szCs w:val="18"/>
          <w:color w:val="32406B"/>
        </w:rPr>
        <w:t>The principal business address for FSGCF, FGCCP and FSPBP referenced in this footnote is c/o Brown Brothers Harriman &amp; Co. Attn: Corporate Actions /Vault 140 Broadway New York, NY 10005.</w:t>
      </w:r>
    </w:p>
    <w:p>
      <w:pPr>
        <w:spacing w:after="0" w:line="62" w:lineRule="exact"/>
        <w:rPr>
          <w:rFonts w:ascii="Arial" w:cs="Arial" w:eastAsia="Arial" w:hAnsi="Arial"/>
          <w:sz w:val="17"/>
          <w:szCs w:val="17"/>
          <w:color w:val="32406B"/>
        </w:rPr>
      </w:pPr>
    </w:p>
    <w:p>
      <w:pPr>
        <w:ind w:left="560"/>
        <w:spacing w:after="0"/>
        <w:rPr>
          <w:rFonts w:ascii="Arial" w:cs="Arial" w:eastAsia="Arial" w:hAnsi="Arial"/>
          <w:sz w:val="17"/>
          <w:szCs w:val="17"/>
          <w:color w:val="32406B"/>
        </w:rPr>
      </w:pPr>
      <w:r>
        <w:rPr>
          <w:rFonts w:ascii="Arial" w:cs="Arial" w:eastAsia="Arial" w:hAnsi="Arial"/>
          <w:sz w:val="17"/>
          <w:szCs w:val="17"/>
          <w:color w:val="32406B"/>
        </w:rPr>
        <w:t>The principal business address for FGCF and FGCKF referenced in this footnote is c/o BNY Mellon PO Box 392002, Pittsburgh PA 15230.</w:t>
      </w:r>
    </w:p>
    <w:p>
      <w:pPr>
        <w:spacing w:after="0" w:line="34" w:lineRule="exact"/>
        <w:rPr>
          <w:rFonts w:ascii="Arial" w:cs="Arial" w:eastAsia="Arial" w:hAnsi="Arial"/>
          <w:sz w:val="17"/>
          <w:szCs w:val="17"/>
          <w:color w:val="32406B"/>
        </w:rPr>
      </w:pPr>
    </w:p>
    <w:p>
      <w:pPr>
        <w:jc w:val="both"/>
        <w:ind w:left="540" w:hanging="424"/>
        <w:spacing w:after="0" w:line="252" w:lineRule="auto"/>
        <w:tabs>
          <w:tab w:leader="none" w:pos="540" w:val="left"/>
        </w:tabs>
        <w:numPr>
          <w:ilvl w:val="0"/>
          <w:numId w:val="123"/>
        </w:numPr>
        <w:rPr>
          <w:rFonts w:ascii="Arial" w:cs="Arial" w:eastAsia="Arial" w:hAnsi="Arial"/>
          <w:sz w:val="18"/>
          <w:szCs w:val="18"/>
          <w:color w:val="32406B"/>
        </w:rPr>
      </w:pPr>
      <w:r>
        <w:rPr>
          <w:rFonts w:ascii="Arial" w:cs="Arial" w:eastAsia="Arial" w:hAnsi="Arial"/>
          <w:sz w:val="18"/>
          <w:szCs w:val="18"/>
          <w:color w:val="32406B"/>
        </w:rPr>
        <w:t>Consists of (a) 6,250,000 shares of common stock issuable upon conversion of Series A preferred stock, (b) 881,520 shares of common stock issuable upon conversion of Series B preferred stock and (c) 2,113,060 shares of common stock issuable upon conversion of Series C preferred stock. The percentage of shares beneficially owned after this offering does not include 1,997,000 shares of common stock that we directed the underwriters to allocate to Mithril II LP at the initial public offering price and on the same terms as the other shares of common stock being offered in this offering. Ajay Royan, a member of our board of directors, is the Managing General Partner and Founder of Mithril Capital Management LLC, (“MCM”). MCM is a management company that manages Mithril II LP and is appointed by Mithril II GP LP (“GP II”), the general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191</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5" w:lineRule="auto"/>
        <w:rPr>
          <w:sz w:val="20"/>
          <w:szCs w:val="20"/>
          <w:color w:val="auto"/>
        </w:rPr>
      </w:pPr>
      <w:r>
        <w:rPr>
          <w:rFonts w:ascii="Arial" w:cs="Arial" w:eastAsia="Arial" w:hAnsi="Arial"/>
          <w:sz w:val="18"/>
          <w:szCs w:val="18"/>
          <w:color w:val="32406B"/>
        </w:rPr>
        <w:t>partner of Mithril II LP. Peter Thiel and Ajay Royan are the members of the investment committee GP II. The investment committee makes all investment decisions with respect to these entities and may be deemed to share voting and investment power over the securities held by Mithril II LP.</w:t>
      </w:r>
    </w:p>
    <w:p>
      <w:pPr>
        <w:spacing w:after="0" w:line="3" w:lineRule="exact"/>
        <w:rPr>
          <w:sz w:val="20"/>
          <w:szCs w:val="20"/>
          <w:color w:val="auto"/>
        </w:rPr>
      </w:pPr>
    </w:p>
    <w:p>
      <w:pPr>
        <w:jc w:val="both"/>
        <w:ind w:left="540" w:hanging="424"/>
        <w:spacing w:after="0" w:line="284" w:lineRule="auto"/>
        <w:tabs>
          <w:tab w:leader="none" w:pos="540" w:val="left"/>
        </w:tabs>
        <w:numPr>
          <w:ilvl w:val="0"/>
          <w:numId w:val="124"/>
        </w:numPr>
        <w:rPr>
          <w:rFonts w:ascii="Arial" w:cs="Arial" w:eastAsia="Arial" w:hAnsi="Arial"/>
          <w:sz w:val="16"/>
          <w:szCs w:val="16"/>
          <w:color w:val="32406B"/>
        </w:rPr>
      </w:pPr>
      <w:r>
        <w:rPr>
          <w:rFonts w:ascii="Arial" w:cs="Arial" w:eastAsia="Arial" w:hAnsi="Arial"/>
          <w:sz w:val="16"/>
          <w:szCs w:val="16"/>
          <w:color w:val="32406B"/>
        </w:rPr>
        <w:t>Consists of (a) (i) 1,809,250 shares of common stock issuable upon conversion of Series A preferred stock, (ii) 425,305 shares of common stock issuable upon conversion of Series B preferred stock and (iii) 617,870 shares of common stock issuable upon conversion of Series C preferred stock held by Polaris Venture Partners V, L.P. (PVP V), (b) (i) 35,260 shares of common stock issuable upon conversion of Series A preferred stock, (ii) 8,290 shares of common stock issuable upon conversion of Series B preferred stock and (iii) 12,045 shares of common stock issuable upon conversion of Series C preferred stock held by Polaris Venture Partners Entrepreneurs’ Fund V, L.P. (PVPEF V), (c) (i) 12,395 shares of common stock issuable upon conversion of Series A preferred stock, (ii) 2,915 shares of common stock issuable upon conversion of Series B preferred stock and (iii) 4,230 shares of common stock issuable upon conversion of Series C preferred stock held by Polaris Venture Partners Founders’ Fund V, L.P. (PVPFF V), (d) (i) 18,095 shares of common stock issuable upon conversion of Series A preferred stock, (ii) 4,250 shares of common stock issuable upon conversion of Series B convertible preferred stock and (iii) 6,175 shares of common stock issuable upon conversion of Series C preferred stock held by Polaris Venture Partners Special Founders’ Fund V, L.P. (PVPSFF V, together with PVP V, PVPEF V, and PVPFF V, the Polaris V Funds), (e) (i) 4,375,000 shares of common stock issuable upon conversion of Series A preferred stock, (ii) 220,380 shares of common stock issuable upon conversion of Series B preferred stock and (iii) 160,080 shares of common stock issuable upon conversion of Series C preferred stock held by Polaris Partners IX, L.P. (PP IX), and (f) 320,160 shares of common stock issuable upon conversion of Series C preferred stock held by Polaris Healthcare Technology Opportunities Fund, L.P. (PHCT).</w:t>
      </w:r>
    </w:p>
    <w:p>
      <w:pPr>
        <w:spacing w:after="0" w:line="69" w:lineRule="exact"/>
        <w:rPr>
          <w:rFonts w:ascii="Arial" w:cs="Arial" w:eastAsia="Arial" w:hAnsi="Arial"/>
          <w:sz w:val="16"/>
          <w:szCs w:val="16"/>
          <w:color w:val="32406B"/>
        </w:rPr>
      </w:pPr>
    </w:p>
    <w:p>
      <w:pPr>
        <w:jc w:val="both"/>
        <w:ind w:left="560"/>
        <w:spacing w:after="0" w:line="259" w:lineRule="auto"/>
        <w:rPr>
          <w:rFonts w:ascii="Arial" w:cs="Arial" w:eastAsia="Arial" w:hAnsi="Arial"/>
          <w:sz w:val="16"/>
          <w:szCs w:val="16"/>
          <w:color w:val="32406B"/>
        </w:rPr>
      </w:pPr>
      <w:r>
        <w:rPr>
          <w:rFonts w:ascii="Arial" w:cs="Arial" w:eastAsia="Arial" w:hAnsi="Arial"/>
          <w:sz w:val="18"/>
          <w:szCs w:val="18"/>
          <w:color w:val="32406B"/>
        </w:rPr>
        <w:t>Polaris Venture Management Co. V, L.L.C. (PVM V) is the general partner of each of the Polaris V Funds and may be deemed to have shared voting and investment power with respect to the shares held by each of the Polaris V Funds. Jonathan A. Flint and Mr. McGuire (collectively, the PVM V Managing Members) are the managing members of PVM V and may be deemed to have shared voting and investment power with respect to the shares held by each of the Polaris V Funds.</w:t>
      </w:r>
    </w:p>
    <w:p>
      <w:pPr>
        <w:spacing w:after="0" w:line="78" w:lineRule="exact"/>
        <w:rPr>
          <w:rFonts w:ascii="Arial" w:cs="Arial" w:eastAsia="Arial" w:hAnsi="Arial"/>
          <w:sz w:val="16"/>
          <w:szCs w:val="16"/>
          <w:color w:val="32406B"/>
        </w:rPr>
      </w:pPr>
    </w:p>
    <w:p>
      <w:pPr>
        <w:jc w:val="both"/>
        <w:ind w:left="560" w:right="20"/>
        <w:spacing w:after="0" w:line="257" w:lineRule="auto"/>
        <w:rPr>
          <w:rFonts w:ascii="Arial" w:cs="Arial" w:eastAsia="Arial" w:hAnsi="Arial"/>
          <w:sz w:val="16"/>
          <w:szCs w:val="16"/>
          <w:color w:val="32406B"/>
        </w:rPr>
      </w:pPr>
      <w:r>
        <w:rPr>
          <w:rFonts w:ascii="Arial" w:cs="Arial" w:eastAsia="Arial" w:hAnsi="Arial"/>
          <w:sz w:val="18"/>
          <w:szCs w:val="18"/>
          <w:color w:val="32406B"/>
        </w:rPr>
        <w:t>Polaris Partners GP IX, L.L.C. (PP GP IX) is the general partner of PP IX and may be deemed to have shared voting and investment power with respect to the shares held by PP IX. David Barrett, Brian Chee, Amir Nashat and Amy Schulman (collectively, the PP GP IX Managing Members) are the managing members of PP GP IX and Mr. McGuire holds an interest in PP GP IX. Each of the PP GP IX Managing Members and Mr. McGuire, in their respective capacities with respect to PP GP IX, may be deemed to have shared voting and investment power with respect to the shares held by PP IX.</w:t>
      </w:r>
    </w:p>
    <w:p>
      <w:pPr>
        <w:spacing w:after="0" w:line="79" w:lineRule="exact"/>
        <w:rPr>
          <w:rFonts w:ascii="Arial" w:cs="Arial" w:eastAsia="Arial" w:hAnsi="Arial"/>
          <w:sz w:val="16"/>
          <w:szCs w:val="16"/>
          <w:color w:val="32406B"/>
        </w:rPr>
      </w:pPr>
    </w:p>
    <w:p>
      <w:pPr>
        <w:jc w:val="both"/>
        <w:ind w:left="560" w:right="20"/>
        <w:spacing w:after="0" w:line="257" w:lineRule="auto"/>
        <w:rPr>
          <w:rFonts w:ascii="Arial" w:cs="Arial" w:eastAsia="Arial" w:hAnsi="Arial"/>
          <w:sz w:val="16"/>
          <w:szCs w:val="16"/>
          <w:color w:val="32406B"/>
        </w:rPr>
      </w:pPr>
      <w:r>
        <w:rPr>
          <w:rFonts w:ascii="Arial" w:cs="Arial" w:eastAsia="Arial" w:hAnsi="Arial"/>
          <w:sz w:val="18"/>
          <w:szCs w:val="18"/>
          <w:color w:val="32406B"/>
        </w:rPr>
        <w:t>Polaris Healthcare Technology Opportunities Fund GP, L.L.C. (PHCT GP) is the general partner of PHCT and may be deemed to have shared voting and investment power with respect to the shares held by PHCT. David Barrett, Brian Chee, Amir Nashat and Amy Schulman (collectively, the PHCT GP Managing Members) are the managing members of PHCT GP and Mr. McGuire holds an interest in PHCT GP. Each of the PHCT GP Managing Members and Mr. McGuire, in their respective capacities with respect to PHCT GP, may be deemed to have shared voting and investment power with respect to the shares held by PHCT.</w:t>
      </w:r>
    </w:p>
    <w:p>
      <w:pPr>
        <w:spacing w:after="0" w:line="79" w:lineRule="exact"/>
        <w:rPr>
          <w:rFonts w:ascii="Arial" w:cs="Arial" w:eastAsia="Arial" w:hAnsi="Arial"/>
          <w:sz w:val="16"/>
          <w:szCs w:val="16"/>
          <w:color w:val="32406B"/>
        </w:rPr>
      </w:pPr>
    </w:p>
    <w:p>
      <w:pPr>
        <w:ind w:left="560" w:right="20"/>
        <w:spacing w:after="0" w:line="258" w:lineRule="auto"/>
        <w:rPr>
          <w:rFonts w:ascii="Arial" w:cs="Arial" w:eastAsia="Arial" w:hAnsi="Arial"/>
          <w:sz w:val="16"/>
          <w:szCs w:val="16"/>
          <w:color w:val="32406B"/>
        </w:rPr>
      </w:pPr>
      <w:r>
        <w:rPr>
          <w:rFonts w:ascii="Arial" w:cs="Arial" w:eastAsia="Arial" w:hAnsi="Arial"/>
          <w:sz w:val="18"/>
          <w:szCs w:val="18"/>
          <w:color w:val="32406B"/>
        </w:rPr>
        <w:t>The principal business address for all entities and individuals referenced in this footnote is c/o Polaris Partners, One Marina Park Drive, 10th Floor, Boston, Massachusetts 02210.</w:t>
      </w:r>
    </w:p>
    <w:p>
      <w:pPr>
        <w:spacing w:after="0" w:line="1" w:lineRule="exact"/>
        <w:rPr>
          <w:rFonts w:ascii="Arial" w:cs="Arial" w:eastAsia="Arial" w:hAnsi="Arial"/>
          <w:sz w:val="16"/>
          <w:szCs w:val="16"/>
          <w:color w:val="32406B"/>
        </w:rPr>
      </w:pPr>
    </w:p>
    <w:p>
      <w:pPr>
        <w:jc w:val="both"/>
        <w:ind w:left="540" w:right="20" w:hanging="424"/>
        <w:spacing w:after="0" w:line="255" w:lineRule="auto"/>
        <w:tabs>
          <w:tab w:leader="none" w:pos="540" w:val="left"/>
        </w:tabs>
        <w:numPr>
          <w:ilvl w:val="0"/>
          <w:numId w:val="124"/>
        </w:numPr>
        <w:rPr>
          <w:rFonts w:ascii="Arial" w:cs="Arial" w:eastAsia="Arial" w:hAnsi="Arial"/>
          <w:sz w:val="18"/>
          <w:szCs w:val="18"/>
          <w:color w:val="32406B"/>
        </w:rPr>
      </w:pPr>
      <w:r>
        <w:rPr>
          <w:rFonts w:ascii="Arial" w:cs="Arial" w:eastAsia="Arial" w:hAnsi="Arial"/>
          <w:sz w:val="18"/>
          <w:szCs w:val="18"/>
          <w:color w:val="32406B"/>
        </w:rPr>
        <w:t>Consists of (a) 3,437,500 shares of common stock issuable upon conversion of Series A preferred stock held by GV 2019, L.P. (GV 2019), (b) 1,763,045 shares of common stock issuable upon conversion of Series B preferred stock held by GV 2019, and (c) 480,240 shares of common stock issuable upon conversion of Series C preferred stock held by GV 2021, L.P. (GV 2021).</w:t>
      </w:r>
    </w:p>
    <w:p>
      <w:pPr>
        <w:spacing w:after="0" w:line="81" w:lineRule="exact"/>
        <w:rPr>
          <w:rFonts w:ascii="Arial" w:cs="Arial" w:eastAsia="Arial" w:hAnsi="Arial"/>
          <w:sz w:val="18"/>
          <w:szCs w:val="18"/>
          <w:color w:val="32406B"/>
        </w:rPr>
      </w:pPr>
    </w:p>
    <w:p>
      <w:pPr>
        <w:jc w:val="both"/>
        <w:ind w:left="560" w:right="20"/>
        <w:spacing w:after="0" w:line="259" w:lineRule="auto"/>
        <w:rPr>
          <w:rFonts w:ascii="Arial" w:cs="Arial" w:eastAsia="Arial" w:hAnsi="Arial"/>
          <w:sz w:val="18"/>
          <w:szCs w:val="18"/>
          <w:color w:val="32406B"/>
        </w:rPr>
      </w:pPr>
      <w:r>
        <w:rPr>
          <w:rFonts w:ascii="Arial" w:cs="Arial" w:eastAsia="Arial" w:hAnsi="Arial"/>
          <w:sz w:val="18"/>
          <w:szCs w:val="18"/>
          <w:color w:val="32406B"/>
        </w:rPr>
        <w:t>GV 2019 GP, L.P., the general partner of GV 2019, GV 2019 GP, L.L.C., the general partner of GV 2019 GP, L.P., Alphabet Holdings LLC, the managing member of GV 2019 GP, L.L.C., XXVI Holdings Inc., the managing member of Alphabet Holdings LLC, and Alphabet Inc., the controlling stockholder of XXVI Holdings Inc., may each be deemed to have shared voting and investment power with respect to the shares held GV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192</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32406B"/>
        </w:rPr>
        <w:t>GV 2021 GP, L.P., the general partner of GV 2021, GV 2021 GP, L.L.C., the general partner of GV 2021 GP, L.P., Alphabet Holdings LLC, the managing member of GV 2021 GP, L.L.C., XXVI Holdings Inc., the managing member of Alphabet Holdings LLC, and Alphabet Inc., the controlling stockholder of XXVI Holdings Inc., may each be deemed to have shared voting and investment power with respect to the shares held GV 2021.</w:t>
      </w:r>
    </w:p>
    <w:p>
      <w:pPr>
        <w:spacing w:after="0" w:line="79"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32406B"/>
        </w:rPr>
        <w:t>Each of the entities described above as being affiliated with GV 2019, L.P. and/or GV 2021, L.P. is subject to the ultimate control of Alphabet Inc., a publicly traded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principal business address for all entities referenced in this footnote is 1600 Amphitheatre Parkway, Mountain View, CA 94043.</w:t>
      </w:r>
    </w:p>
    <w:p>
      <w:pPr>
        <w:spacing w:after="0" w:line="23" w:lineRule="exact"/>
        <w:rPr>
          <w:sz w:val="20"/>
          <w:szCs w:val="20"/>
          <w:color w:val="auto"/>
        </w:rPr>
      </w:pPr>
    </w:p>
    <w:p>
      <w:pPr>
        <w:jc w:val="both"/>
        <w:ind w:left="540" w:hanging="424"/>
        <w:spacing w:after="0" w:line="250" w:lineRule="auto"/>
        <w:tabs>
          <w:tab w:leader="none" w:pos="54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Consists of (a) 4,062,500 shares of common stock issuable upon conversion of Series A preferred stock, (b) 440,760 shares of common stock issuable upon conversion of Series B preferred stock and (c) 480,240 shares of common stock issuable upon conversion of Series C preferred stock. OrbiMed Capital GP VII LLC (OrbiMed GP VII) is the general partner of OrbiMed Private Investments VII, LP (OPI VII). OrbiMed Advisors LLC (OrbiMed Advisors) is the managing member of OrbiMed GP VII. OrbiMed GP VII and OrbiMed Advisors may be deemed to have shared voting and investment power with respect to the shares held by OPI VII. OrbiMed Advisors exercises investment and voting power through a management committee comprised of Carl L. Gordon, Sven H. Borho and Jonathan T. Silverstein, each of whom disclaims beneficial ownership of the shares held by OPI VII.</w:t>
      </w:r>
    </w:p>
    <w:p>
      <w:pPr>
        <w:spacing w:after="0" w:line="2" w:lineRule="exact"/>
        <w:rPr>
          <w:rFonts w:ascii="Arial" w:cs="Arial" w:eastAsia="Arial" w:hAnsi="Arial"/>
          <w:sz w:val="18"/>
          <w:szCs w:val="18"/>
          <w:color w:val="32406B"/>
        </w:rPr>
      </w:pPr>
    </w:p>
    <w:p>
      <w:pPr>
        <w:jc w:val="both"/>
        <w:ind w:left="540" w:hanging="424"/>
        <w:spacing w:after="0" w:line="265" w:lineRule="auto"/>
        <w:tabs>
          <w:tab w:leader="none" w:pos="540" w:val="left"/>
        </w:tabs>
        <w:numPr>
          <w:ilvl w:val="0"/>
          <w:numId w:val="125"/>
        </w:numPr>
        <w:rPr>
          <w:rFonts w:ascii="Arial" w:cs="Arial" w:eastAsia="Arial" w:hAnsi="Arial"/>
          <w:sz w:val="17"/>
          <w:szCs w:val="17"/>
          <w:color w:val="32406B"/>
        </w:rPr>
      </w:pPr>
      <w:r>
        <w:rPr>
          <w:rFonts w:ascii="Arial" w:cs="Arial" w:eastAsia="Arial" w:hAnsi="Arial"/>
          <w:sz w:val="17"/>
          <w:szCs w:val="17"/>
          <w:color w:val="32406B"/>
        </w:rPr>
        <w:t>Consists of (a) 4,082,050 shares of common stock issuable upon conversion of Series C preferred stock held by RA Capital Healthcare Fund, L.P. (RA Healthcare), and (b) 720,360 shares of common stock issuable upon conversion of Series C preferred stock held by RA Capital Nexus Fund II, L.P. (Nexus II). RA Capital Management, L.P., is the investment manager for RA Healthcare and Nexus II. The general partner of RA Capital Management, L.P., is RA Capital Management GP, LLC, of which Peter Kolchinsky and Rajeev Shah are the managing members. RA Capital Management, L.P., RA Capital Management GP, LLC, Peter Kolchinsky and Rajeev Shah may be deemed to have shared voting and investment power with respect to the shares held RA Healthcare and Nexus II. The address of all entities and individuals referenced in this footnote is 200 Berkeley Street, 18th Floor, Boston, Massachusetts 02116.</w:t>
      </w:r>
    </w:p>
    <w:p>
      <w:pPr>
        <w:spacing w:after="0" w:line="1" w:lineRule="exact"/>
        <w:rPr>
          <w:rFonts w:ascii="Arial" w:cs="Arial" w:eastAsia="Arial" w:hAnsi="Arial"/>
          <w:sz w:val="17"/>
          <w:szCs w:val="17"/>
          <w:color w:val="32406B"/>
        </w:rPr>
      </w:pPr>
    </w:p>
    <w:p>
      <w:pPr>
        <w:ind w:left="540" w:hanging="424"/>
        <w:spacing w:after="0"/>
        <w:tabs>
          <w:tab w:leader="none" w:pos="540" w:val="left"/>
        </w:tabs>
        <w:numPr>
          <w:ilvl w:val="0"/>
          <w:numId w:val="125"/>
        </w:numPr>
        <w:rPr>
          <w:rFonts w:ascii="Arial" w:cs="Arial" w:eastAsia="Arial" w:hAnsi="Arial"/>
          <w:sz w:val="16"/>
          <w:szCs w:val="16"/>
          <w:color w:val="32406B"/>
        </w:rPr>
      </w:pPr>
      <w:r>
        <w:rPr>
          <w:rFonts w:ascii="Arial" w:cs="Arial" w:eastAsia="Arial" w:hAnsi="Arial"/>
          <w:sz w:val="16"/>
          <w:szCs w:val="16"/>
          <w:color w:val="32406B"/>
        </w:rPr>
        <w:t>Consists of (a) 1,985,295 shares of common stock, (b) 25,000,000 shares of common stock issuable upon conversion of Series A preferred stock,</w:t>
      </w:r>
    </w:p>
    <w:p>
      <w:pPr>
        <w:spacing w:after="0" w:line="32" w:lineRule="exact"/>
        <w:rPr>
          <w:rFonts w:ascii="Arial" w:cs="Arial" w:eastAsia="Arial" w:hAnsi="Arial"/>
          <w:sz w:val="16"/>
          <w:szCs w:val="16"/>
          <w:color w:val="32406B"/>
        </w:rPr>
      </w:pPr>
    </w:p>
    <w:p>
      <w:pPr>
        <w:jc w:val="both"/>
        <w:ind w:left="540" w:right="20"/>
        <w:spacing w:after="0" w:line="265" w:lineRule="auto"/>
        <w:rPr>
          <w:rFonts w:ascii="Arial" w:cs="Arial" w:eastAsia="Arial" w:hAnsi="Arial"/>
          <w:sz w:val="16"/>
          <w:szCs w:val="16"/>
          <w:color w:val="32406B"/>
        </w:rPr>
      </w:pPr>
      <w:r>
        <w:rPr>
          <w:rFonts w:ascii="Arial" w:cs="Arial" w:eastAsia="Arial" w:hAnsi="Arial"/>
          <w:sz w:val="17"/>
          <w:szCs w:val="17"/>
          <w:color w:val="32406B"/>
        </w:rPr>
        <w:t>(c) 220,380 shares of common stock issuable upon conversion of Series B preferred stock and (d) 640,320 shares of common stock issuable upon conversion of Series C preferred stock held by Adimab, LLC. Dr. Gerngross is an officer and member of the board of directors of Adimab, LLC and may be deemed to have shared voting and investment power with respect to the shares held by Adimab, LLC.</w:t>
      </w:r>
    </w:p>
    <w:p>
      <w:pPr>
        <w:ind w:left="540" w:hanging="424"/>
        <w:spacing w:after="0"/>
        <w:tabs>
          <w:tab w:leader="none" w:pos="54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Consists of 250,915 shares of common stock issuable upon the exercise of options within 60 days of July 16, 2021.</w:t>
      </w:r>
    </w:p>
    <w:p>
      <w:pPr>
        <w:spacing w:after="0" w:line="9" w:lineRule="exact"/>
        <w:rPr>
          <w:rFonts w:ascii="Arial" w:cs="Arial" w:eastAsia="Arial" w:hAnsi="Arial"/>
          <w:sz w:val="18"/>
          <w:szCs w:val="18"/>
          <w:color w:val="32406B"/>
        </w:rPr>
      </w:pPr>
    </w:p>
    <w:p>
      <w:pPr>
        <w:ind w:left="540" w:right="20" w:hanging="424"/>
        <w:spacing w:after="0" w:line="250" w:lineRule="auto"/>
        <w:tabs>
          <w:tab w:leader="none" w:pos="540" w:val="left"/>
        </w:tabs>
        <w:numPr>
          <w:ilvl w:val="0"/>
          <w:numId w:val="125"/>
        </w:numPr>
        <w:rPr>
          <w:rFonts w:ascii="Arial" w:cs="Arial" w:eastAsia="Arial" w:hAnsi="Arial"/>
          <w:sz w:val="18"/>
          <w:szCs w:val="18"/>
          <w:color w:val="32406B"/>
        </w:rPr>
      </w:pPr>
      <w:r>
        <w:rPr>
          <w:rFonts w:ascii="Arial" w:cs="Arial" w:eastAsia="Arial" w:hAnsi="Arial"/>
          <w:sz w:val="18"/>
          <w:szCs w:val="18"/>
          <w:color w:val="32406B"/>
        </w:rPr>
        <w:t>Consists of 1,985,295 shares of common stock. Shares are subject to a right of repurchase in favor of us at the original option exercise price that lapses in accordance with such vesting schedule.</w:t>
      </w:r>
    </w:p>
    <w:p>
      <w:pPr>
        <w:jc w:val="both"/>
        <w:ind w:left="540" w:hanging="424"/>
        <w:spacing w:after="0" w:line="267" w:lineRule="auto"/>
        <w:tabs>
          <w:tab w:leader="none" w:pos="540" w:val="left"/>
        </w:tabs>
        <w:numPr>
          <w:ilvl w:val="0"/>
          <w:numId w:val="125"/>
        </w:numPr>
        <w:rPr>
          <w:rFonts w:ascii="Arial" w:cs="Arial" w:eastAsia="Arial" w:hAnsi="Arial"/>
          <w:sz w:val="17"/>
          <w:szCs w:val="17"/>
          <w:color w:val="32406B"/>
        </w:rPr>
      </w:pPr>
      <w:r>
        <w:rPr>
          <w:rFonts w:ascii="Arial" w:cs="Arial" w:eastAsia="Arial" w:hAnsi="Arial"/>
          <w:sz w:val="17"/>
          <w:szCs w:val="17"/>
          <w:color w:val="32406B"/>
        </w:rPr>
        <w:t>Consists of (a) (i) 1,809,250 shares of common stock issuable upon conversion of Series A preferred stock, (ii) 425,305 shares of common stock issuable upon conversion of Series B preferred stock and (iii) 617,870 shares of common stock issuable upon conversion of Series C preferred stock held by PVP V, (b) (i) 35,260 shares of common stock issuable upon conversion of Series A preferred stock, (ii) 8,290 shares of common stock issuable upon conversion of Series B preferred stock and (iii) 12,045 shares of common stock issuable upon conversion of Series C preferred stock held by PVPEF V, (c) (i) 12,395 shares of common stock issuable upon conversion of Series A preferred stock, (ii) 2,915 shares of common stock issuable upon conversion of Series B preferred stock and (iii) 4,230 shares of common stock issuable upon conversion of Series C preferred stock held by PVPFF V, (d) (i) 18,095 shares of common stock issuable upon conversion of Series A preferred stock, (ii) 4,250 shares of common stock issuable upon conversion of Series B preferred stock and (iii) 6,175 shares of common stock issuable upon conversion of Series C preferred stock held by PVPSFF V, (e) (i) 4,375,000 shares of common stock issuable upon conversion of Series A preferred stock, (ii) 220,380 shares of common stock issuable upon conversion of Series B preferred stock and (iii) 160,080 shares of common stock issuable upon conversion of Series C preferred stock held by PP</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193</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5" w:lineRule="auto"/>
        <w:rPr>
          <w:sz w:val="20"/>
          <w:szCs w:val="20"/>
          <w:color w:val="auto"/>
        </w:rPr>
      </w:pPr>
      <w:r>
        <w:rPr>
          <w:rFonts w:ascii="Arial" w:cs="Arial" w:eastAsia="Arial" w:hAnsi="Arial"/>
          <w:sz w:val="18"/>
          <w:szCs w:val="18"/>
          <w:color w:val="32406B"/>
        </w:rPr>
        <w:t>IX, and (f) 320,160 shares of common stock issuable upon conversion of Series C preferred stock held by PHCT. Mr. McGuire is a Founding Partner of Polaris Partners and may be deemed to have shared voting and investment power with respect to the shares held by all entities affiliated with Polaris Partners.</w:t>
      </w:r>
    </w:p>
    <w:p>
      <w:pPr>
        <w:spacing w:after="0" w:line="3" w:lineRule="exact"/>
        <w:rPr>
          <w:sz w:val="20"/>
          <w:szCs w:val="20"/>
          <w:color w:val="auto"/>
        </w:rPr>
      </w:pPr>
    </w:p>
    <w:p>
      <w:pPr>
        <w:jc w:val="both"/>
        <w:ind w:left="540" w:hanging="424"/>
        <w:spacing w:after="0" w:line="265" w:lineRule="auto"/>
        <w:tabs>
          <w:tab w:leader="none" w:pos="540" w:val="left"/>
        </w:tabs>
        <w:numPr>
          <w:ilvl w:val="0"/>
          <w:numId w:val="126"/>
        </w:numPr>
        <w:rPr>
          <w:rFonts w:ascii="Arial" w:cs="Arial" w:eastAsia="Arial" w:hAnsi="Arial"/>
          <w:sz w:val="17"/>
          <w:szCs w:val="17"/>
          <w:color w:val="32406B"/>
        </w:rPr>
      </w:pPr>
      <w:r>
        <w:rPr>
          <w:rFonts w:ascii="Arial" w:cs="Arial" w:eastAsia="Arial" w:hAnsi="Arial"/>
          <w:sz w:val="17"/>
          <w:szCs w:val="17"/>
          <w:color w:val="32406B"/>
        </w:rPr>
        <w:t>Consists of (a) 6,250,000 shares of common stock issuable upon conversion of Series A preferred stock, (b) 881,520 shares of common stock issuable upon conversion of Series B preferred stock and (c) 2,113,060 shares of common stock issuable upon conversion of Series C preferred stock held by Mithril II LP. Mr. Royan is the Managing General Partner and Founder of Mithril Capital Management LLC (“MCM”). MCM is a management company that manages Mithril II LP and is appointed by Mithril II GP LP (“GP II”), the general partner of Mithril II LP. Peter Thiel and Ajay Royan are the members of the investment committee GP II. The investment committee makes all investment decisions with respect to these entities and may be deemed to share voting and investment power over the securities held by Mithril II LP.</w:t>
      </w:r>
    </w:p>
    <w:p>
      <w:pPr>
        <w:ind w:left="540" w:hanging="424"/>
        <w:spacing w:after="0"/>
        <w:tabs>
          <w:tab w:leader="none" w:pos="540" w:val="left"/>
        </w:tabs>
        <w:numPr>
          <w:ilvl w:val="0"/>
          <w:numId w:val="126"/>
        </w:numPr>
        <w:rPr>
          <w:rFonts w:ascii="Arial" w:cs="Arial" w:eastAsia="Arial" w:hAnsi="Arial"/>
          <w:sz w:val="18"/>
          <w:szCs w:val="18"/>
          <w:color w:val="32406B"/>
        </w:rPr>
      </w:pPr>
      <w:r>
        <w:rPr>
          <w:rFonts w:ascii="Arial" w:cs="Arial" w:eastAsia="Arial" w:hAnsi="Arial"/>
          <w:sz w:val="18"/>
          <w:szCs w:val="18"/>
          <w:color w:val="32406B"/>
        </w:rPr>
        <w:t>Consists of 58,265 shares of common stock issuable upon the exercise of options within 60 days of July 16, 2021.</w:t>
      </w:r>
    </w:p>
    <w:p>
      <w:pPr>
        <w:spacing w:after="0" w:line="9" w:lineRule="exact"/>
        <w:rPr>
          <w:rFonts w:ascii="Arial" w:cs="Arial" w:eastAsia="Arial" w:hAnsi="Arial"/>
          <w:sz w:val="18"/>
          <w:szCs w:val="18"/>
          <w:color w:val="32406B"/>
        </w:rPr>
      </w:pPr>
    </w:p>
    <w:p>
      <w:pPr>
        <w:jc w:val="both"/>
        <w:ind w:left="540" w:right="20" w:hanging="424"/>
        <w:spacing w:after="0" w:line="255" w:lineRule="auto"/>
        <w:tabs>
          <w:tab w:leader="none" w:pos="540" w:val="left"/>
        </w:tabs>
        <w:numPr>
          <w:ilvl w:val="0"/>
          <w:numId w:val="126"/>
        </w:numPr>
        <w:rPr>
          <w:rFonts w:ascii="Arial" w:cs="Arial" w:eastAsia="Arial" w:hAnsi="Arial"/>
          <w:sz w:val="18"/>
          <w:szCs w:val="18"/>
          <w:color w:val="32406B"/>
        </w:rPr>
      </w:pPr>
      <w:r>
        <w:rPr>
          <w:rFonts w:ascii="Arial" w:cs="Arial" w:eastAsia="Arial" w:hAnsi="Arial"/>
          <w:sz w:val="18"/>
          <w:szCs w:val="18"/>
          <w:color w:val="32406B"/>
        </w:rPr>
        <w:t>Consists of (a) 47,107,570 shares of common stock beneficially owned by named executive officers and directors, (b) 127,060 shares of common stock beneficially owned by other executive officers and (c) 378,000 shares of common stock issuable upon the exercise of options within 60 days of July 16, 2021.</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194</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DESCRIPTION OF CAPITAL STOCK</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32406B"/>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General</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Immediately following the completion of this offering, our amended and restated certificate of incorporation will authorize us to issue up to 1,000,000,000 shares of common stock, $0.0001 par value per share, and 10,000,000 shares of preferred stock, $0.0001 par value per share, all of which shares of preferred stock will be undesignated. Our board of directors may establish the rights and preferences of the preferred stock from time to time.</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As of March 31, 2021, we had outstanding 5,593,240 shares of common stock, held by six stockholders of record. As of March 31, 2021, after giving effect to the conversion of all outstanding shares of our preferred stock, there would have been 68,832,910 shares of common stock outstanding, held by 32 stockholders of record.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Voting Rights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Each holder of our common stock is entitled to one vote for each share on all matters submitted to a vote of the stockholders, including the election of directors. The affirmative vote of holders of at least 66</w:t>
      </w:r>
      <w:r>
        <w:rPr>
          <w:rFonts w:ascii="Arial" w:cs="Arial" w:eastAsia="Arial" w:hAnsi="Arial"/>
          <w:sz w:val="14"/>
          <w:szCs w:val="14"/>
          <w:color w:val="32406B"/>
        </w:rPr>
        <w:t>2</w:t>
      </w:r>
      <w:r>
        <w:rPr>
          <w:rFonts w:ascii="Arial" w:cs="Arial" w:eastAsia="Arial" w:hAnsi="Arial"/>
          <w:sz w:val="17"/>
          <w:szCs w:val="17"/>
          <w:color w:val="32406B"/>
        </w:rPr>
        <w:t>/</w:t>
      </w:r>
      <w:r>
        <w:rPr>
          <w:rFonts w:ascii="Arial" w:cs="Arial" w:eastAsia="Arial" w:hAnsi="Arial"/>
          <w:sz w:val="14"/>
          <w:szCs w:val="14"/>
          <w:color w:val="32406B"/>
        </w:rPr>
        <w:t>3</w:t>
      </w:r>
      <w:r>
        <w:rPr>
          <w:rFonts w:ascii="Arial" w:cs="Arial" w:eastAsia="Arial" w:hAnsi="Arial"/>
          <w:sz w:val="17"/>
          <w:szCs w:val="17"/>
          <w:color w:val="32406B"/>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Dividends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Liquidation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Rights and Preferences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195</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Preferred Stock</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As of March 31, 2021, there were 12,647,934 shares of our preferred stock outstanding, consisting of 11,237,500 shares of our Series A preferred stock, 1,410,434 shares of our Series B preferred stock and no shares of our Series C preferred stock. We issued 4,296,550 shares of our Series C preferred stock in April 2021. All currently outstanding shares of preferred stock will be converted into an aggregate of 84,722,420 shares of common stock upon the closing of this offering.</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Following the closing of this offering, our board of directors will have the authority under our amended and restated certificate of incorporation,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 Following the completion of this offering, there will be no shares of preferred stock outstanding, and we have no present plans to issue any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Options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of March 31, 2021, there were options to purchase 5,366,070 shares of common stock outstanding. For additional information regarding the terms of our 2020 Equity Incentive Plan, see “Executive Compensation—Equity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Registration Rights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We, the holders of our existing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preferred stock in connection with our initial public offering. These shares are collectively referred to herein as registrable securities.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Demand Registration Rights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At any time beginning 180 days following the effective date of the registration statement of which this prospectus is a part, 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practicable, but in any event no later than 60 days after the receipt of such request. An aggregate of 84,722,420 shares of common stock will be entitled to these demand registration rights.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196</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Piggyback Registration Rights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 An aggregate of 84,722,420 shares of common stock will be entitled to these piggyback registration rights.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Registration on Form S-3</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At any time after we become eligible to file a registration statement on Form S-3, the holders of at least 30% of the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 An aggregate of 84,722,420 shares of common stock will be entitled to these Form S-3 registration rights.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Expenses of Registration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second amended and restated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Termination of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registration rights granted under the investors’ rights agreement will terminate with respect to any particular stockholder upon the earlier of</w:t>
      </w:r>
    </w:p>
    <w:p>
      <w:pPr>
        <w:spacing w:after="0" w:line="46" w:lineRule="exact"/>
        <w:rPr>
          <w:sz w:val="20"/>
          <w:szCs w:val="20"/>
          <w:color w:val="auto"/>
        </w:rPr>
      </w:pPr>
    </w:p>
    <w:p>
      <w:pPr>
        <w:jc w:val="both"/>
        <w:ind w:left="120" w:right="20" w:hanging="4"/>
        <w:spacing w:after="0" w:line="255" w:lineRule="auto"/>
        <w:tabs>
          <w:tab w:leader="none" w:pos="387" w:val="left"/>
        </w:tabs>
        <w:numPr>
          <w:ilvl w:val="0"/>
          <w:numId w:val="127"/>
        </w:numPr>
        <w:rPr>
          <w:rFonts w:ascii="Arial" w:cs="Arial" w:eastAsia="Arial" w:hAnsi="Arial"/>
          <w:sz w:val="18"/>
          <w:szCs w:val="18"/>
          <w:color w:val="32406B"/>
        </w:rPr>
      </w:pPr>
      <w:r>
        <w:rPr>
          <w:rFonts w:ascii="Arial" w:cs="Arial" w:eastAsia="Arial" w:hAnsi="Arial"/>
          <w:sz w:val="18"/>
          <w:szCs w:val="18"/>
          <w:color w:val="32406B"/>
        </w:rPr>
        <w:t>the closing of a deemed liquidation event, as defined in our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this offering.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Anti-Takeover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Section 203 of the Delaware General Corporation Law</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80" w:hanging="532"/>
        <w:spacing w:after="0" w:line="277" w:lineRule="auto"/>
        <w:tabs>
          <w:tab w:leader="none" w:pos="1080" w:val="left"/>
        </w:tabs>
        <w:numPr>
          <w:ilvl w:val="0"/>
          <w:numId w:val="128"/>
        </w:numPr>
        <w:rPr>
          <w:rFonts w:ascii="Arial" w:cs="Arial" w:eastAsia="Arial" w:hAnsi="Arial"/>
          <w:sz w:val="18"/>
          <w:szCs w:val="18"/>
          <w:color w:val="32406B"/>
        </w:rPr>
      </w:pPr>
      <w:r>
        <w:rPr>
          <w:rFonts w:ascii="Arial" w:cs="Arial" w:eastAsia="Arial" w:hAnsi="Arial"/>
          <w:sz w:val="18"/>
          <w:szCs w:val="18"/>
          <w:color w:val="32406B"/>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28"/>
        </w:numPr>
        <w:rPr>
          <w:rFonts w:ascii="Arial" w:cs="Arial" w:eastAsia="Arial" w:hAnsi="Arial"/>
          <w:sz w:val="18"/>
          <w:szCs w:val="18"/>
          <w:color w:val="32406B"/>
        </w:rPr>
      </w:pPr>
      <w:r>
        <w:rPr>
          <w:rFonts w:ascii="Arial" w:cs="Arial" w:eastAsia="Arial" w:hAnsi="Arial"/>
          <w:sz w:val="18"/>
          <w:szCs w:val="18"/>
          <w:color w:val="32406B"/>
        </w:rPr>
        <w:t>upon completion of the transaction that resulted in the stockholder becoming an interested stockholder, the interested stockholder owned at least 85% of the voting stock of the corporation outstanding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197</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9" w:lineRule="auto"/>
        <w:rPr>
          <w:sz w:val="20"/>
          <w:szCs w:val="20"/>
          <w:color w:val="auto"/>
        </w:rPr>
      </w:pPr>
      <w:r>
        <w:rPr>
          <w:rFonts w:ascii="Arial" w:cs="Arial" w:eastAsia="Arial" w:hAnsi="Arial"/>
          <w:sz w:val="18"/>
          <w:szCs w:val="18"/>
          <w:color w:val="32406B"/>
        </w:rPr>
        <w:t>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2" w:lineRule="exact"/>
        <w:rPr>
          <w:sz w:val="20"/>
          <w:szCs w:val="20"/>
          <w:color w:val="auto"/>
        </w:rPr>
      </w:pPr>
    </w:p>
    <w:p>
      <w:pPr>
        <w:jc w:val="both"/>
        <w:ind w:left="1080" w:hanging="532"/>
        <w:spacing w:after="0" w:line="263" w:lineRule="auto"/>
        <w:tabs>
          <w:tab w:leader="none" w:pos="1080" w:val="left"/>
        </w:tabs>
        <w:numPr>
          <w:ilvl w:val="0"/>
          <w:numId w:val="129"/>
        </w:numPr>
        <w:rPr>
          <w:rFonts w:ascii="Arial" w:cs="Arial" w:eastAsia="Arial" w:hAnsi="Arial"/>
          <w:sz w:val="18"/>
          <w:szCs w:val="18"/>
          <w:color w:val="32406B"/>
        </w:rPr>
      </w:pPr>
      <w:r>
        <w:rPr>
          <w:rFonts w:ascii="Arial" w:cs="Arial" w:eastAsia="Arial" w:hAnsi="Arial"/>
          <w:sz w:val="18"/>
          <w:szCs w:val="18"/>
          <w:color w:val="32406B"/>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32406B"/>
        </w:rPr>
        <w:t>2</w:t>
      </w:r>
      <w:r>
        <w:rPr>
          <w:rFonts w:ascii="Arial" w:cs="Arial" w:eastAsia="Arial" w:hAnsi="Arial"/>
          <w:sz w:val="18"/>
          <w:szCs w:val="18"/>
          <w:color w:val="32406B"/>
        </w:rPr>
        <w:t>/</w:t>
      </w:r>
      <w:r>
        <w:rPr>
          <w:rFonts w:ascii="Arial" w:cs="Arial" w:eastAsia="Arial" w:hAnsi="Arial"/>
          <w:sz w:val="15"/>
          <w:szCs w:val="15"/>
          <w:color w:val="32406B"/>
        </w:rPr>
        <w:t>3</w:t>
      </w:r>
      <w:r>
        <w:rPr>
          <w:rFonts w:ascii="Arial" w:cs="Arial" w:eastAsia="Arial" w:hAnsi="Arial"/>
          <w:sz w:val="18"/>
          <w:szCs w:val="18"/>
          <w:color w:val="32406B"/>
        </w:rPr>
        <w:t>%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general, Section 203 defines a “business combination” to include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130"/>
        </w:numPr>
        <w:rPr>
          <w:rFonts w:ascii="Arial" w:cs="Arial" w:eastAsia="Arial" w:hAnsi="Arial"/>
          <w:sz w:val="18"/>
          <w:szCs w:val="18"/>
          <w:color w:val="32406B"/>
        </w:rPr>
      </w:pPr>
      <w:r>
        <w:rPr>
          <w:rFonts w:ascii="Arial" w:cs="Arial" w:eastAsia="Arial" w:hAnsi="Arial"/>
          <w:sz w:val="18"/>
          <w:szCs w:val="18"/>
          <w:color w:val="32406B"/>
        </w:rPr>
        <w:t>any merger or consolidation involving the corporation or any direct or indirect majority-owned subsidiary of the corporation and the interested stockholder;</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0"/>
        </w:numPr>
        <w:rPr>
          <w:rFonts w:ascii="Arial" w:cs="Arial" w:eastAsia="Arial" w:hAnsi="Arial"/>
          <w:sz w:val="18"/>
          <w:szCs w:val="18"/>
          <w:color w:val="32406B"/>
        </w:rPr>
      </w:pPr>
      <w:r>
        <w:rPr>
          <w:rFonts w:ascii="Arial" w:cs="Arial" w:eastAsia="Arial" w:hAnsi="Arial"/>
          <w:sz w:val="18"/>
          <w:szCs w:val="18"/>
          <w:color w:val="32406B"/>
        </w:rPr>
        <w:t>any sale, transfer, pledge or other disposition of 10% or more of the assets of the corporation involving the interested stockholder (in one transaction or a series of transactions);</w:t>
      </w:r>
    </w:p>
    <w:p>
      <w:pPr>
        <w:spacing w:after="0" w:line="75" w:lineRule="exact"/>
        <w:rPr>
          <w:rFonts w:ascii="Arial" w:cs="Arial" w:eastAsia="Arial" w:hAnsi="Arial"/>
          <w:sz w:val="18"/>
          <w:szCs w:val="18"/>
          <w:color w:val="32406B"/>
        </w:rPr>
      </w:pPr>
    </w:p>
    <w:p>
      <w:pPr>
        <w:ind w:left="1080" w:right="20" w:hanging="532"/>
        <w:spacing w:after="0" w:line="308" w:lineRule="auto"/>
        <w:tabs>
          <w:tab w:leader="none" w:pos="1080" w:val="left"/>
        </w:tabs>
        <w:numPr>
          <w:ilvl w:val="0"/>
          <w:numId w:val="130"/>
        </w:numPr>
        <w:rPr>
          <w:rFonts w:ascii="Arial" w:cs="Arial" w:eastAsia="Arial" w:hAnsi="Arial"/>
          <w:sz w:val="17"/>
          <w:szCs w:val="17"/>
          <w:color w:val="32406B"/>
        </w:rPr>
      </w:pPr>
      <w:r>
        <w:rPr>
          <w:rFonts w:ascii="Arial" w:cs="Arial" w:eastAsia="Arial" w:hAnsi="Arial"/>
          <w:sz w:val="17"/>
          <w:szCs w:val="17"/>
          <w:color w:val="32406B"/>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1" w:lineRule="exact"/>
        <w:rPr>
          <w:rFonts w:ascii="Arial" w:cs="Arial" w:eastAsia="Arial" w:hAnsi="Arial"/>
          <w:sz w:val="17"/>
          <w:szCs w:val="17"/>
          <w:color w:val="32406B"/>
        </w:rPr>
      </w:pPr>
    </w:p>
    <w:p>
      <w:pPr>
        <w:jc w:val="both"/>
        <w:ind w:left="1080" w:right="20" w:hanging="532"/>
        <w:spacing w:after="0" w:line="342" w:lineRule="auto"/>
        <w:tabs>
          <w:tab w:leader="none" w:pos="1080" w:val="left"/>
        </w:tabs>
        <w:numPr>
          <w:ilvl w:val="0"/>
          <w:numId w:val="130"/>
        </w:numPr>
        <w:rPr>
          <w:rFonts w:ascii="Arial" w:cs="Arial" w:eastAsia="Arial" w:hAnsi="Arial"/>
          <w:sz w:val="16"/>
          <w:szCs w:val="16"/>
          <w:color w:val="32406B"/>
        </w:rPr>
      </w:pPr>
      <w:r>
        <w:rPr>
          <w:rFonts w:ascii="Arial" w:cs="Arial" w:eastAsia="Arial" w:hAnsi="Arial"/>
          <w:sz w:val="16"/>
          <w:szCs w:val="16"/>
          <w:color w:val="32406B"/>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9" w:lineRule="exact"/>
        <w:rPr>
          <w:rFonts w:ascii="Arial" w:cs="Arial" w:eastAsia="Arial" w:hAnsi="Arial"/>
          <w:sz w:val="16"/>
          <w:szCs w:val="16"/>
          <w:color w:val="32406B"/>
        </w:rPr>
      </w:pPr>
    </w:p>
    <w:p>
      <w:pPr>
        <w:ind w:left="1080" w:right="20" w:hanging="532"/>
        <w:spacing w:after="0" w:line="277" w:lineRule="auto"/>
        <w:tabs>
          <w:tab w:leader="none" w:pos="1080" w:val="left"/>
        </w:tabs>
        <w:numPr>
          <w:ilvl w:val="0"/>
          <w:numId w:val="130"/>
        </w:numPr>
        <w:rPr>
          <w:rFonts w:ascii="Arial" w:cs="Arial" w:eastAsia="Arial" w:hAnsi="Arial"/>
          <w:sz w:val="18"/>
          <w:szCs w:val="18"/>
          <w:color w:val="32406B"/>
        </w:rPr>
      </w:pPr>
      <w:r>
        <w:rPr>
          <w:rFonts w:ascii="Arial" w:cs="Arial" w:eastAsia="Arial" w:hAnsi="Arial"/>
          <w:sz w:val="18"/>
          <w:szCs w:val="18"/>
          <w:color w:val="32406B"/>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Amended and Restated Certificate of Incorporation and Amended and Restated Bylaws</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 66</w:t>
      </w:r>
      <w:r>
        <w:rPr>
          <w:rFonts w:ascii="Arial" w:cs="Arial" w:eastAsia="Arial" w:hAnsi="Arial"/>
          <w:sz w:val="14"/>
          <w:szCs w:val="14"/>
          <w:color w:val="32406B"/>
        </w:rPr>
        <w:t>2</w:t>
      </w:r>
      <w:r>
        <w:rPr>
          <w:rFonts w:ascii="Arial" w:cs="Arial" w:eastAsia="Arial" w:hAnsi="Arial"/>
          <w:sz w:val="17"/>
          <w:szCs w:val="17"/>
          <w:color w:val="32406B"/>
        </w:rPr>
        <w:t>/</w:t>
      </w:r>
      <w:r>
        <w:rPr>
          <w:rFonts w:ascii="Arial" w:cs="Arial" w:eastAsia="Arial" w:hAnsi="Arial"/>
          <w:sz w:val="14"/>
          <w:szCs w:val="14"/>
          <w:color w:val="32406B"/>
        </w:rPr>
        <w:t>3</w:t>
      </w:r>
      <w:r>
        <w:rPr>
          <w:rFonts w:ascii="Arial" w:cs="Arial" w:eastAsia="Arial" w:hAnsi="Arial"/>
          <w:sz w:val="17"/>
          <w:szCs w:val="17"/>
          <w:color w:val="32406B"/>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198</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84" w:lineRule="exact"/>
        <w:rPr>
          <w:sz w:val="20"/>
          <w:szCs w:val="20"/>
          <w:color w:val="auto"/>
        </w:rPr>
      </w:pPr>
    </w:p>
    <w:p>
      <w:pPr>
        <w:jc w:val="both"/>
        <w:ind w:left="120" w:right="20" w:firstLine="440"/>
        <w:spacing w:after="0" w:line="299" w:lineRule="auto"/>
        <w:rPr>
          <w:sz w:val="20"/>
          <w:szCs w:val="20"/>
          <w:color w:val="auto"/>
        </w:rPr>
      </w:pPr>
      <w:r>
        <w:rPr>
          <w:rFonts w:ascii="Arial" w:cs="Arial" w:eastAsia="Arial" w:hAnsi="Arial"/>
          <w:sz w:val="18"/>
          <w:szCs w:val="18"/>
          <w:color w:val="32406B"/>
        </w:rPr>
        <w:t>Our restated certificate and restated bylaws will provide that the stockholders cannot amend many of the provisions described above except by a vote of 66</w:t>
      </w:r>
      <w:r>
        <w:rPr>
          <w:rFonts w:ascii="Arial" w:cs="Arial" w:eastAsia="Arial" w:hAnsi="Arial"/>
          <w:sz w:val="15"/>
          <w:szCs w:val="15"/>
          <w:color w:val="32406B"/>
        </w:rPr>
        <w:t>2</w:t>
      </w:r>
      <w:r>
        <w:rPr>
          <w:rFonts w:ascii="Arial" w:cs="Arial" w:eastAsia="Arial" w:hAnsi="Arial"/>
          <w:sz w:val="18"/>
          <w:szCs w:val="18"/>
          <w:color w:val="32406B"/>
        </w:rPr>
        <w:t>/</w:t>
      </w:r>
      <w:r>
        <w:rPr>
          <w:rFonts w:ascii="Arial" w:cs="Arial" w:eastAsia="Arial" w:hAnsi="Arial"/>
          <w:sz w:val="15"/>
          <w:szCs w:val="15"/>
          <w:color w:val="32406B"/>
        </w:rPr>
        <w:t>3</w:t>
      </w:r>
      <w:r>
        <w:rPr>
          <w:rFonts w:ascii="Arial" w:cs="Arial" w:eastAsia="Arial" w:hAnsi="Arial"/>
          <w:sz w:val="18"/>
          <w:szCs w:val="18"/>
          <w:color w:val="32406B"/>
        </w:rPr>
        <w:t>% or more of our outstanding common stock.</w:t>
      </w:r>
    </w:p>
    <w:p>
      <w:pPr>
        <w:spacing w:after="0" w:line="13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As described in “—Preferred Stock” above, our restated certificate will give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w:t>
      </w:r>
    </w:p>
    <w:p>
      <w:pPr>
        <w:spacing w:after="0" w:line="18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Choice of Forum</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any derivative action or proceeding brought on our behalf;</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any action asserting a breach of fiduciary duty;</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any action asserting a claim against us arising pursuant to the Delaware General Corporation Law, our restated certificate, or our amended and restated bylaws; or</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31"/>
        </w:numPr>
        <w:rPr>
          <w:rFonts w:ascii="Arial" w:cs="Arial" w:eastAsia="Arial" w:hAnsi="Arial"/>
          <w:sz w:val="18"/>
          <w:szCs w:val="18"/>
          <w:color w:val="32406B"/>
        </w:rPr>
      </w:pPr>
      <w:r>
        <w:rPr>
          <w:rFonts w:ascii="Arial" w:cs="Arial" w:eastAsia="Arial" w:hAnsi="Arial"/>
          <w:sz w:val="18"/>
          <w:szCs w:val="18"/>
          <w:color w:val="32406B"/>
        </w:rPr>
        <w:t>any action asserting a claim against us that is governed by the internal affairs doctrine.</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199</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Our amended and restated certificate of incorporation will further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Transfer Agent and Registrar</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The transfer agent and registrar for our common stock is American Stock Transfer &amp; Trust Company, LLC. The transfer agent’s address is 6201 15th Avenue, Brooklyn, New York 11219.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common stock has been approved for listing on the Nasdaq Global Market under the trading symbol “ADGI.”</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200</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SHARES ELIGIBLE FOR FUTURE SALE</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Upon the closing of this offering, we will have outstanding 108,515,660 shares of our common stock, based on the 5,593,240 shares of our common stock that were outstanding on March 31, 2021, after giving effect to the issuance of 18,200,000 shares of our common stock in this offering, assuming no exercise by the underwriters of their option to purchase additional shares of our common stock and the automatic conversion of all outstanding shares of our preferred stock into an aggregate of 84,722,420 shares of common stock upon the closing of this offering. All of the shares of common stock sold in this offering will be freely tradable without restrictions or further registration under the Securities Act, except for any shares sold to our “affiliates,” as that term is defined under Rule 144 under the Securities Act. The remaining 90,315,660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18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76"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32406B"/>
        </w:rPr>
      </w:pPr>
      <w:r>
        <w:rPr>
          <w:rFonts w:ascii="Arial" w:cs="Arial" w:eastAsia="Arial" w:hAnsi="Arial"/>
          <w:sz w:val="18"/>
          <w:szCs w:val="18"/>
          <w:color w:val="32406B"/>
        </w:rPr>
        <w:t>none of the existing restricted shares will be eligible for immediate sale upon the completion of this offering; and</w:t>
      </w:r>
    </w:p>
    <w:p>
      <w:pPr>
        <w:spacing w:after="0" w:line="130" w:lineRule="exact"/>
        <w:rPr>
          <w:rFonts w:ascii="Arial" w:cs="Arial" w:eastAsia="Arial" w:hAnsi="Arial"/>
          <w:sz w:val="18"/>
          <w:szCs w:val="18"/>
          <w:color w:val="32406B"/>
        </w:rPr>
      </w:pPr>
    </w:p>
    <w:p>
      <w:pPr>
        <w:jc w:val="both"/>
        <w:ind w:left="1080" w:right="20" w:hanging="532"/>
        <w:spacing w:after="0" w:line="311" w:lineRule="auto"/>
        <w:tabs>
          <w:tab w:leader="none" w:pos="1080" w:val="left"/>
        </w:tabs>
        <w:numPr>
          <w:ilvl w:val="0"/>
          <w:numId w:val="132"/>
        </w:numPr>
        <w:rPr>
          <w:rFonts w:ascii="Arial" w:cs="Arial" w:eastAsia="Arial" w:hAnsi="Arial"/>
          <w:sz w:val="16"/>
          <w:szCs w:val="16"/>
          <w:color w:val="32406B"/>
        </w:rPr>
      </w:pPr>
      <w:r>
        <w:rPr>
          <w:rFonts w:ascii="Arial" w:cs="Arial" w:eastAsia="Arial" w:hAnsi="Arial"/>
          <w:sz w:val="16"/>
          <w:szCs w:val="16"/>
          <w:color w:val="32406B"/>
        </w:rPr>
        <w:t>90,321,660 restricted shares (which includes 6,000 restricted shares issued subsequent to March 31, 2021)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Rule 144</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Non-Affiliates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Any person who is not deemed to have been one of our affiliates at the time of, or at any time during the three months preceding, a sale may sell an unlimited number of restricted securities under Rule 144 if:</w:t>
      </w:r>
    </w:p>
    <w:p>
      <w:pPr>
        <w:spacing w:after="0" w:line="76" w:lineRule="exact"/>
        <w:rPr>
          <w:sz w:val="20"/>
          <w:szCs w:val="20"/>
          <w:color w:val="auto"/>
        </w:rPr>
      </w:pPr>
    </w:p>
    <w:p>
      <w:pPr>
        <w:ind w:left="1080" w:right="20" w:hanging="532"/>
        <w:spacing w:after="0" w:line="277" w:lineRule="auto"/>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the restricted securities have been held for at least six months, including the holding period of any prior owner other than one of our affiliates (subject to certain exceptions);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we have been subject to the Exchange Act periodic reporting requirements for at least 90 days before the sale; and</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3"/>
        </w:numPr>
        <w:rPr>
          <w:rFonts w:ascii="Arial" w:cs="Arial" w:eastAsia="Arial" w:hAnsi="Arial"/>
          <w:sz w:val="18"/>
          <w:szCs w:val="18"/>
          <w:color w:val="32406B"/>
        </w:rPr>
      </w:pPr>
      <w:r>
        <w:rPr>
          <w:rFonts w:ascii="Arial" w:cs="Arial" w:eastAsia="Arial" w:hAnsi="Arial"/>
          <w:sz w:val="18"/>
          <w:szCs w:val="18"/>
          <w:color w:val="32406B"/>
        </w:rPr>
        <w:t>we are current in our Exchange Act reporting at the time of sale.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201</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Affiliates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92" w:lineRule="exact"/>
        <w:rPr>
          <w:sz w:val="20"/>
          <w:szCs w:val="20"/>
          <w:color w:val="auto"/>
        </w:rPr>
      </w:pPr>
    </w:p>
    <w:p>
      <w:pPr>
        <w:ind w:left="1080" w:right="20" w:hanging="532"/>
        <w:spacing w:after="0" w:line="277" w:lineRule="auto"/>
        <w:tabs>
          <w:tab w:leader="none" w:pos="1080" w:val="left"/>
        </w:tabs>
        <w:numPr>
          <w:ilvl w:val="0"/>
          <w:numId w:val="134"/>
        </w:numPr>
        <w:rPr>
          <w:rFonts w:ascii="Arial" w:cs="Arial" w:eastAsia="Arial" w:hAnsi="Arial"/>
          <w:sz w:val="18"/>
          <w:szCs w:val="18"/>
          <w:color w:val="32406B"/>
        </w:rPr>
      </w:pPr>
      <w:r>
        <w:rPr>
          <w:rFonts w:ascii="Arial" w:cs="Arial" w:eastAsia="Arial" w:hAnsi="Arial"/>
          <w:sz w:val="18"/>
          <w:szCs w:val="18"/>
          <w:color w:val="32406B"/>
        </w:rPr>
        <w:t>1% of the number of shares of our common stock then outstanding, which will equal approximately 1,085,156 shares immediately after the completion of this offering based on the number of shares outstanding as of March 31, 2021; or</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4"/>
        </w:numPr>
        <w:rPr>
          <w:rFonts w:ascii="Arial" w:cs="Arial" w:eastAsia="Arial" w:hAnsi="Arial"/>
          <w:sz w:val="18"/>
          <w:szCs w:val="18"/>
          <w:color w:val="32406B"/>
        </w:rPr>
      </w:pPr>
      <w:r>
        <w:rPr>
          <w:rFonts w:ascii="Arial" w:cs="Arial" w:eastAsia="Arial" w:hAnsi="Arial"/>
          <w:sz w:val="18"/>
          <w:szCs w:val="18"/>
          <w:color w:val="32406B"/>
        </w:rPr>
        <w:t>the average weekly trading volume of our common stock on the stock exchange on which our shares are listed during the four calendar weeks preceding the filing of a notice on Form 144 with respect to the sale.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Rule 701</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Form S-8 Registration Statements</w:t>
      </w:r>
    </w:p>
    <w:p>
      <w:pPr>
        <w:spacing w:after="0" w:line="12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Lock-Up Agreements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We, our executive officers and directors and approximately 100% of the holders of our common stock outstanding on the date of this prospectus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or warrants to purchase shares of our common stock, or any securities convertible into, or exchangeable for or that represent the right to receive shares of our common stock, without the prior written consent of Morgan Stanley &amp; Co. LLC and Jefferies LLC for a period of 180 days from the date of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202</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to the restrictions contained in the lock-up agreements described above, we have entered into an agreement with the holders of our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Registration Rights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Upon the closing of this offering, the holders of 84,722,420 shares of our common stock, including common stock issuable upon the conversion of our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203</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MATERIAL U.S. FEDERAL INCOME TAX CONSEQUENCES TO NON-U.S. HOLDERS OF OUR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COMMON STOCK</w:t>
      </w:r>
    </w:p>
    <w:p>
      <w:pPr>
        <w:spacing w:after="0" w:line="21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The following is a summary of certain material U.S. federal income tax consequences to non-U.S. holders (as defined below) of the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does not address any U.S. federal non-income tax consequences such as estate or gift tax consequences or any tax consequences arising under any state, local, or non-U.S.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This discussion is limited to non-U.S. holders who purchase our common stock offered by this prospectus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certain former citizens or long-term residents of the United States;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partnerships or other entities or arrangements treated as partnerships, pass-throughs, or disregarded entities for U.S. federal income tax purposes (and investors therein), S corporations or other pass-through entities (including hybrid entities);</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“controlled foreign corporations;”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“passive foreign investment companies;”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corporations that accumulate earnings to avoid U.S. federal income tax;</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banks, financial institutions, investment funds, insurance companies, brokers or dealers in securities;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persons who have elected to mark securities to market;</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tax-exempt organizations and governmental organizations;</w:t>
      </w:r>
    </w:p>
    <w:p>
      <w:pPr>
        <w:spacing w:after="0" w:line="130"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tax-qualified retirement plans;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persons that acquired our common stock through the exercise of employee stock options or otherwise as compensation or through a tax-qualified retirement plan;</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7"/>
          <w:szCs w:val="17"/>
          <w:color w:val="32406B"/>
        </w:rPr>
      </w:pPr>
      <w:r>
        <w:rPr>
          <w:rFonts w:ascii="Arial" w:cs="Arial" w:eastAsia="Arial" w:hAnsi="Arial"/>
          <w:sz w:val="17"/>
          <w:szCs w:val="17"/>
          <w:color w:val="32406B"/>
        </w:rPr>
        <w:t>persons that acquired our common stock pursuant to the exercise of warrants or conversion rights under convertible instruments;</w:t>
      </w:r>
    </w:p>
    <w:p>
      <w:pPr>
        <w:spacing w:after="0" w:line="142"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persons who hold common stock that constitutes “qualified small business stock” under Section 1202 of the Code, or “Section 1244 stock” under Section 1244 of the Code;</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persons who acquired our common stock in a transaction subject to the gain rollover provisions of the Code (including Section 1045 of the Code);</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35"/>
        </w:numPr>
        <w:rPr>
          <w:rFonts w:ascii="Arial" w:cs="Arial" w:eastAsia="Arial" w:hAnsi="Arial"/>
          <w:sz w:val="18"/>
          <w:szCs w:val="18"/>
          <w:color w:val="32406B"/>
        </w:rPr>
      </w:pPr>
      <w:r>
        <w:rPr>
          <w:rFonts w:ascii="Arial" w:cs="Arial" w:eastAsia="Arial" w:hAnsi="Arial"/>
          <w:sz w:val="18"/>
          <w:szCs w:val="18"/>
          <w:color w:val="32406B"/>
        </w:rPr>
        <w:t>persons that own, or have owned, actually or constructively, more than 5% of our common stock;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204</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“qualified foreign pension funds” as defined in Section 897(l)(2) of the Code and entities all of the interests of which are held by qualified foreign pension funds; and</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32406B"/>
        </w:rPr>
      </w:pPr>
      <w:r>
        <w:rPr>
          <w:rFonts w:ascii="Arial" w:cs="Arial" w:eastAsia="Arial" w:hAnsi="Arial"/>
          <w:sz w:val="18"/>
          <w:szCs w:val="18"/>
          <w:color w:val="32406B"/>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32406B"/>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Definition of Non-U.S. Holder</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an individual who is a citizen or resident of the United States;</w:t>
      </w:r>
    </w:p>
    <w:p>
      <w:pPr>
        <w:spacing w:after="0" w:line="130"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32406B"/>
        </w:rPr>
      </w:pPr>
    </w:p>
    <w:p>
      <w:pPr>
        <w:ind w:left="1080" w:hanging="532"/>
        <w:spacing w:after="0"/>
        <w:tabs>
          <w:tab w:leader="none" w:pos="10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an estate, the income of which is subject to U.S. federal income tax regardless of its source; or</w:t>
      </w:r>
    </w:p>
    <w:p>
      <w:pPr>
        <w:spacing w:after="0" w:line="130"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137"/>
        </w:numPr>
        <w:rPr>
          <w:rFonts w:ascii="Arial" w:cs="Arial" w:eastAsia="Arial" w:hAnsi="Arial"/>
          <w:sz w:val="18"/>
          <w:szCs w:val="18"/>
          <w:color w:val="32406B"/>
        </w:rPr>
      </w:pPr>
      <w:r>
        <w:rPr>
          <w:rFonts w:ascii="Arial" w:cs="Arial" w:eastAsia="Arial" w:hAnsi="Arial"/>
          <w:sz w:val="18"/>
          <w:szCs w:val="18"/>
          <w:color w:val="32406B"/>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Distributions on Our Common Stock</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As described in the section titled “Dividend Policy,” we have not paid and do not anticipate paying dividends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section titled “—Gain on Disposition of Our Common Stock” below.</w:t>
      </w:r>
    </w:p>
    <w:p>
      <w:pPr>
        <w:spacing w:after="0" w:line="17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Subject to the discussions below regarding effectively connected income, backup withholding, and Sections 1471 through 1474 of the Code, or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(or applicable successor form) certifying such holder’s qualification for the reduced rate. This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205</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certification must be provided to us or the applicable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generally be exempt from U.S. federal withholding tax. To claim the exemption, the non-U.S. holder must generally furnish a valid IRS Form W-8ECI (or applicable successor form) to the applicable withholding agent.</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Gain on Disposition of Our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80" w:hanging="532"/>
        <w:spacing w:after="0" w:line="308" w:lineRule="auto"/>
        <w:tabs>
          <w:tab w:leader="none" w:pos="1080" w:val="left"/>
        </w:tabs>
        <w:numPr>
          <w:ilvl w:val="0"/>
          <w:numId w:val="138"/>
        </w:numPr>
        <w:rPr>
          <w:rFonts w:ascii="Arial" w:cs="Arial" w:eastAsia="Arial" w:hAnsi="Arial"/>
          <w:sz w:val="17"/>
          <w:szCs w:val="17"/>
          <w:color w:val="32406B"/>
        </w:rPr>
      </w:pPr>
      <w:r>
        <w:rPr>
          <w:rFonts w:ascii="Arial" w:cs="Arial" w:eastAsia="Arial" w:hAnsi="Arial"/>
          <w:sz w:val="17"/>
          <w:szCs w:val="17"/>
          <w:color w:val="32406B"/>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51" w:lineRule="exact"/>
        <w:rPr>
          <w:rFonts w:ascii="Arial" w:cs="Arial" w:eastAsia="Arial" w:hAnsi="Arial"/>
          <w:sz w:val="17"/>
          <w:szCs w:val="17"/>
          <w:color w:val="32406B"/>
        </w:rPr>
      </w:pPr>
    </w:p>
    <w:p>
      <w:pPr>
        <w:ind w:left="1080" w:right="20" w:hanging="532"/>
        <w:spacing w:after="0" w:line="277" w:lineRule="auto"/>
        <w:tabs>
          <w:tab w:leader="none" w:pos="1080" w:val="left"/>
        </w:tabs>
        <w:numPr>
          <w:ilvl w:val="0"/>
          <w:numId w:val="138"/>
        </w:numPr>
        <w:rPr>
          <w:rFonts w:ascii="Arial" w:cs="Arial" w:eastAsia="Arial" w:hAnsi="Arial"/>
          <w:sz w:val="18"/>
          <w:szCs w:val="18"/>
          <w:color w:val="32406B"/>
        </w:rPr>
      </w:pPr>
      <w:r>
        <w:rPr>
          <w:rFonts w:ascii="Arial" w:cs="Arial" w:eastAsia="Arial" w:hAnsi="Arial"/>
          <w:sz w:val="18"/>
          <w:szCs w:val="18"/>
          <w:color w:val="32406B"/>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32406B"/>
        </w:rPr>
      </w:pPr>
    </w:p>
    <w:p>
      <w:pPr>
        <w:jc w:val="both"/>
        <w:ind w:left="1080" w:hanging="532"/>
        <w:spacing w:after="0" w:line="259" w:lineRule="auto"/>
        <w:tabs>
          <w:tab w:leader="none" w:pos="1080" w:val="left"/>
        </w:tabs>
        <w:numPr>
          <w:ilvl w:val="0"/>
          <w:numId w:val="138"/>
        </w:numPr>
        <w:rPr>
          <w:rFonts w:ascii="Arial" w:cs="Arial" w:eastAsia="Arial" w:hAnsi="Arial"/>
          <w:sz w:val="18"/>
          <w:szCs w:val="18"/>
          <w:color w:val="32406B"/>
        </w:rPr>
      </w:pPr>
      <w:r>
        <w:rPr>
          <w:rFonts w:ascii="Arial" w:cs="Arial" w:eastAsia="Arial" w:hAnsi="Arial"/>
          <w:sz w:val="18"/>
          <w:szCs w:val="18"/>
          <w:color w:val="32406B"/>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w:t>
      </w:r>
    </w:p>
    <w:p>
      <w:pPr>
        <w:spacing w:after="0" w:line="18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Determining whether we are a USRPHC depends on the fair market value of our U.S. real property interests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Even if we are or were to become a USRPHC, gain arising from the sale or other taxable disposition by a non-U.S. holder of our common stock may not be subject to U.S. federal income tax if our common stock is “regularly traded,” as defined by applicable Treasury Regulations, on an established securities market.</w:t>
      </w:r>
    </w:p>
    <w:p>
      <w:pPr>
        <w:spacing w:after="0" w:line="16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Gain described in the first bullet point above generally will be subject to U.S. federal income tax on a net income basis at the regular U.S. federal income tax rates in the same manner as if such holder were a resident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206</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32406B"/>
        </w:rPr>
        <w:t>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Information Reporting and Backup Withholding</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Withholding on Foreign Entities</w:t>
      </w:r>
    </w:p>
    <w:p>
      <w:pPr>
        <w:spacing w:after="0" w:line="121"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32406B"/>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federal withholding tax of 30% applicable to the gross proceeds of a disposition of our common stock. In its preamble to such proposed Treasury Regulations, the U.S. Treasury Department stated that taxpayers may generally rely on the proposed Treasury Regulations until final regulations are issued.</w:t>
      </w:r>
    </w:p>
    <w:p>
      <w:pPr>
        <w:spacing w:after="0" w:line="16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207</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UNDERWRITING</w:t>
      </w:r>
    </w:p>
    <w:p>
      <w:pPr>
        <w:spacing w:after="0" w:line="22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Under the terms and subject to the conditions in an underwriting agreement dated the date of this prospectus, the underwriters named below, for whom Morgan Stanley &amp; Co. LLC, Jefferies LLC, Stifel, Nicolaus &amp; Company, Incorporated and Guggenheim Securities, LLC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32406B"/>
                <w:w w:val="89"/>
              </w:rPr>
              <w:t>Name</w:t>
            </w:r>
          </w:p>
        </w:tc>
        <w:tc>
          <w:tcPr>
            <w:tcW w:w="6900" w:type="dxa"/>
            <w:vAlign w:val="bottom"/>
            <w:vMerge w:val="restart"/>
          </w:tcPr>
          <w:p>
            <w:pPr>
              <w:spacing w:after="0"/>
              <w:rPr>
                <w:sz w:val="14"/>
                <w:szCs w:val="1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32406B"/>
                <w:w w:val="97"/>
              </w:rPr>
              <w:t>Number of</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5"/>
              </w:rPr>
              <w:t>Shares</w:t>
            </w: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Morgan Stanley &amp; Co. LLC</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rPr>
              <w:t>7,280,000</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32406B"/>
              </w:rPr>
              <w:t>Jefferies LLC</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32406B"/>
              </w:rPr>
              <w:t>5,460,000</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Stifel, Nicolaus &amp; Company, Incorporated</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rPr>
              <w:t>3,094,000</w:t>
            </w: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32406B"/>
              </w:rPr>
              <w:t>Guggenheim Securities, LLC</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32406B"/>
              </w:rPr>
              <w:t>2,366,000</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Total</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32406B"/>
                <w:w w:val="99"/>
              </w:rPr>
              <w:t>18,200,000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The underwriters initially propose to offer part of the shares of common stock directly to the public at the offering price listed on the cover page of this prospectus and part to certain dealers at a price that represents a concession not in excess of $0.714 per share under the public offering price. After the initial offering of the shares of common stock, the offering price and other selling terms may from time to time be varied by the representatives.</w:t>
      </w:r>
    </w:p>
    <w:p>
      <w:pPr>
        <w:spacing w:after="0" w:line="14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We have granted to the underwriters an option, exercisable for 30 days from the date of this prospectus, to purchase up to 2,730,000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2,730,000 shares of common stock.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32406B"/>
                <w:w w:val="97"/>
              </w:rPr>
              <w:t>Per</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32406B"/>
                <w:w w:val="83"/>
              </w:rPr>
              <w:t>Total</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7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32406B"/>
                <w:w w:val="94"/>
              </w:rPr>
              <w:t>No Exercise</w:t>
            </w:r>
          </w:p>
        </w:tc>
        <w:tc>
          <w:tcPr>
            <w:tcW w:w="440" w:type="dxa"/>
            <w:vAlign w:val="bottom"/>
          </w:tcPr>
          <w:p>
            <w:pPr>
              <w:spacing w:after="0"/>
              <w:rPr>
                <w:sz w:val="9"/>
                <w:szCs w:val="9"/>
                <w:color w:val="auto"/>
              </w:rPr>
            </w:pP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32406B"/>
                <w:w w:val="90"/>
              </w:rPr>
              <w:t>Full Exercise</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32406B"/>
                <w:w w:val="92"/>
              </w:rPr>
              <w:t>Share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3"/>
              </w:rPr>
              <w:t>17.00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w w:val="95"/>
              </w:rPr>
              <w:t>309,400,000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w w:val="95"/>
              </w:rPr>
              <w:t>355,810,000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32406B"/>
              </w:rPr>
              <w:t>Underwriting discounts and commissions to be paid by us</w:t>
            </w:r>
          </w:p>
        </w:tc>
        <w:tc>
          <w:tcPr>
            <w:tcW w:w="2920" w:type="dxa"/>
            <w:vAlign w:val="bottom"/>
          </w:tcPr>
          <w:p>
            <w:pPr>
              <w:jc w:val="right"/>
              <w:spacing w:after="0"/>
              <w:rPr>
                <w:sz w:val="20"/>
                <w:szCs w:val="20"/>
                <w:color w:val="auto"/>
              </w:rPr>
            </w:pPr>
            <w:r>
              <w:rPr>
                <w:rFonts w:ascii="Arial" w:cs="Arial" w:eastAsia="Arial" w:hAnsi="Arial"/>
                <w:sz w:val="18"/>
                <w:szCs w:val="18"/>
                <w:color w:val="32406B"/>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32406B"/>
              </w:rPr>
              <w:t>1.19</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32406B"/>
              </w:rPr>
              <w:t>21,658,000</w:t>
            </w:r>
          </w:p>
        </w:tc>
        <w:tc>
          <w:tcPr>
            <w:tcW w:w="440" w:type="dxa"/>
            <w:vAlign w:val="bottom"/>
          </w:tcPr>
          <w:p>
            <w:pPr>
              <w:jc w:val="right"/>
              <w:spacing w:after="0"/>
              <w:rPr>
                <w:sz w:val="20"/>
                <w:szCs w:val="20"/>
                <w:color w:val="auto"/>
              </w:rPr>
            </w:pPr>
            <w:r>
              <w:rPr>
                <w:rFonts w:ascii="Arial" w:cs="Arial" w:eastAsia="Arial" w:hAnsi="Arial"/>
                <w:sz w:val="18"/>
                <w:szCs w:val="18"/>
                <w:color w:val="32406B"/>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32406B"/>
              </w:rPr>
              <w:t>24,906,700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32406B"/>
              </w:rPr>
              <w:t>Proceeds, before expenses, to us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3"/>
              </w:rPr>
              <w:t>15.81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w w:val="95"/>
              </w:rPr>
              <w:t>287,742,000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2406B"/>
                <w:w w:val="95"/>
              </w:rPr>
              <w:t>330,903,300</w:t>
            </w: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2920" w:type="dxa"/>
            <w:vAlign w:val="bottom"/>
          </w:tcPr>
          <w:p>
            <w:pPr>
              <w:jc w:val="right"/>
              <w:ind w:right="1950"/>
              <w:spacing w:after="0"/>
              <w:rPr>
                <w:sz w:val="20"/>
                <w:szCs w:val="20"/>
                <w:color w:val="auto"/>
              </w:rPr>
            </w:pPr>
            <w:r>
              <w:rPr>
                <w:rFonts w:ascii="Arial" w:cs="Arial" w:eastAsia="Arial" w:hAnsi="Arial"/>
                <w:sz w:val="18"/>
                <w:szCs w:val="18"/>
                <w:color w:val="32406B"/>
              </w:rPr>
              <w:t>208</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estimated offering expenses payable by us, exclusive of the underwriting discounts and commissions, are approximately $3.8 million. We have agreed to reimburse the underwriters for expense relating to clearance of this offering with the Financial Industry Regulatory Authority up to $35,000.</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Our common stock has been approved for listing on the Nasdaq Global Market under the trading symbol “ADGI.”</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We and all directors and officers and the holders of approximately 100% of our outstanding stock and stock options have agreed that, without the prior written consent of Morgan Stanley &amp; Co. LLC and Jefferies LLC,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jc w:val="both"/>
        <w:ind w:left="1080" w:hanging="532"/>
        <w:spacing w:after="0" w:line="263" w:lineRule="auto"/>
        <w:tabs>
          <w:tab w:leader="none" w:pos="1080" w:val="left"/>
        </w:tabs>
        <w:numPr>
          <w:ilvl w:val="0"/>
          <w:numId w:val="139"/>
        </w:numPr>
        <w:rPr>
          <w:rFonts w:ascii="Arial" w:cs="Arial" w:eastAsia="Arial" w:hAnsi="Arial"/>
          <w:sz w:val="18"/>
          <w:szCs w:val="18"/>
          <w:color w:val="32406B"/>
        </w:rPr>
      </w:pPr>
      <w:r>
        <w:rPr>
          <w:rFonts w:ascii="Arial" w:cs="Arial" w:eastAsia="Arial" w:hAnsi="Arial"/>
          <w:sz w:val="18"/>
          <w:szCs w:val="18"/>
          <w:color w:val="32406B"/>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9"/>
        </w:numPr>
        <w:rPr>
          <w:rFonts w:ascii="Arial" w:cs="Arial" w:eastAsia="Arial" w:hAnsi="Arial"/>
          <w:sz w:val="18"/>
          <w:szCs w:val="18"/>
          <w:color w:val="32406B"/>
        </w:rPr>
      </w:pPr>
      <w:r>
        <w:rPr>
          <w:rFonts w:ascii="Arial" w:cs="Arial" w:eastAsia="Arial" w:hAnsi="Arial"/>
          <w:sz w:val="18"/>
          <w:szCs w:val="18"/>
          <w:color w:val="32406B"/>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39"/>
        </w:numPr>
        <w:rPr>
          <w:rFonts w:ascii="Arial" w:cs="Arial" w:eastAsia="Arial" w:hAnsi="Arial"/>
          <w:sz w:val="18"/>
          <w:szCs w:val="18"/>
          <w:color w:val="32406B"/>
        </w:rPr>
      </w:pPr>
      <w:r>
        <w:rPr>
          <w:rFonts w:ascii="Arial" w:cs="Arial" w:eastAsia="Arial" w:hAnsi="Arial"/>
          <w:sz w:val="18"/>
          <w:szCs w:val="18"/>
          <w:color w:val="32406B"/>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32406B"/>
        </w:rPr>
        <w:t>whether any such transaction described above is to be settled by delivery of common stock or such other securities, in cash or otherwise. In addition, we and each such person agrees that, without the prior written consent of Morgan Stanley &amp; Co. LLC and Jefferies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restrictions described in the immediately preceding paragraph to do not apply to:</w:t>
      </w:r>
    </w:p>
    <w:p>
      <w:pPr>
        <w:spacing w:after="0" w:line="131" w:lineRule="exact"/>
        <w:rPr>
          <w:sz w:val="20"/>
          <w:szCs w:val="20"/>
          <w:color w:val="auto"/>
        </w:rPr>
      </w:pPr>
    </w:p>
    <w:p>
      <w:pPr>
        <w:jc w:val="both"/>
        <w:ind w:left="1080" w:right="20" w:hanging="532"/>
        <w:spacing w:after="0" w:line="279" w:lineRule="auto"/>
        <w:tabs>
          <w:tab w:leader="none" w:pos="1080" w:val="left"/>
        </w:tabs>
        <w:numPr>
          <w:ilvl w:val="0"/>
          <w:numId w:val="140"/>
        </w:numPr>
        <w:rPr>
          <w:rFonts w:ascii="Arial" w:cs="Arial" w:eastAsia="Arial" w:hAnsi="Arial"/>
          <w:sz w:val="17"/>
          <w:szCs w:val="17"/>
          <w:color w:val="32406B"/>
        </w:rPr>
      </w:pPr>
      <w:r>
        <w:rPr>
          <w:rFonts w:ascii="Arial" w:cs="Arial" w:eastAsia="Arial" w:hAnsi="Arial"/>
          <w:sz w:val="17"/>
          <w:szCs w:val="17"/>
          <w:color w:val="32406B"/>
        </w:rPr>
        <w:t>transactions relating to shares of common stock or other securities acquired in this offering or in open market transactions after the completion of this offering; provided, with respect to our directors, officers and certain of our holders, that no filing under Section 16(a) of the Exchange Act shall be required or shall be voluntarily made during the restricted period in connection with subsequent sales of common stock or other securities acquired in this offering or in such open market transactions;</w:t>
      </w:r>
    </w:p>
    <w:p>
      <w:pPr>
        <w:spacing w:after="0" w:line="76" w:lineRule="exact"/>
        <w:rPr>
          <w:rFonts w:ascii="Arial" w:cs="Arial" w:eastAsia="Arial" w:hAnsi="Arial"/>
          <w:sz w:val="17"/>
          <w:szCs w:val="17"/>
          <w:color w:val="32406B"/>
        </w:rPr>
      </w:pPr>
    </w:p>
    <w:p>
      <w:pPr>
        <w:jc w:val="both"/>
        <w:ind w:left="1080" w:hanging="532"/>
        <w:spacing w:after="0" w:line="269" w:lineRule="auto"/>
        <w:tabs>
          <w:tab w:leader="none" w:pos="1080" w:val="left"/>
        </w:tabs>
        <w:numPr>
          <w:ilvl w:val="0"/>
          <w:numId w:val="140"/>
        </w:numPr>
        <w:rPr>
          <w:rFonts w:ascii="Arial" w:cs="Arial" w:eastAsia="Arial" w:hAnsi="Arial"/>
          <w:sz w:val="17"/>
          <w:szCs w:val="17"/>
          <w:color w:val="32406B"/>
        </w:rPr>
      </w:pPr>
      <w:r>
        <w:rPr>
          <w:rFonts w:ascii="Arial" w:cs="Arial" w:eastAsia="Arial" w:hAnsi="Arial"/>
          <w:sz w:val="17"/>
          <w:szCs w:val="17"/>
          <w:color w:val="32406B"/>
        </w:rPr>
        <w:t xml:space="preserve">transfers or distributions of shares of common stock or any security convertible into or exercisable or exchangeable for common stock (i) as a bona fide gift or charitable contribution, (ii) by will or intestacy or to any immediate family member or to a trust for the direct or indirect benefit of such person and/or any immediate family member of such person, (iii) to general or limited partners, members or stockholders, or holders of similar equity interests, of such person, (iv) in certain cases, if such person is an entity, to partners, members, shareholders, beneficiaries or holders of similar equity interests in such person, or to the estate of any such partners, members, shareholders beneficiaries or holders of similar equity interests or (v) to another corporation, partnership, limited liability company, trust or other business entity, including the subsidiaries of such person, that is a direct or indirect affiliate (as defined in Rule 405 promulgated under the Securities Act of 1933, as amended) of such person, or to any investment fund or other entity that controls or manages, is controlled or managed by or is under common control or common management with such person or affiliates of such person; </w:t>
      </w:r>
      <w:r>
        <w:rPr>
          <w:rFonts w:ascii="Arial" w:cs="Arial" w:eastAsia="Arial" w:hAnsi="Arial"/>
          <w:sz w:val="17"/>
          <w:szCs w:val="17"/>
          <w:i w:val="1"/>
          <w:iCs w:val="1"/>
          <w:color w:val="32406B"/>
        </w:rPr>
        <w:t>provided</w:t>
      </w:r>
      <w:r>
        <w:rPr>
          <w:rFonts w:ascii="Arial" w:cs="Arial" w:eastAsia="Arial" w:hAnsi="Arial"/>
          <w:sz w:val="17"/>
          <w:szCs w:val="17"/>
          <w:color w:val="32406B"/>
        </w:rPr>
        <w:t xml:space="preserve"> that (A) each transferee or distributee shall sign and deliver a lock-up agreement substantially in the form of this agreement and (B) no filing under Section 16(a) of the Exchange Act, reporting a reduction in beneficial ownership of shares of common stock, shall be required or shall be voluntarily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209</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311" w:lineRule="auto"/>
        <w:rPr>
          <w:sz w:val="20"/>
          <w:szCs w:val="20"/>
          <w:color w:val="auto"/>
        </w:rPr>
      </w:pPr>
      <w:r>
        <w:rPr>
          <w:rFonts w:ascii="Arial" w:cs="Arial" w:eastAsia="Arial" w:hAnsi="Arial"/>
          <w:sz w:val="16"/>
          <w:szCs w:val="16"/>
          <w:color w:val="32406B"/>
        </w:rPr>
        <w:t>made during the restricted period (other than, in certain cases of a transfer or distribution pursuant to clause (iii) or (v) above, any Form 5 required to be filed under the Exchange Act following the restricted period if such person is subject to Section 16 reporting with respect to the company under the Exchange Act and indicating by footnote disclosure or otherwise the nature of the transfer or distribution);</w:t>
      </w:r>
    </w:p>
    <w:p>
      <w:pPr>
        <w:spacing w:after="0" w:line="54" w:lineRule="exact"/>
        <w:rPr>
          <w:sz w:val="20"/>
          <w:szCs w:val="20"/>
          <w:color w:val="auto"/>
        </w:rPr>
      </w:pPr>
    </w:p>
    <w:p>
      <w:pPr>
        <w:jc w:val="both"/>
        <w:ind w:left="1080" w:right="20" w:hanging="532"/>
        <w:spacing w:after="0" w:line="296" w:lineRule="auto"/>
        <w:tabs>
          <w:tab w:leader="none" w:pos="1080" w:val="left"/>
        </w:tabs>
        <w:numPr>
          <w:ilvl w:val="0"/>
          <w:numId w:val="141"/>
        </w:numPr>
        <w:rPr>
          <w:rFonts w:ascii="Arial" w:cs="Arial" w:eastAsia="Arial" w:hAnsi="Arial"/>
          <w:sz w:val="16"/>
          <w:szCs w:val="16"/>
          <w:color w:val="32406B"/>
        </w:rPr>
      </w:pPr>
      <w:r>
        <w:rPr>
          <w:rFonts w:ascii="Arial" w:cs="Arial" w:eastAsia="Arial" w:hAnsi="Arial"/>
          <w:sz w:val="16"/>
          <w:szCs w:val="16"/>
          <w:color w:val="32406B"/>
        </w:rPr>
        <w:t>facilitating 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such person or the company regarding the establishment of such plan, such announcement or filing shall include a statement to the effect that no transfer of common stock may be made under such plan during the restricted period;</w:t>
      </w:r>
    </w:p>
    <w:p>
      <w:pPr>
        <w:spacing w:after="0" w:line="66" w:lineRule="exact"/>
        <w:rPr>
          <w:rFonts w:ascii="Arial" w:cs="Arial" w:eastAsia="Arial" w:hAnsi="Arial"/>
          <w:sz w:val="16"/>
          <w:szCs w:val="16"/>
          <w:color w:val="32406B"/>
        </w:rPr>
      </w:pPr>
    </w:p>
    <w:p>
      <w:pPr>
        <w:jc w:val="both"/>
        <w:ind w:left="1080" w:hanging="532"/>
        <w:spacing w:after="0" w:line="255" w:lineRule="auto"/>
        <w:tabs>
          <w:tab w:leader="none" w:pos="1080" w:val="left"/>
        </w:tabs>
        <w:numPr>
          <w:ilvl w:val="0"/>
          <w:numId w:val="141"/>
        </w:numPr>
        <w:rPr>
          <w:rFonts w:ascii="Arial" w:cs="Arial" w:eastAsia="Arial" w:hAnsi="Arial"/>
          <w:sz w:val="18"/>
          <w:szCs w:val="18"/>
          <w:color w:val="32406B"/>
        </w:rPr>
      </w:pPr>
      <w:r>
        <w:rPr>
          <w:rFonts w:ascii="Arial" w:cs="Arial" w:eastAsia="Arial" w:hAnsi="Arial"/>
          <w:sz w:val="18"/>
          <w:szCs w:val="18"/>
          <w:color w:val="32406B"/>
        </w:rPr>
        <w:t>transfers of common stock or any security convertible into or exercisable or exchangeable for common stock by operation of law pursuant to a qualified domestic order or other court order or in connection with a divorce settlement; provided that (i) no filing under Section 16(a) of the Exchange Act or any other public filing or disclosure shall be voluntarily made during the restricted period, and any required filing shall clearly indicate in the footnotes thereto that (A) the filing relates to the circumstances described herein and (B) no securities were sold by such person, and (ii) such person does not otherwise voluntarily effect any other public filing or report regarding such transfers during the restricted period;</w:t>
      </w:r>
    </w:p>
    <w:p>
      <w:pPr>
        <w:spacing w:after="0" w:line="97" w:lineRule="exact"/>
        <w:rPr>
          <w:rFonts w:ascii="Arial" w:cs="Arial" w:eastAsia="Arial" w:hAnsi="Arial"/>
          <w:sz w:val="18"/>
          <w:szCs w:val="18"/>
          <w:color w:val="32406B"/>
        </w:rPr>
      </w:pPr>
    </w:p>
    <w:p>
      <w:pPr>
        <w:jc w:val="both"/>
        <w:ind w:left="1080" w:hanging="532"/>
        <w:spacing w:after="0" w:line="269" w:lineRule="auto"/>
        <w:tabs>
          <w:tab w:leader="none" w:pos="1080" w:val="left"/>
        </w:tabs>
        <w:numPr>
          <w:ilvl w:val="0"/>
          <w:numId w:val="141"/>
        </w:numPr>
        <w:rPr>
          <w:rFonts w:ascii="Arial" w:cs="Arial" w:eastAsia="Arial" w:hAnsi="Arial"/>
          <w:sz w:val="17"/>
          <w:szCs w:val="17"/>
          <w:color w:val="32406B"/>
        </w:rPr>
      </w:pPr>
      <w:r>
        <w:rPr>
          <w:rFonts w:ascii="Arial" w:cs="Arial" w:eastAsia="Arial" w:hAnsi="Arial"/>
          <w:sz w:val="17"/>
          <w:szCs w:val="17"/>
          <w:color w:val="32406B"/>
        </w:rPr>
        <w:t>the receipt by such person from the company of shares of common stock upon the transfer or disposition of shares of common stock or any securities convertible into common stock to the company upon a vesting or settlement event of the company’s securities or vesting of restricted stock unit awards or upon the exercise of options to purchase the company’s securities on a “cashless” or “net exercise” basis, in each case pursuant to any equity incentive plan of the company described in this prospectus and to the extent permitted by the instruments representing such restricted stock unit awards or options outstanding as of the date hereof (and solely to cover the exercise price or withholding tax obligations in connection with such transaction and any transfer to the company for the payment of the exercise price or taxes as a result of such transaction); provided that (i) the shares received upon exercise or settlement of the option are subject to the terms of the lock-up agreement, (ii) no public disclosure or filing under Section 16(a) of the Exchange Act shall be voluntarily made during the restricted period and (iii) to the extent a filing under Section 16(a) of the Exchange Act is required during the restricted period as a result of transfers described herein, it shall clearly indicate that (A) the filing relates to the circumstances described herein, including that the securities remain subject to the terms of a lock-up agreement and (B) no securities were sold by such person other than as contemplated hereby;</w:t>
      </w:r>
    </w:p>
    <w:p>
      <w:pPr>
        <w:spacing w:after="0" w:line="84" w:lineRule="exact"/>
        <w:rPr>
          <w:rFonts w:ascii="Arial" w:cs="Arial" w:eastAsia="Arial" w:hAnsi="Arial"/>
          <w:sz w:val="17"/>
          <w:szCs w:val="17"/>
          <w:color w:val="32406B"/>
        </w:rPr>
      </w:pPr>
    </w:p>
    <w:p>
      <w:pPr>
        <w:jc w:val="both"/>
        <w:ind w:left="1080" w:hanging="532"/>
        <w:spacing w:after="0" w:line="259" w:lineRule="auto"/>
        <w:tabs>
          <w:tab w:leader="none" w:pos="1080" w:val="left"/>
        </w:tabs>
        <w:numPr>
          <w:ilvl w:val="0"/>
          <w:numId w:val="141"/>
        </w:numPr>
        <w:rPr>
          <w:rFonts w:ascii="Arial" w:cs="Arial" w:eastAsia="Arial" w:hAnsi="Arial"/>
          <w:sz w:val="18"/>
          <w:szCs w:val="18"/>
          <w:color w:val="32406B"/>
        </w:rPr>
      </w:pPr>
      <w:r>
        <w:rPr>
          <w:rFonts w:ascii="Arial" w:cs="Arial" w:eastAsia="Arial" w:hAnsi="Arial"/>
          <w:sz w:val="18"/>
          <w:szCs w:val="18"/>
          <w:color w:val="32406B"/>
        </w:rPr>
        <w:t>transfers to the company in connection with the repurchase of common stock in connection with the termination of such person’s employment with the company pursuant to contractual agreements with the company as in effect as of the date hereof and (in certain cases) disclosed to Morgan Stanley &amp; Co. LLC and Jefferies LLC; provided that no public disclosure or filing under Section 16(a) of the Exchange Act shall be required or shall be voluntarily made during the restricted period;</w:t>
      </w:r>
    </w:p>
    <w:p>
      <w:pPr>
        <w:spacing w:after="0" w:line="92"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41"/>
        </w:numPr>
        <w:rPr>
          <w:rFonts w:ascii="Arial" w:cs="Arial" w:eastAsia="Arial" w:hAnsi="Arial"/>
          <w:sz w:val="18"/>
          <w:szCs w:val="18"/>
          <w:color w:val="32406B"/>
        </w:rPr>
      </w:pPr>
      <w:r>
        <w:rPr>
          <w:rFonts w:ascii="Arial" w:cs="Arial" w:eastAsia="Arial" w:hAnsi="Arial"/>
          <w:sz w:val="18"/>
          <w:szCs w:val="18"/>
          <w:color w:val="32406B"/>
        </w:rPr>
        <w:t>the conversion of the outstanding preferred stock of the company described in this prospectus into shares of common stock of the company; provided that such shares of common stock remain subject to the terms of the lock-up agreement; or</w:t>
      </w:r>
    </w:p>
    <w:p>
      <w:pPr>
        <w:spacing w:after="0" w:line="75" w:lineRule="exact"/>
        <w:rPr>
          <w:rFonts w:ascii="Arial" w:cs="Arial" w:eastAsia="Arial" w:hAnsi="Arial"/>
          <w:sz w:val="18"/>
          <w:szCs w:val="18"/>
          <w:color w:val="32406B"/>
        </w:rPr>
      </w:pPr>
    </w:p>
    <w:p>
      <w:pPr>
        <w:jc w:val="both"/>
        <w:ind w:left="1080" w:right="20" w:hanging="532"/>
        <w:spacing w:after="0" w:line="257" w:lineRule="auto"/>
        <w:tabs>
          <w:tab w:leader="none" w:pos="1080" w:val="left"/>
        </w:tabs>
        <w:numPr>
          <w:ilvl w:val="0"/>
          <w:numId w:val="141"/>
        </w:numPr>
        <w:rPr>
          <w:rFonts w:ascii="Arial" w:cs="Arial" w:eastAsia="Arial" w:hAnsi="Arial"/>
          <w:sz w:val="18"/>
          <w:szCs w:val="18"/>
          <w:color w:val="32406B"/>
        </w:rPr>
      </w:pPr>
      <w:r>
        <w:rPr>
          <w:rFonts w:ascii="Arial" w:cs="Arial" w:eastAsia="Arial" w:hAnsi="Arial"/>
          <w:sz w:val="18"/>
          <w:szCs w:val="18"/>
          <w:color w:val="32406B"/>
        </w:rPr>
        <w:t>transfers pursuant to a bona fide third-party tender offer, merger,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such person may agree to transfer, sell, tender or otherwise dispose of common stock or other such securities in connection with such transaction, or vote any common stock or other such securities in favor of any such transaction);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210</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63" w:lineRule="auto"/>
        <w:rPr>
          <w:sz w:val="20"/>
          <w:szCs w:val="20"/>
          <w:color w:val="auto"/>
        </w:rPr>
      </w:pPr>
      <w:r>
        <w:rPr>
          <w:rFonts w:ascii="Arial" w:cs="Arial" w:eastAsia="Arial" w:hAnsi="Arial"/>
          <w:sz w:val="18"/>
          <w:szCs w:val="18"/>
          <w:color w:val="32406B"/>
        </w:rPr>
        <w:t>provided that in the event that such tender offer, merger, consolidation or other such transaction is not completed, such securities held by such person shall remain subject to the provisions of the lock-up agreement. The lock-ups of certain significant shareholders are subject to a pro rata release.</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Morgan Stanley &amp; Co. LLC and Jefferies LLC, in their joint discretion, may release the common stock and other securities subject to the lock-up agreements described above in whole or in part at any time.</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Pricing of the Offering</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211</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European Economic Area</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408"/>
        <w:spacing w:after="0"/>
        <w:tabs>
          <w:tab w:leader="none" w:pos="1080" w:val="left"/>
        </w:tabs>
        <w:numPr>
          <w:ilvl w:val="0"/>
          <w:numId w:val="142"/>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in the Prospectus Regulation;</w:t>
      </w:r>
    </w:p>
    <w:p>
      <w:pPr>
        <w:spacing w:after="0" w:line="130" w:lineRule="exact"/>
        <w:rPr>
          <w:rFonts w:ascii="Arial" w:cs="Arial" w:eastAsia="Arial" w:hAnsi="Arial"/>
          <w:sz w:val="18"/>
          <w:szCs w:val="18"/>
          <w:color w:val="32406B"/>
        </w:rPr>
      </w:pPr>
    </w:p>
    <w:p>
      <w:pPr>
        <w:ind w:left="1080" w:right="20" w:hanging="418"/>
        <w:spacing w:after="0" w:line="277" w:lineRule="auto"/>
        <w:tabs>
          <w:tab w:leader="none" w:pos="1080" w:val="left"/>
        </w:tabs>
        <w:numPr>
          <w:ilvl w:val="0"/>
          <w:numId w:val="142"/>
        </w:numPr>
        <w:rPr>
          <w:rFonts w:ascii="Arial" w:cs="Arial" w:eastAsia="Arial" w:hAnsi="Arial"/>
          <w:sz w:val="18"/>
          <w:szCs w:val="18"/>
          <w:color w:val="32406B"/>
        </w:rPr>
      </w:pPr>
      <w:r>
        <w:rPr>
          <w:rFonts w:ascii="Arial" w:cs="Arial" w:eastAsia="Arial" w:hAnsi="Arial"/>
          <w:sz w:val="18"/>
          <w:szCs w:val="18"/>
          <w:color w:val="32406B"/>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32406B"/>
        </w:rPr>
      </w:pPr>
    </w:p>
    <w:p>
      <w:pPr>
        <w:ind w:left="1080" w:hanging="408"/>
        <w:spacing w:after="0"/>
        <w:tabs>
          <w:tab w:leader="none" w:pos="1080" w:val="left"/>
        </w:tabs>
        <w:numPr>
          <w:ilvl w:val="0"/>
          <w:numId w:val="142"/>
        </w:numPr>
        <w:rPr>
          <w:rFonts w:ascii="Arial" w:cs="Arial" w:eastAsia="Arial" w:hAnsi="Arial"/>
          <w:sz w:val="18"/>
          <w:szCs w:val="18"/>
          <w:color w:val="32406B"/>
        </w:rPr>
      </w:pPr>
      <w:r>
        <w:rPr>
          <w:rFonts w:ascii="Arial" w:cs="Arial" w:eastAsia="Arial" w:hAnsi="Arial"/>
          <w:sz w:val="18"/>
          <w:szCs w:val="18"/>
          <w:color w:val="32406B"/>
        </w:rPr>
        <w:t>in any other circumstances falling within Article 1(4) of the Prospectus Regulation,</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32406B"/>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32406B"/>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United Kingdom</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3" w:lineRule="exact"/>
        <w:rPr>
          <w:sz w:val="20"/>
          <w:szCs w:val="20"/>
          <w:color w:val="auto"/>
        </w:rPr>
      </w:pPr>
    </w:p>
    <w:p>
      <w:pPr>
        <w:ind w:left="1080" w:hanging="408"/>
        <w:spacing w:after="0"/>
        <w:tabs>
          <w:tab w:leader="none" w:pos="1080" w:val="left"/>
        </w:tabs>
        <w:numPr>
          <w:ilvl w:val="0"/>
          <w:numId w:val="143"/>
        </w:numPr>
        <w:rPr>
          <w:rFonts w:ascii="Arial" w:cs="Arial" w:eastAsia="Arial" w:hAnsi="Arial"/>
          <w:sz w:val="18"/>
          <w:szCs w:val="18"/>
          <w:color w:val="32406B"/>
        </w:rPr>
      </w:pPr>
      <w:r>
        <w:rPr>
          <w:rFonts w:ascii="Arial" w:cs="Arial" w:eastAsia="Arial" w:hAnsi="Arial"/>
          <w:sz w:val="18"/>
          <w:szCs w:val="18"/>
          <w:color w:val="32406B"/>
        </w:rPr>
        <w:t>to any legal entity which is a qualified investor as defined in Article 2 of the UK Prospectus Regulation;</w:t>
      </w:r>
    </w:p>
    <w:p>
      <w:pPr>
        <w:spacing w:after="0" w:line="130" w:lineRule="exact"/>
        <w:rPr>
          <w:rFonts w:ascii="Arial" w:cs="Arial" w:eastAsia="Arial" w:hAnsi="Arial"/>
          <w:sz w:val="18"/>
          <w:szCs w:val="18"/>
          <w:color w:val="32406B"/>
        </w:rPr>
      </w:pPr>
    </w:p>
    <w:p>
      <w:pPr>
        <w:ind w:left="1080" w:right="20" w:hanging="418"/>
        <w:spacing w:after="0" w:line="277" w:lineRule="auto"/>
        <w:tabs>
          <w:tab w:leader="none" w:pos="1080" w:val="left"/>
        </w:tabs>
        <w:numPr>
          <w:ilvl w:val="0"/>
          <w:numId w:val="143"/>
        </w:numPr>
        <w:rPr>
          <w:rFonts w:ascii="Arial" w:cs="Arial" w:eastAsia="Arial" w:hAnsi="Arial"/>
          <w:sz w:val="18"/>
          <w:szCs w:val="18"/>
          <w:color w:val="32406B"/>
        </w:rPr>
      </w:pPr>
      <w:r>
        <w:rPr>
          <w:rFonts w:ascii="Arial" w:cs="Arial" w:eastAsia="Arial" w:hAnsi="Arial"/>
          <w:sz w:val="18"/>
          <w:szCs w:val="18"/>
          <w:color w:val="32406B"/>
        </w:rPr>
        <w:t>to fewer than 150 natural or legal persons (other than qualified investors as defined in Article 2 of the UK Prospectus Regulation), subject to obtaining the prior consent of the representatives for any such offer; or</w:t>
      </w:r>
    </w:p>
    <w:p>
      <w:pPr>
        <w:spacing w:after="0" w:line="75" w:lineRule="exact"/>
        <w:rPr>
          <w:rFonts w:ascii="Arial" w:cs="Arial" w:eastAsia="Arial" w:hAnsi="Arial"/>
          <w:sz w:val="18"/>
          <w:szCs w:val="18"/>
          <w:color w:val="32406B"/>
        </w:rPr>
      </w:pPr>
    </w:p>
    <w:p>
      <w:pPr>
        <w:ind w:left="1080" w:hanging="408"/>
        <w:spacing w:after="0"/>
        <w:tabs>
          <w:tab w:leader="none" w:pos="1080" w:val="left"/>
        </w:tabs>
        <w:numPr>
          <w:ilvl w:val="0"/>
          <w:numId w:val="143"/>
        </w:numPr>
        <w:rPr>
          <w:rFonts w:ascii="Arial" w:cs="Arial" w:eastAsia="Arial" w:hAnsi="Arial"/>
          <w:sz w:val="17"/>
          <w:szCs w:val="17"/>
          <w:color w:val="32406B"/>
        </w:rPr>
      </w:pPr>
      <w:r>
        <w:rPr>
          <w:rFonts w:ascii="Arial" w:cs="Arial" w:eastAsia="Arial" w:hAnsi="Arial"/>
          <w:sz w:val="17"/>
          <w:szCs w:val="17"/>
          <w:color w:val="32406B"/>
        </w:rPr>
        <w:t>in any other circumstances falling within section 86 of the Financial Services and Markets Act 2000, as amended, or the FSMA,</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212</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Each underwriter has represented and agreed that:</w:t>
      </w:r>
    </w:p>
    <w:p>
      <w:pPr>
        <w:spacing w:after="0" w:line="131" w:lineRule="exact"/>
        <w:rPr>
          <w:sz w:val="20"/>
          <w:szCs w:val="20"/>
          <w:color w:val="auto"/>
        </w:rPr>
      </w:pPr>
    </w:p>
    <w:p>
      <w:pPr>
        <w:jc w:val="both"/>
        <w:ind w:left="1080" w:right="20" w:hanging="408"/>
        <w:spacing w:after="0" w:line="259" w:lineRule="auto"/>
        <w:tabs>
          <w:tab w:leader="none" w:pos="1080" w:val="left"/>
        </w:tabs>
        <w:numPr>
          <w:ilvl w:val="0"/>
          <w:numId w:val="144"/>
        </w:numPr>
        <w:rPr>
          <w:rFonts w:ascii="Arial" w:cs="Arial" w:eastAsia="Arial" w:hAnsi="Arial"/>
          <w:sz w:val="18"/>
          <w:szCs w:val="18"/>
          <w:color w:val="32406B"/>
        </w:rPr>
      </w:pPr>
      <w:r>
        <w:rPr>
          <w:rFonts w:ascii="Arial" w:cs="Arial" w:eastAsia="Arial" w:hAnsi="Arial"/>
          <w:sz w:val="18"/>
          <w:szCs w:val="18"/>
          <w:color w:val="32406B"/>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32406B"/>
        </w:rPr>
      </w:pPr>
    </w:p>
    <w:p>
      <w:pPr>
        <w:ind w:left="1080" w:right="20" w:hanging="418"/>
        <w:spacing w:after="0" w:line="277" w:lineRule="auto"/>
        <w:tabs>
          <w:tab w:leader="none" w:pos="1080" w:val="left"/>
        </w:tabs>
        <w:numPr>
          <w:ilvl w:val="0"/>
          <w:numId w:val="144"/>
        </w:numPr>
        <w:rPr>
          <w:rFonts w:ascii="Arial" w:cs="Arial" w:eastAsia="Arial" w:hAnsi="Arial"/>
          <w:sz w:val="18"/>
          <w:szCs w:val="18"/>
          <w:color w:val="32406B"/>
        </w:rPr>
      </w:pPr>
      <w:r>
        <w:rPr>
          <w:rFonts w:ascii="Arial" w:cs="Arial" w:eastAsia="Arial" w:hAnsi="Arial"/>
          <w:sz w:val="18"/>
          <w:szCs w:val="18"/>
          <w:color w:val="32406B"/>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Canada</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32406B"/>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Japan</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32406B"/>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213</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 Qualified Institutional Investors (“QII”)</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Please note that the solicitation for newly 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For Non-QII Investors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Please note that the solicitation for newly 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Hong Kong</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Shares of 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common stock which are or are intended to be disposed of only to persons outside Hong Kong or only to “professional investors” in Hong Kong as defined in the Securities and Futures Ordinance and any rules made thereunder.</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Singapore</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Where shares of our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common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214</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32406B"/>
        </w:rPr>
        <w:t>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jc w:val="both"/>
        <w:ind w:left="120" w:right="20" w:hanging="4"/>
        <w:spacing w:after="0" w:line="255" w:lineRule="auto"/>
        <w:tabs>
          <w:tab w:leader="none" w:pos="376" w:val="left"/>
        </w:tabs>
        <w:numPr>
          <w:ilvl w:val="0"/>
          <w:numId w:val="145"/>
        </w:numPr>
        <w:rPr>
          <w:rFonts w:ascii="Arial" w:cs="Arial" w:eastAsia="Arial" w:hAnsi="Arial"/>
          <w:sz w:val="18"/>
          <w:szCs w:val="18"/>
          <w:color w:val="32406B"/>
        </w:rPr>
      </w:pPr>
      <w:r>
        <w:rPr>
          <w:rFonts w:ascii="Arial" w:cs="Arial" w:eastAsia="Arial" w:hAnsi="Arial"/>
          <w:sz w:val="18"/>
          <w:szCs w:val="18"/>
          <w:color w:val="32406B"/>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0"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Where shares of our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i w:val="1"/>
          <w:iCs w:val="1"/>
          <w:color w:val="32406B"/>
        </w:rPr>
        <w:t>Solely for purposes of the notification requirements under Section 309B(1)(c) of the Securities and Futures Act, Chapter 289 of Singapore, the shares of our common stock are “prescribed capital markets products” (as defined in the Securities and Futures (Capital Markets Products) Regulations 2018) and Excluded Investment Products (as defined in MAS Notice SFA 04-N12: Notice on the Sale of Investment Products and MAS Notice FAA-N16:</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32406B"/>
        </w:rPr>
        <w:t>Notice on Recommendations on Investment Products).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Australia</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32406B"/>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215</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Israel</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73"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Switzerland</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This document is not intended to constitute an offer or solicitation to purchase or invest in the securities. The securities may not be publicly offered, directly or indirectly, in Switzerland within the meaning of the Swiss Financial Services Act (“FinSA”) and no application has or will be made to admit the securities to trading on any trading venue (exchange or multilateral trading facility) in Switzerland. Neither this document nor any other offering or marketing material relating to the securities constitutes a prospectus pursuant to the FinSA, and neither this document nor any other offering or marketing material relating to the securities may be publicly distributed or otherwise made publicly available in Switzerland.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216</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LEGAL MATTERS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validity of the shares of common stock offered hereby will be passed upon for us by Cooley LLP, New York, New York. Certain legal matters will be passed upon for the underwriters by Davis Polk &amp; Wardwell LLP, New York, New York. As of the date of this prospectus, GC&amp;H Investments, L.P. and GC&amp;H Investments A1, L.P., entities consisting of current and former partners and associates of Cooley LLP, collectively beneficially hold an aggregate of 64,030 shares of our common stock on an as-converted basis.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EXPERTS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financial statements as of December 31, 2020 and for the period from June 3, 2020 (inception) to December 31, 2020 included in this prospectus have been so included in reliance on the report (which contains an explanatory paragraph relating to the Company’s ability to continue as a going concern as described in Note 1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WHERE YOU CAN FIND MORE INFORMATION</w:t>
      </w:r>
    </w:p>
    <w:p>
      <w:pPr>
        <w:spacing w:after="0" w:line="22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You can read our SEC filings, including the registration statement, over the internet at the SEC’s website at www.sec.gov. Upon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32406B"/>
        </w:rPr>
        <w:t>We also maintain a website at adagiotx.com,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217</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32406B"/>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4"/>
            <w:vMerge w:val="restart"/>
          </w:tcPr>
          <w:p>
            <w:pPr>
              <w:spacing w:after="0"/>
              <w:rPr>
                <w:rFonts w:ascii="Arial" w:cs="Arial" w:eastAsia="Arial" w:hAnsi="Arial"/>
                <w:sz w:val="18"/>
                <w:szCs w:val="18"/>
                <w:color w:val="0000EE"/>
                <w:w w:val="91"/>
              </w:rPr>
            </w:pPr>
            <w:hyperlink w:anchor="page221">
              <w:r>
                <w:rPr>
                  <w:rFonts w:ascii="Arial" w:cs="Arial" w:eastAsia="Arial" w:hAnsi="Arial"/>
                  <w:sz w:val="18"/>
                  <w:szCs w:val="18"/>
                  <w:color w:val="0000EE"/>
                  <w:w w:val="91"/>
                </w:rPr>
                <w:t>Report of Independent Registered Public Accounting Firm</w:t>
              </w:r>
            </w:hyperlink>
          </w:p>
        </w:tc>
        <w:tc>
          <w:tcPr>
            <w:tcW w:w="6420" w:type="dxa"/>
            <w:vAlign w:val="bottom"/>
            <w:gridSpan w:val="3"/>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32406B"/>
                <w:w w:val="89"/>
              </w:rPr>
              <w:t>Page</w:t>
            </w:r>
          </w:p>
        </w:tc>
        <w:tc>
          <w:tcPr>
            <w:tcW w:w="0" w:type="dxa"/>
            <w:vAlign w:val="bottom"/>
          </w:tcPr>
          <w:p>
            <w:pPr>
              <w:spacing w:after="0"/>
              <w:rPr>
                <w:sz w:val="1"/>
                <w:szCs w:val="1"/>
                <w:color w:val="auto"/>
              </w:rPr>
            </w:pPr>
          </w:p>
        </w:tc>
      </w:tr>
      <w:tr>
        <w:trPr>
          <w:trHeight w:val="160"/>
        </w:trPr>
        <w:tc>
          <w:tcPr>
            <w:tcW w:w="4220" w:type="dxa"/>
            <w:vAlign w:val="bottom"/>
            <w:tcBorders>
              <w:bottom w:val="single" w:sz="8" w:color="0000EE"/>
            </w:tcBorders>
            <w:gridSpan w:val="4"/>
            <w:vMerge w:val="continue"/>
          </w:tcPr>
          <w:p>
            <w:pPr>
              <w:spacing w:after="0"/>
              <w:rPr>
                <w:sz w:val="13"/>
                <w:szCs w:val="13"/>
                <w:color w:val="auto"/>
              </w:rPr>
            </w:pPr>
          </w:p>
        </w:tc>
        <w:tc>
          <w:tcPr>
            <w:tcW w:w="6420" w:type="dxa"/>
            <w:vAlign w:val="bottom"/>
            <w:gridSpan w:val="3"/>
            <w:vMerge w:val="continue"/>
          </w:tcPr>
          <w:p>
            <w:pPr>
              <w:spacing w:after="0"/>
              <w:rPr>
                <w:sz w:val="13"/>
                <w:szCs w:val="13"/>
                <w:color w:val="auto"/>
              </w:rPr>
            </w:pPr>
          </w:p>
        </w:tc>
        <w:tc>
          <w:tcPr>
            <w:tcW w:w="320" w:type="dxa"/>
            <w:vAlign w:val="bottom"/>
            <w:tcBorders>
              <w:top w:val="single" w:sz="8" w:color="32406B"/>
            </w:tcBorders>
          </w:tcPr>
          <w:p>
            <w:pPr>
              <w:ind w:left="60"/>
              <w:spacing w:after="0" w:line="142" w:lineRule="exact"/>
              <w:rPr>
                <w:sz w:val="20"/>
                <w:szCs w:val="20"/>
                <w:color w:val="auto"/>
              </w:rPr>
            </w:pPr>
            <w:r>
              <w:rPr>
                <w:rFonts w:ascii="Arial" w:cs="Arial" w:eastAsia="Arial" w:hAnsi="Arial"/>
                <w:sz w:val="16"/>
                <w:szCs w:val="16"/>
                <w:color w:val="32406B"/>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40" w:type="dxa"/>
            <w:vAlign w:val="bottom"/>
            <w:gridSpan w:val="7"/>
          </w:tcPr>
          <w:p>
            <w:pPr>
              <w:spacing w:after="0"/>
              <w:rPr>
                <w:rFonts w:ascii="Arial" w:cs="Arial" w:eastAsia="Arial" w:hAnsi="Arial"/>
                <w:sz w:val="18"/>
                <w:szCs w:val="18"/>
                <w:color w:val="0000EE"/>
              </w:rPr>
            </w:pPr>
            <w:hyperlink w:anchor="page222">
              <w:r>
                <w:rPr>
                  <w:rFonts w:ascii="Arial" w:cs="Arial" w:eastAsia="Arial" w:hAnsi="Arial"/>
                  <w:sz w:val="18"/>
                  <w:szCs w:val="18"/>
                  <w:color w:val="0000EE"/>
                </w:rPr>
                <w:t>Consolidated Balance Sheets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32406B"/>
                <w:w w:val="96"/>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23">
              <w:r>
                <w:rPr>
                  <w:rFonts w:ascii="Arial" w:cs="Arial" w:eastAsia="Arial" w:hAnsi="Arial"/>
                  <w:sz w:val="18"/>
                  <w:szCs w:val="18"/>
                  <w:color w:val="0000EE"/>
                  <w:w w:val="89"/>
                </w:rPr>
                <w:t>Consolidated Statements of Operations and Comprehensive Loss</w:t>
              </w:r>
            </w:hyperlink>
          </w:p>
        </w:tc>
        <w:tc>
          <w:tcPr>
            <w:tcW w:w="596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32406B"/>
                <w:w w:val="96"/>
              </w:rPr>
              <w:t>F-4</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24">
              <w:r>
                <w:rPr>
                  <w:rFonts w:ascii="Arial" w:cs="Arial" w:eastAsia="Arial" w:hAnsi="Arial"/>
                  <w:sz w:val="18"/>
                  <w:szCs w:val="18"/>
                  <w:color w:val="0000EE"/>
                  <w:w w:val="91"/>
                </w:rPr>
                <w:t>Consolidated Statements of Convertible Preferred Stock and Stockholders’ Deficit</w:t>
              </w:r>
            </w:hyperlink>
          </w:p>
        </w:tc>
        <w:tc>
          <w:tcPr>
            <w:tcW w:w="470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32406B"/>
                <w:w w:val="96"/>
              </w:rPr>
              <w:t>F-5</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Consolidated Statements of Cash Flows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32406B"/>
                <w:w w:val="96"/>
              </w:rPr>
              <w:t>F-7</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Notes to Consolidated Financial Statements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32406B"/>
                <w:w w:val="96"/>
              </w:rPr>
              <w:t>F-8</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60" w:type="dxa"/>
            <w:vAlign w:val="bottom"/>
            <w:gridSpan w:val="2"/>
          </w:tcPr>
          <w:p>
            <w:pPr>
              <w:ind w:left="700"/>
              <w:spacing w:after="0"/>
              <w:rPr>
                <w:sz w:val="20"/>
                <w:szCs w:val="20"/>
                <w:color w:val="auto"/>
              </w:rPr>
            </w:pPr>
            <w:r>
              <w:rPr>
                <w:rFonts w:ascii="Arial" w:cs="Arial" w:eastAsia="Arial" w:hAnsi="Arial"/>
                <w:sz w:val="18"/>
                <w:szCs w:val="18"/>
                <w:color w:val="32406B"/>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32406B"/>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To the Board of Directors and Stockholders of Adagio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Opinion on the Financial Statements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32406B"/>
        </w:rPr>
        <w:t>We have audited the accompanying consolidated balance sheet of Adagio Therapeutics, Inc. and its subsidiary (the “Company”) as of December 31, 2020, and the related consolidated statements of operations and comprehensive loss, of convertible preferred stock and stockholders’ deficit and of cash flows for the period from June 3, 2020 (inception) to December 31, 2020, including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period from June 3, 2020 (inception) to December 31, 2020 in conformity with accounting principles generally accepted in the United States of America.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32406B"/>
        </w:rPr>
        <w:t>Substantial Doubt about the Company’s Ability to Continue as a Going Concern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The accompanying consolidated financial statements have been prepared assuming that the Company will continue as a going concern. As discussed in Note 1 to the consolidated financial statements, the Company has incurred recurring losses from operations since inception, expects to continue to generate operating losses for the foreseeable future and will require additional capital to finance its future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32406B"/>
        </w:rPr>
        <w:t>Basis for Opinion</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Boston, Massachusetts</w:t>
      </w:r>
    </w:p>
    <w:p>
      <w:pPr>
        <w:spacing w:after="0" w:line="23" w:lineRule="exact"/>
        <w:rPr>
          <w:sz w:val="20"/>
          <w:szCs w:val="20"/>
          <w:color w:val="auto"/>
        </w:rPr>
      </w:pPr>
    </w:p>
    <w:p>
      <w:pPr>
        <w:jc w:val="both"/>
        <w:ind w:left="560" w:right="20" w:hanging="422"/>
        <w:spacing w:after="0" w:line="260" w:lineRule="auto"/>
        <w:rPr>
          <w:sz w:val="20"/>
          <w:szCs w:val="20"/>
          <w:color w:val="auto"/>
        </w:rPr>
      </w:pPr>
      <w:r>
        <w:rPr>
          <w:rFonts w:ascii="Arial" w:cs="Arial" w:eastAsia="Arial" w:hAnsi="Arial"/>
          <w:sz w:val="18"/>
          <w:szCs w:val="18"/>
          <w:color w:val="32406B"/>
        </w:rPr>
        <w:t>May 21, 2021, except for the effects of the stock split discussed in Note 15 to the consolidated financial statements, as to which the date is August 2, 2021</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32406B"/>
        </w:rPr>
        <w:t>We have served as the Company’s auditor since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BALANCE SHEETS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24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32406B"/>
              </w:rPr>
              <w:t>March 31,</w:t>
            </w:r>
          </w:p>
        </w:tc>
      </w:tr>
      <w:tr>
        <w:trPr>
          <w:trHeight w:val="171"/>
        </w:trPr>
        <w:tc>
          <w:tcPr>
            <w:tcW w:w="8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32406B"/>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32406B"/>
              </w:rPr>
              <w:t>2021</w:t>
            </w:r>
          </w:p>
        </w:tc>
        <w:tc>
          <w:tcPr>
            <w:tcW w:w="1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32406B"/>
                <w:w w:val="91"/>
              </w:rPr>
              <w:t>(unaudited)</w:t>
            </w: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32406B"/>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8"/>
              </w:rPr>
              <w:t>114,988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91,247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Prepaid expenses and other current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2,394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rPr>
              <w:t>3,627</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8"/>
              </w:rPr>
              <w:t>117,382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94,874</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color w:val="32406B"/>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8"/>
              </w:rPr>
              <w:t>117,382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94,874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32406B"/>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8,153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11,317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Accrued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4,919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rPr>
              <w:t>17,360</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13,072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28,677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32406B"/>
              </w:rPr>
              <w:t>Early-exercise liability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32406B"/>
              </w:rPr>
              <w:t>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rPr>
              <w:t>11</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13,083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28,688</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32406B"/>
              </w:rPr>
              <w:t>Commitments and contingencies (Note 7)</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4"/>
              </w:rPr>
              <w:t>Series A convertible preferred stock, $0.0001 par value; 11,237,500 shares authorized, issued and outstanding as of</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32406B"/>
                <w:w w:val="95"/>
              </w:rPr>
              <w:t>December 31, 2020 and March 31, 2021 (unaudited); liquidation preference of $89,900 as of December 31, 2020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and March 31, 2021 (unaudited)</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89,706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89,706</w:t>
            </w: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32406B"/>
                <w:w w:val="95"/>
              </w:rPr>
              <w:t>Series B convertible preferred stock, $0.0001 par value; 1,410,434 shares authorized, issued and outstanding as of</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32406B"/>
                <w:w w:val="95"/>
              </w:rPr>
              <w:t>December 31, 2020 and March 31, 2021 (unaudited); liquidation preference of $80,000 as of December 31, 2020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32406B"/>
              </w:rPr>
              <w:t>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32406B"/>
              </w:rPr>
              <w:t>79,842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rPr>
              <w:t>79,842</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32406B"/>
              </w:rPr>
              <w:t>Stockholders’ deficit: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32406B"/>
                <w:w w:val="96"/>
              </w:rPr>
              <w:t>Common stock, $0.0001 par value; 150,000,000 shares authorized, 28,193,240 shares issued and 5,593,240</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32406B"/>
              </w:rPr>
              <w:t>shares outstanding as of December 31, 2020 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32406B"/>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rPr>
              <w:t>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Treasury stock, at cost; 22,600,000 shares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32406B"/>
              </w:rPr>
              <w:t>Additional paid-in capital</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32406B"/>
              </w:rPr>
              <w:t>154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32406B"/>
              </w:rPr>
              <w:t>741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Accumulated deficit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(65,319)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88"/>
              </w:rPr>
              <w:t>(104,019)</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32406B"/>
              </w:rPr>
              <w:t>Total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95"/>
              </w:rPr>
              <w:t>(65,249)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0"/>
              </w:rPr>
              <w:t>(103,362)</w:t>
            </w:r>
          </w:p>
        </w:tc>
        <w:tc>
          <w:tcPr>
            <w:tcW w:w="120" w:type="dxa"/>
            <w:vAlign w:val="bottom"/>
          </w:tcPr>
          <w:p>
            <w:pPr>
              <w:spacing w:after="0"/>
              <w:rPr>
                <w:sz w:val="20"/>
                <w:szCs w:val="20"/>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8"/>
              </w:rPr>
              <w:t>117,382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32406B"/>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94,874</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OPERATIONS AND COMPREHENSIVE LOSS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32406B"/>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32406B"/>
                <w:w w:val="95"/>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32406B"/>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3"/>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32406B"/>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32406B"/>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32406B"/>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32406B"/>
              </w:rPr>
              <w:t>Research and development</w:t>
            </w:r>
            <w:r>
              <w:rPr>
                <w:rFonts w:ascii="Arial" w:cs="Arial" w:eastAsia="Arial" w:hAnsi="Arial"/>
                <w:sz w:val="15"/>
                <w:szCs w:val="15"/>
                <w:color w:val="32406B"/>
              </w:rPr>
              <w:t>(1)</w:t>
            </w:r>
          </w:p>
        </w:tc>
        <w:tc>
          <w:tcPr>
            <w:tcW w:w="1480" w:type="dxa"/>
            <w:vAlign w:val="bottom"/>
            <w:gridSpan w:val="2"/>
          </w:tcPr>
          <w:p>
            <w:pPr>
              <w:ind w:left="1360"/>
              <w:spacing w:after="0"/>
              <w:rPr>
                <w:sz w:val="20"/>
                <w:szCs w:val="20"/>
                <w:color w:val="auto"/>
              </w:rPr>
            </w:pPr>
            <w:r>
              <w:rPr>
                <w:rFonts w:ascii="Arial" w:cs="Arial" w:eastAsia="Arial" w:hAnsi="Arial"/>
                <w:sz w:val="18"/>
                <w:szCs w:val="18"/>
                <w:color w:val="32406B"/>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32406B"/>
              </w:rPr>
              <w:t>21,992</w:t>
            </w:r>
          </w:p>
        </w:tc>
        <w:tc>
          <w:tcPr>
            <w:tcW w:w="42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34,032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rPr>
              <w:t>Acquired in-process research and development</w:t>
            </w:r>
            <w:r>
              <w:rPr>
                <w:rFonts w:ascii="Arial" w:cs="Arial" w:eastAsia="Arial" w:hAnsi="Arial"/>
                <w:sz w:val="15"/>
                <w:szCs w:val="15"/>
                <w:color w:val="32406B"/>
              </w:rPr>
              <w:t>(2)</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40,125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1,000</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32406B"/>
              </w:rPr>
              <w:t>Selling, general and administrative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2406B"/>
              </w:rPr>
              <w:t>3,210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3,677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Total 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65,327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38,709</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32406B"/>
              </w:rPr>
              <w:t>Loss from operations</w:t>
            </w:r>
          </w:p>
        </w:tc>
        <w:tc>
          <w:tcPr>
            <w:tcW w:w="1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(65,327)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32406B"/>
              </w:rPr>
              <w:t>Interest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32406B"/>
              </w:rPr>
              <w:t>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32406B"/>
              </w:rPr>
              <w:t>Total 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9</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32406B"/>
              </w:rPr>
              <w:t>Net loss and comprehensive loss</w:t>
            </w:r>
          </w:p>
        </w:tc>
        <w:tc>
          <w:tcPr>
            <w:tcW w:w="1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(65,319)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(38,700)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Net loss per share attributable to common stockholders, basic and diluted</w:t>
            </w:r>
          </w:p>
        </w:tc>
        <w:tc>
          <w:tcPr>
            <w:tcW w:w="1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32406B"/>
                <w:w w:val="99"/>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32406B"/>
              </w:rPr>
              <w:t>(18.10)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32406B"/>
              </w:rPr>
              <w:t>Weighted-average common shares outstanding, basic and diluted</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3,608,491</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32406B"/>
            </w:tcBorders>
          </w:tcPr>
          <w:p>
            <w:pPr>
              <w:spacing w:after="0"/>
              <w:rPr>
                <w:sz w:val="11"/>
                <w:szCs w:val="11"/>
                <w:color w:val="auto"/>
              </w:rPr>
            </w:pPr>
          </w:p>
        </w:tc>
        <w:tc>
          <w:tcPr>
            <w:tcW w:w="5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8" w:lineRule="auto"/>
        <w:tabs>
          <w:tab w:leader="none" w:pos="540" w:val="left"/>
        </w:tabs>
        <w:numPr>
          <w:ilvl w:val="0"/>
          <w:numId w:val="146"/>
        </w:numPr>
        <w:rPr>
          <w:rFonts w:ascii="Arial" w:cs="Arial" w:eastAsia="Arial" w:hAnsi="Arial"/>
          <w:sz w:val="18"/>
          <w:szCs w:val="18"/>
          <w:color w:val="32406B"/>
        </w:rPr>
      </w:pPr>
      <w:r>
        <w:rPr>
          <w:rFonts w:ascii="Arial" w:cs="Arial" w:eastAsia="Arial" w:hAnsi="Arial"/>
          <w:sz w:val="18"/>
          <w:szCs w:val="18"/>
          <w:color w:val="32406B"/>
        </w:rPr>
        <w:t>Includes related-party amounts of $595 for the period from June 3, 2020 (inception) to December 31, 2020 and $188 for the three months ended March 31, 2021 (see Note 6).</w:t>
      </w:r>
    </w:p>
    <w:p>
      <w:pPr>
        <w:spacing w:after="0" w:line="1" w:lineRule="exact"/>
        <w:rPr>
          <w:rFonts w:ascii="Arial" w:cs="Arial" w:eastAsia="Arial" w:hAnsi="Arial"/>
          <w:sz w:val="18"/>
          <w:szCs w:val="18"/>
          <w:color w:val="32406B"/>
        </w:rPr>
      </w:pPr>
    </w:p>
    <w:p>
      <w:pPr>
        <w:ind w:left="540" w:right="20" w:hanging="424"/>
        <w:spacing w:after="0" w:line="260" w:lineRule="auto"/>
        <w:tabs>
          <w:tab w:leader="none" w:pos="540" w:val="left"/>
        </w:tabs>
        <w:numPr>
          <w:ilvl w:val="0"/>
          <w:numId w:val="146"/>
        </w:numPr>
        <w:rPr>
          <w:rFonts w:ascii="Arial" w:cs="Arial" w:eastAsia="Arial" w:hAnsi="Arial"/>
          <w:sz w:val="18"/>
          <w:szCs w:val="18"/>
          <w:color w:val="32406B"/>
        </w:rPr>
      </w:pPr>
      <w:r>
        <w:rPr>
          <w:rFonts w:ascii="Arial" w:cs="Arial" w:eastAsia="Arial" w:hAnsi="Arial"/>
          <w:sz w:val="18"/>
          <w:szCs w:val="18"/>
          <w:color w:val="32406B"/>
        </w:rPr>
        <w:t>Includes related-party amounts of $39,915 for the period from June 3, 2020 (inception) to December 31, 2020 and $1,000 for the three months ended March 31, 2021 (see Note 6).</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F-4</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280" w:type="dxa"/>
            <w:vAlign w:val="bottom"/>
          </w:tcPr>
          <w:p>
            <w:pPr>
              <w:spacing w:after="0"/>
              <w:rPr>
                <w:sz w:val="2"/>
                <w:szCs w:val="2"/>
                <w:color w:val="auto"/>
              </w:rPr>
            </w:pPr>
          </w:p>
        </w:tc>
        <w:tc>
          <w:tcPr>
            <w:tcW w:w="170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32406B"/>
                <w:w w:val="91"/>
              </w:rPr>
              <w:t>Series A Convertible</w:t>
            </w:r>
          </w:p>
        </w:tc>
        <w:tc>
          <w:tcPr>
            <w:tcW w:w="16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32406B"/>
                <w:w w:val="91"/>
              </w:rPr>
              <w:t>Series B Convertible</w:t>
            </w:r>
          </w:p>
        </w:tc>
        <w:tc>
          <w:tcPr>
            <w:tcW w:w="20" w:type="dxa"/>
            <w:vAlign w:val="bottom"/>
          </w:tcPr>
          <w:p>
            <w:pPr>
              <w:spacing w:after="0"/>
              <w:rPr>
                <w:sz w:val="2"/>
                <w:szCs w:val="2"/>
                <w:color w:val="auto"/>
              </w:rPr>
            </w:pPr>
          </w:p>
        </w:tc>
        <w:tc>
          <w:tcPr>
            <w:tcW w:w="14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32406B"/>
                <w:w w:val="97"/>
              </w:rPr>
              <w:t>Common Stock</w:t>
            </w: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32406B"/>
              </w:rPr>
              <w:t>Treasury Stock</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Additional</w:t>
            </w:r>
          </w:p>
        </w:tc>
        <w:tc>
          <w:tcPr>
            <w:tcW w:w="60" w:type="dxa"/>
            <w:vAlign w:val="bottom"/>
          </w:tcPr>
          <w:p>
            <w:pPr>
              <w:spacing w:after="0"/>
              <w:rPr>
                <w:sz w:val="2"/>
                <w:szCs w:val="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line="20" w:lineRule="exact"/>
              <w:rPr>
                <w:sz w:val="1"/>
                <w:szCs w:val="1"/>
                <w:color w:val="auto"/>
              </w:rPr>
            </w:pPr>
          </w:p>
        </w:tc>
      </w:tr>
      <w:tr>
        <w:trPr>
          <w:trHeight w:val="135"/>
        </w:trPr>
        <w:tc>
          <w:tcPr>
            <w:tcW w:w="128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1680" w:type="dxa"/>
            <w:vAlign w:val="bottom"/>
            <w:gridSpan w:val="5"/>
            <w:vMerge w:val="continue"/>
          </w:tcPr>
          <w:p>
            <w:pPr>
              <w:spacing w:after="0"/>
              <w:rPr>
                <w:sz w:val="11"/>
                <w:szCs w:val="11"/>
                <w:color w:val="auto"/>
              </w:rPr>
            </w:pPr>
          </w:p>
        </w:tc>
        <w:tc>
          <w:tcPr>
            <w:tcW w:w="20" w:type="dxa"/>
            <w:vAlign w:val="bottom"/>
            <w:shd w:val="clear" w:color="auto" w:fill="32406B"/>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14"/>
                <w:szCs w:val="1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32406B"/>
                <w:w w:val="93"/>
              </w:rPr>
              <w:t>Preferred Stock</w:t>
            </w: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32406B"/>
                <w:w w:val="93"/>
              </w:rPr>
              <w:t>Preferred Stock</w:t>
            </w:r>
          </w:p>
        </w:tc>
        <w:tc>
          <w:tcPr>
            <w:tcW w:w="20" w:type="dxa"/>
            <w:vAlign w:val="bottom"/>
            <w:shd w:val="clear" w:color="auto" w:fill="32406B"/>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2406B"/>
                <w:w w:val="94"/>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Stockholders’</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32406B"/>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32406B"/>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32406B"/>
              </w:rPr>
              <w:t>Amount</w:t>
            </w:r>
          </w:p>
        </w:tc>
        <w:tc>
          <w:tcPr>
            <w:tcW w:w="180" w:type="dxa"/>
            <w:vAlign w:val="bottom"/>
          </w:tcPr>
          <w:p>
            <w:pPr>
              <w:spacing w:after="0"/>
              <w:rPr>
                <w:sz w:val="12"/>
                <w:szCs w:val="12"/>
                <w:color w:val="auto"/>
              </w:rPr>
            </w:pPr>
          </w:p>
        </w:tc>
        <w:tc>
          <w:tcPr>
            <w:tcW w:w="20" w:type="dxa"/>
            <w:vAlign w:val="bottom"/>
            <w:tcBorders>
              <w:top w:val="single" w:sz="8" w:color="32406B"/>
            </w:tcBorders>
            <w:shd w:val="clear" w:color="auto" w:fill="32406B"/>
          </w:tcPr>
          <w:p>
            <w:pPr>
              <w:spacing w:after="0"/>
              <w:rPr>
                <w:sz w:val="12"/>
                <w:szCs w:val="12"/>
                <w:color w:val="auto"/>
              </w:rPr>
            </w:pPr>
          </w:p>
        </w:tc>
        <w:tc>
          <w:tcPr>
            <w:tcW w:w="11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32406B"/>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32406B"/>
                <w:w w:val="90"/>
              </w:rPr>
              <w:t>Amount</w:t>
            </w:r>
          </w:p>
        </w:tc>
        <w:tc>
          <w:tcPr>
            <w:tcW w:w="1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32406B"/>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32406B"/>
                <w:w w:val="90"/>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32406B"/>
                <w:w w:val="94"/>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32406B"/>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32406B"/>
              </w:rPr>
              <w:t>Deficit</w:t>
            </w:r>
          </w:p>
        </w:tc>
        <w:tc>
          <w:tcPr>
            <w:tcW w:w="0" w:type="dxa"/>
            <w:vAlign w:val="bottom"/>
          </w:tcPr>
          <w:p>
            <w:pPr>
              <w:spacing w:after="0"/>
              <w:rPr>
                <w:sz w:val="1"/>
                <w:szCs w:val="1"/>
                <w:color w:val="auto"/>
              </w:rPr>
            </w:pPr>
          </w:p>
        </w:tc>
      </w:tr>
      <w:tr>
        <w:trPr>
          <w:trHeight w:val="178"/>
        </w:trPr>
        <w:tc>
          <w:tcPr>
            <w:tcW w:w="12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32406B"/>
              </w:rPr>
              <w:t>Balances at</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32406B"/>
            </w:tcBorders>
            <w:shd w:val="clear" w:color="auto" w:fill="32406B"/>
          </w:tcPr>
          <w:p>
            <w:pPr>
              <w:spacing w:after="0"/>
              <w:rPr>
                <w:sz w:val="15"/>
                <w:szCs w:val="15"/>
                <w:color w:val="auto"/>
              </w:rPr>
            </w:pPr>
          </w:p>
        </w:tc>
        <w:tc>
          <w:tcPr>
            <w:tcW w:w="1000" w:type="dxa"/>
            <w:vAlign w:val="bottom"/>
            <w:tcBorders>
              <w:top w:val="single" w:sz="8" w:color="auto"/>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32406B"/>
              </w:rPr>
              <w:t>June 3, 2020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32406B"/>
              </w:rPr>
              <w:t>(Inception)</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  $</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2406B"/>
              </w:rPr>
              <w:t>—  $</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20"/>
                <w:szCs w:val="20"/>
                <w:color w:val="auto"/>
              </w:rPr>
            </w:pPr>
          </w:p>
        </w:tc>
        <w:tc>
          <w:tcPr>
            <w:tcW w:w="11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124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color w:val="32406B"/>
              </w:rPr>
              <w:t>—  $</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32406B"/>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32406B"/>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common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stock at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32406B"/>
              </w:rPr>
              <w:t>inception</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32406B"/>
              </w:rPr>
              <w:t>21,250,000</w:t>
            </w:r>
          </w:p>
        </w:tc>
        <w:tc>
          <w:tcPr>
            <w:tcW w:w="24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32406B"/>
              </w:rPr>
              <w:t>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32406B"/>
          </w:tcPr>
          <w:p>
            <w:pPr>
              <w:spacing w:after="0"/>
              <w:rPr>
                <w:sz w:val="17"/>
                <w:szCs w:val="17"/>
                <w:color w:val="auto"/>
              </w:rPr>
            </w:pPr>
          </w:p>
        </w:tc>
        <w:tc>
          <w:tcPr>
            <w:tcW w:w="10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Series A</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preferred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stock in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exchange for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assigned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w w:val="98"/>
              </w:rPr>
              <w:t>rights, license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and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repurchased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5,000,000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87"/>
              </w:rPr>
              <w:t>40,000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20"/>
                <w:szCs w:val="20"/>
                <w:color w:val="auto"/>
              </w:rPr>
            </w:pPr>
          </w:p>
        </w:tc>
        <w:tc>
          <w:tcPr>
            <w:tcW w:w="11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(21,250,000)</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3"/>
              </w:rPr>
              <w:t>21,250,000</w:t>
            </w: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3"/>
              </w:rPr>
              <w:t>(85)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(85)</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32406B"/>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32406B"/>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Series A</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preferred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stock, net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w w:val="91"/>
              </w:rPr>
              <w:t>issuance costs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32406B"/>
              </w:rPr>
              <w:t>of $194</w:t>
            </w:r>
          </w:p>
        </w:tc>
        <w:tc>
          <w:tcPr>
            <w:tcW w:w="860" w:type="dxa"/>
            <w:vAlign w:val="bottom"/>
          </w:tcPr>
          <w:p>
            <w:pPr>
              <w:jc w:val="right"/>
              <w:spacing w:after="0"/>
              <w:rPr>
                <w:sz w:val="20"/>
                <w:szCs w:val="20"/>
                <w:color w:val="auto"/>
              </w:rPr>
            </w:pPr>
            <w:r>
              <w:rPr>
                <w:rFonts w:ascii="Arial" w:cs="Arial" w:eastAsia="Arial" w:hAnsi="Arial"/>
                <w:sz w:val="18"/>
                <w:szCs w:val="18"/>
                <w:color w:val="32406B"/>
              </w:rPr>
              <w:t>6,237,500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32406B"/>
                <w:w w:val="87"/>
              </w:rPr>
              <w:t>49,706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Issuance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32406B"/>
          </w:tcPr>
          <w:p>
            <w:pPr>
              <w:spacing w:after="0"/>
              <w:rPr>
                <w:sz w:val="17"/>
                <w:szCs w:val="17"/>
                <w:color w:val="auto"/>
              </w:rPr>
            </w:pPr>
          </w:p>
        </w:tc>
        <w:tc>
          <w:tcPr>
            <w:tcW w:w="10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Series B</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preferred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stock, net of</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w w:val="91"/>
              </w:rPr>
              <w:t>issuance costs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of $158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4"/>
              </w:rPr>
              <w:t>1,410,434</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w w:val="87"/>
              </w:rPr>
              <w:t>79,842</w:t>
            </w:r>
          </w:p>
        </w:tc>
        <w:tc>
          <w:tcPr>
            <w:tcW w:w="20" w:type="dxa"/>
            <w:vAlign w:val="bottom"/>
            <w:shd w:val="clear" w:color="auto" w:fill="32406B"/>
          </w:tcPr>
          <w:p>
            <w:pPr>
              <w:spacing w:after="0"/>
              <w:rPr>
                <w:sz w:val="20"/>
                <w:szCs w:val="20"/>
                <w:color w:val="auto"/>
              </w:rPr>
            </w:pPr>
          </w:p>
        </w:tc>
        <w:tc>
          <w:tcPr>
            <w:tcW w:w="11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32406B"/>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32406B"/>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restricted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common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stock upon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w w:val="97"/>
              </w:rPr>
              <w:t>early exercise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rPr>
              <w:t>of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32406B"/>
              </w:rPr>
              <w:t>options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32406B"/>
              </w:rPr>
              <w:t>6,943,240</w:t>
            </w:r>
          </w:p>
        </w:tc>
        <w:tc>
          <w:tcPr>
            <w:tcW w:w="24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32406B"/>
              </w:rPr>
              <w:t>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32406B"/>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rPr>
              <w:t>Repurchase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32406B"/>
          </w:tcPr>
          <w:p>
            <w:pPr>
              <w:spacing w:after="0"/>
              <w:rPr>
                <w:sz w:val="17"/>
                <w:szCs w:val="17"/>
                <w:color w:val="auto"/>
              </w:rPr>
            </w:pPr>
          </w:p>
        </w:tc>
        <w:tc>
          <w:tcPr>
            <w:tcW w:w="10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unvested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restricted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stock</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20"/>
                <w:szCs w:val="20"/>
                <w:color w:val="auto"/>
              </w:rPr>
            </w:pPr>
          </w:p>
        </w:tc>
        <w:tc>
          <w:tcPr>
            <w:tcW w:w="11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(1,350,000)</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1,350,000</w:t>
            </w:r>
          </w:p>
        </w:tc>
        <w:tc>
          <w:tcPr>
            <w:tcW w:w="2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color w:val="32406B"/>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shd w:val="clear" w:color="auto" w:fill="32406B"/>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color w:val="32406B"/>
                <w:w w:val="96"/>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32406B"/>
              </w:rPr>
              <w:t>expense</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24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32406B"/>
              </w:rPr>
              <w:t>155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155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32406B"/>
              </w:rPr>
              <w:t>Net loss</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18"/>
                <w:szCs w:val="18"/>
                <w:color w:val="auto"/>
              </w:rPr>
            </w:pPr>
          </w:p>
        </w:tc>
        <w:tc>
          <w:tcPr>
            <w:tcW w:w="11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(65,319)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(65,319)</w:t>
            </w:r>
          </w:p>
        </w:tc>
        <w:tc>
          <w:tcPr>
            <w:tcW w:w="0" w:type="dxa"/>
            <w:vAlign w:val="bottom"/>
          </w:tcPr>
          <w:p>
            <w:pPr>
              <w:spacing w:after="0"/>
              <w:rPr>
                <w:sz w:val="1"/>
                <w:szCs w:val="1"/>
                <w:color w:val="auto"/>
              </w:rPr>
            </w:pPr>
          </w:p>
        </w:tc>
      </w:tr>
      <w:tr>
        <w:trPr>
          <w:trHeight w:val="205"/>
        </w:trPr>
        <w:tc>
          <w:tcPr>
            <w:tcW w:w="1280" w:type="dxa"/>
            <w:vAlign w:val="bottom"/>
          </w:tcPr>
          <w:p>
            <w:pPr>
              <w:spacing w:after="0" w:line="205" w:lineRule="exact"/>
              <w:rPr>
                <w:sz w:val="20"/>
                <w:szCs w:val="20"/>
                <w:color w:val="auto"/>
              </w:rPr>
            </w:pPr>
            <w:r>
              <w:rPr>
                <w:rFonts w:ascii="Arial" w:cs="Arial" w:eastAsia="Arial" w:hAnsi="Arial"/>
                <w:sz w:val="18"/>
                <w:szCs w:val="18"/>
                <w:b w:val="1"/>
                <w:bCs w:val="1"/>
                <w:color w:val="32406B"/>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32406B"/>
            </w:tcBorders>
            <w:shd w:val="clear" w:color="auto" w:fill="32406B"/>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b w:val="1"/>
                <w:bCs w:val="1"/>
                <w:color w:val="32406B"/>
                <w:w w:val="92"/>
              </w:rPr>
              <w:t>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ind w:left="180"/>
              <w:spacing w:after="0"/>
              <w:rPr>
                <w:sz w:val="20"/>
                <w:szCs w:val="20"/>
                <w:color w:val="auto"/>
              </w:rPr>
            </w:pPr>
            <w:r>
              <w:rPr>
                <w:rFonts w:ascii="Arial" w:cs="Arial" w:eastAsia="Arial" w:hAnsi="Arial"/>
                <w:sz w:val="18"/>
                <w:szCs w:val="18"/>
                <w:b w:val="1"/>
                <w:bCs w:val="1"/>
                <w:color w:val="32406B"/>
              </w:rPr>
              <w:t>2020</w:t>
            </w:r>
          </w:p>
        </w:tc>
        <w:tc>
          <w:tcPr>
            <w:tcW w:w="860" w:type="dxa"/>
            <w:vAlign w:val="bottom"/>
          </w:tcPr>
          <w:p>
            <w:pPr>
              <w:jc w:val="right"/>
              <w:spacing w:after="0"/>
              <w:rPr>
                <w:sz w:val="20"/>
                <w:szCs w:val="20"/>
                <w:color w:val="auto"/>
              </w:rPr>
            </w:pPr>
            <w:r>
              <w:rPr>
                <w:rFonts w:ascii="Arial" w:cs="Arial" w:eastAsia="Arial" w:hAnsi="Arial"/>
                <w:sz w:val="18"/>
                <w:szCs w:val="18"/>
                <w:color w:val="32406B"/>
                <w:w w:val="93"/>
              </w:rPr>
              <w:t>11,237,500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32406B"/>
                <w:w w:val="87"/>
              </w:rPr>
              <w:t>89,706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32406B"/>
                <w:w w:val="94"/>
              </w:rPr>
              <w:t>1,410,434</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32406B"/>
                <w:w w:val="87"/>
              </w:rPr>
              <w:t>79,842</w:t>
            </w:r>
          </w:p>
        </w:tc>
        <w:tc>
          <w:tcPr>
            <w:tcW w:w="20" w:type="dxa"/>
            <w:vAlign w:val="bottom"/>
            <w:shd w:val="clear" w:color="auto" w:fill="32406B"/>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32406B"/>
              </w:rPr>
              <w:t>5,593,240</w:t>
            </w:r>
          </w:p>
        </w:tc>
        <w:tc>
          <w:tcPr>
            <w:tcW w:w="240" w:type="dxa"/>
            <w:vAlign w:val="bottom"/>
          </w:tcPr>
          <w:p>
            <w:pPr>
              <w:spacing w:after="0"/>
              <w:rPr>
                <w:sz w:val="20"/>
                <w:szCs w:val="20"/>
                <w:color w:val="auto"/>
              </w:rPr>
            </w:pPr>
            <w:r>
              <w:rPr>
                <w:rFonts w:ascii="Arial" w:cs="Arial" w:eastAsia="Arial" w:hAnsi="Arial"/>
                <w:sz w:val="18"/>
                <w:szCs w:val="18"/>
                <w:color w:val="32406B"/>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32406B"/>
              </w:rPr>
              <w:t>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w w:val="93"/>
              </w:rPr>
              <w:t>22,600,000</w:t>
            </w:r>
          </w:p>
        </w:tc>
        <w:tc>
          <w:tcPr>
            <w:tcW w:w="260" w:type="dxa"/>
            <w:vAlign w:val="bottom"/>
          </w:tcPr>
          <w:p>
            <w:pPr>
              <w:jc w:val="right"/>
              <w:ind w:right="79"/>
              <w:spacing w:after="0"/>
              <w:rPr>
                <w:sz w:val="20"/>
                <w:szCs w:val="20"/>
                <w:color w:val="auto"/>
              </w:rPr>
            </w:pPr>
            <w:r>
              <w:rPr>
                <w:rFonts w:ascii="Arial" w:cs="Arial" w:eastAsia="Arial" w:hAnsi="Arial"/>
                <w:sz w:val="18"/>
                <w:szCs w:val="18"/>
                <w:color w:val="32406B"/>
                <w:w w:val="7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32406B"/>
                <w:w w:val="93"/>
              </w:rPr>
              <w:t>(85)</w:t>
            </w:r>
          </w:p>
        </w:tc>
        <w:tc>
          <w:tcPr>
            <w:tcW w:w="160" w:type="dxa"/>
            <w:vAlign w:val="bottom"/>
            <w:gridSpan w:val="2"/>
          </w:tcPr>
          <w:p>
            <w:pPr>
              <w:ind w:left="60"/>
              <w:spacing w:after="0"/>
              <w:rPr>
                <w:sz w:val="20"/>
                <w:szCs w:val="20"/>
                <w:color w:val="auto"/>
              </w:rPr>
            </w:pPr>
            <w:r>
              <w:rPr>
                <w:rFonts w:ascii="Arial" w:cs="Arial" w:eastAsia="Arial" w:hAnsi="Arial"/>
                <w:sz w:val="18"/>
                <w:szCs w:val="18"/>
                <w:color w:val="32406B"/>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32406B"/>
              </w:rPr>
              <w:t>154</w:t>
            </w:r>
          </w:p>
        </w:tc>
        <w:tc>
          <w:tcPr>
            <w:tcW w:w="20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32406B"/>
              </w:rPr>
              <w:t>(65,319)</w:t>
            </w:r>
          </w:p>
        </w:tc>
        <w:tc>
          <w:tcPr>
            <w:tcW w:w="20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rPr>
              <w:t>(65,249)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32406B"/>
              <w:bottom w:val="single" w:sz="8" w:color="32406B"/>
            </w:tcBorders>
            <w:shd w:val="clear" w:color="auto" w:fill="32406B"/>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F-5</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580" w:type="dxa"/>
            <w:vAlign w:val="bottom"/>
          </w:tcPr>
          <w:p>
            <w:pPr>
              <w:spacing w:after="0"/>
              <w:rPr>
                <w:sz w:val="2"/>
                <w:szCs w:val="2"/>
                <w:color w:val="auto"/>
              </w:rPr>
            </w:pPr>
          </w:p>
        </w:tc>
        <w:tc>
          <w:tcPr>
            <w:tcW w:w="170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32406B"/>
              </w:rPr>
              <w:t>Series A Convertible</w:t>
            </w:r>
          </w:p>
        </w:tc>
        <w:tc>
          <w:tcPr>
            <w:tcW w:w="170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32406B"/>
              </w:rPr>
              <w:t>Series B Convertible</w:t>
            </w:r>
          </w:p>
        </w:tc>
        <w:tc>
          <w:tcPr>
            <w:tcW w:w="20" w:type="dxa"/>
            <w:vAlign w:val="bottom"/>
          </w:tcPr>
          <w:p>
            <w:pPr>
              <w:spacing w:after="0"/>
              <w:rPr>
                <w:sz w:val="2"/>
                <w:szCs w:val="2"/>
                <w:color w:val="auto"/>
              </w:rPr>
            </w:pPr>
          </w:p>
        </w:tc>
        <w:tc>
          <w:tcPr>
            <w:tcW w:w="12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32406B"/>
                <w:w w:val="91"/>
              </w:rPr>
              <w:t>Common Stock</w:t>
            </w: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32406B"/>
                <w:w w:val="92"/>
              </w:rPr>
              <w:t>Treasury Stock</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Additional</w:t>
            </w:r>
          </w:p>
        </w:tc>
        <w:tc>
          <w:tcPr>
            <w:tcW w:w="60" w:type="dxa"/>
            <w:vAlign w:val="bottom"/>
          </w:tcPr>
          <w:p>
            <w:pPr>
              <w:spacing w:after="0"/>
              <w:rPr>
                <w:sz w:val="2"/>
                <w:szCs w:val="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line="20" w:lineRule="exact"/>
              <w:rPr>
                <w:sz w:val="1"/>
                <w:szCs w:val="1"/>
                <w:color w:val="auto"/>
              </w:rPr>
            </w:pPr>
          </w:p>
        </w:tc>
      </w:tr>
      <w:tr>
        <w:trPr>
          <w:trHeight w:val="135"/>
        </w:trPr>
        <w:tc>
          <w:tcPr>
            <w:tcW w:w="1580" w:type="dxa"/>
            <w:vAlign w:val="bottom"/>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20" w:type="dxa"/>
            <w:vAlign w:val="bottom"/>
            <w:shd w:val="clear" w:color="auto" w:fill="32406B"/>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32406B"/>
              </w:rPr>
              <w:t>Preferred Stock</w:t>
            </w:r>
          </w:p>
        </w:tc>
        <w:tc>
          <w:tcPr>
            <w:tcW w:w="17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32406B"/>
              </w:rPr>
              <w:t>Preferred Stock</w:t>
            </w:r>
          </w:p>
        </w:tc>
        <w:tc>
          <w:tcPr>
            <w:tcW w:w="20" w:type="dxa"/>
            <w:vAlign w:val="bottom"/>
            <w:shd w:val="clear" w:color="auto" w:fill="32406B"/>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32406B"/>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32406B"/>
              </w:rPr>
              <w:t>Stockholders’</w:t>
            </w: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88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32406B"/>
              </w:rPr>
              <w:t>Shares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8"/>
              </w:rPr>
              <w:t>Amount</w:t>
            </w:r>
          </w:p>
        </w:tc>
        <w:tc>
          <w:tcPr>
            <w:tcW w:w="120" w:type="dxa"/>
            <w:vAlign w:val="bottom"/>
          </w:tcPr>
          <w:p>
            <w:pPr>
              <w:spacing w:after="0"/>
              <w:rPr>
                <w:sz w:val="12"/>
                <w:szCs w:val="12"/>
                <w:color w:val="auto"/>
              </w:rPr>
            </w:pPr>
          </w:p>
        </w:tc>
        <w:tc>
          <w:tcPr>
            <w:tcW w:w="8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32406B"/>
              </w:rPr>
              <w:t>Shares</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32406B"/>
                <w:w w:val="98"/>
              </w:rPr>
              <w:t>Amount</w:t>
            </w:r>
          </w:p>
        </w:tc>
        <w:tc>
          <w:tcPr>
            <w:tcW w:w="200" w:type="dxa"/>
            <w:vAlign w:val="bottom"/>
          </w:tcPr>
          <w:p>
            <w:pPr>
              <w:spacing w:after="0"/>
              <w:rPr>
                <w:sz w:val="12"/>
                <w:szCs w:val="12"/>
                <w:color w:val="auto"/>
              </w:rPr>
            </w:pPr>
          </w:p>
        </w:tc>
        <w:tc>
          <w:tcPr>
            <w:tcW w:w="20" w:type="dxa"/>
            <w:vAlign w:val="bottom"/>
            <w:tcBorders>
              <w:top w:val="single" w:sz="8" w:color="32406B"/>
            </w:tcBorders>
            <w:shd w:val="clear" w:color="auto" w:fill="32406B"/>
          </w:tcPr>
          <w:p>
            <w:pPr>
              <w:spacing w:after="0"/>
              <w:rPr>
                <w:sz w:val="12"/>
                <w:szCs w:val="12"/>
                <w:color w:val="auto"/>
              </w:rPr>
            </w:pPr>
          </w:p>
        </w:tc>
        <w:tc>
          <w:tcPr>
            <w:tcW w:w="9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32406B"/>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32406B"/>
                <w:w w:val="94"/>
              </w:rPr>
              <w:t>Amount</w:t>
            </w:r>
          </w:p>
        </w:tc>
        <w:tc>
          <w:tcPr>
            <w:tcW w:w="1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32406B"/>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32406B"/>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32406B"/>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32406B"/>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32406B"/>
              </w:rPr>
              <w:t>Deficit</w:t>
            </w:r>
          </w:p>
        </w:tc>
        <w:tc>
          <w:tcPr>
            <w:tcW w:w="0" w:type="dxa"/>
            <w:vAlign w:val="bottom"/>
          </w:tcPr>
          <w:p>
            <w:pPr>
              <w:spacing w:after="0"/>
              <w:rPr>
                <w:sz w:val="1"/>
                <w:szCs w:val="1"/>
                <w:color w:val="auto"/>
              </w:rPr>
            </w:pPr>
          </w:p>
        </w:tc>
      </w:tr>
      <w:tr>
        <w:trPr>
          <w:trHeight w:val="178"/>
        </w:trPr>
        <w:tc>
          <w:tcPr>
            <w:tcW w:w="15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32406B"/>
              </w:rPr>
              <w:t>Balances at</w:t>
            </w: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32406B"/>
            </w:tcBorders>
            <w:shd w:val="clear" w:color="auto" w:fill="32406B"/>
          </w:tcPr>
          <w:p>
            <w:pPr>
              <w:spacing w:after="0"/>
              <w:rPr>
                <w:sz w:val="15"/>
                <w:szCs w:val="15"/>
                <w:color w:val="auto"/>
              </w:rPr>
            </w:pPr>
          </w:p>
        </w:tc>
        <w:tc>
          <w:tcPr>
            <w:tcW w:w="840" w:type="dxa"/>
            <w:vAlign w:val="bottom"/>
            <w:tcBorders>
              <w:top w:val="single" w:sz="8" w:color="auto"/>
              <w:lef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32406B"/>
              </w:rPr>
              <w:t>December 31,</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8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32406B"/>
              </w:rPr>
              <w:t>2020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11,237,500</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$89,706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7"/>
              </w:rPr>
              <w:t>1,410,434</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2406B"/>
                <w:w w:val="95"/>
              </w:rPr>
              <w:t>$79,842</w:t>
            </w:r>
          </w:p>
        </w:tc>
        <w:tc>
          <w:tcPr>
            <w:tcW w:w="20" w:type="dxa"/>
            <w:vAlign w:val="bottom"/>
            <w:shd w:val="clear" w:color="auto" w:fill="32406B"/>
          </w:tcPr>
          <w:p>
            <w:pPr>
              <w:spacing w:after="0"/>
              <w:rPr>
                <w:sz w:val="20"/>
                <w:szCs w:val="20"/>
                <w:color w:val="auto"/>
              </w:rPr>
            </w:pPr>
          </w:p>
        </w:tc>
        <w:tc>
          <w:tcPr>
            <w:tcW w:w="9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5,593,240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w w:val="93"/>
              </w:rPr>
              <w:t>22,600,000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w w:val="93"/>
              </w:rPr>
              <w:t>(85)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32406B"/>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154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32406B"/>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(65,319)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2406B"/>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(65,249)</w:t>
            </w:r>
          </w:p>
        </w:tc>
        <w:tc>
          <w:tcPr>
            <w:tcW w:w="0" w:type="dxa"/>
            <w:vAlign w:val="bottom"/>
          </w:tcPr>
          <w:p>
            <w:pPr>
              <w:spacing w:after="0"/>
              <w:rPr>
                <w:sz w:val="1"/>
                <w:szCs w:val="1"/>
                <w:color w:val="auto"/>
              </w:rPr>
            </w:pPr>
          </w:p>
        </w:tc>
      </w:tr>
      <w:tr>
        <w:trPr>
          <w:trHeight w:val="202"/>
        </w:trPr>
        <w:tc>
          <w:tcPr>
            <w:tcW w:w="1580" w:type="dxa"/>
            <w:vAlign w:val="bottom"/>
          </w:tcPr>
          <w:p>
            <w:pPr>
              <w:spacing w:after="0" w:line="201" w:lineRule="exact"/>
              <w:rPr>
                <w:sz w:val="20"/>
                <w:szCs w:val="20"/>
                <w:color w:val="auto"/>
              </w:rPr>
            </w:pPr>
            <w:r>
              <w:rPr>
                <w:rFonts w:ascii="Arial" w:cs="Arial" w:eastAsia="Arial" w:hAnsi="Arial"/>
                <w:sz w:val="18"/>
                <w:szCs w:val="18"/>
                <w:color w:val="32406B"/>
              </w:rPr>
              <w:t>Stock-based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32406B"/>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color w:val="32406B"/>
              </w:rPr>
              <w:t>compensation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color w:val="32406B"/>
              </w:rPr>
              <w:t>expense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80"/>
              <w:spacing w:after="0"/>
              <w:rPr>
                <w:sz w:val="20"/>
                <w:szCs w:val="20"/>
                <w:color w:val="auto"/>
              </w:rPr>
            </w:pPr>
            <w:r>
              <w:rPr>
                <w:rFonts w:ascii="Arial" w:cs="Arial" w:eastAsia="Arial" w:hAnsi="Arial"/>
                <w:sz w:val="18"/>
                <w:szCs w:val="18"/>
                <w:color w:val="32406B"/>
              </w:rPr>
              <w:t>(unaudited)</w:t>
            </w:r>
          </w:p>
        </w:tc>
        <w:tc>
          <w:tcPr>
            <w:tcW w:w="880" w:type="dxa"/>
            <w:vAlign w:val="bottom"/>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30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2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587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32406B"/>
              </w:rPr>
              <w:t>587</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32406B"/>
                <w:w w:val="96"/>
              </w:rPr>
              <w:t>Net loss (unaudited)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32406B"/>
              </w:rPr>
              <w:t>—</w:t>
            </w:r>
          </w:p>
        </w:tc>
        <w:tc>
          <w:tcPr>
            <w:tcW w:w="20" w:type="dxa"/>
            <w:vAlign w:val="bottom"/>
            <w:shd w:val="clear" w:color="auto" w:fill="32406B"/>
          </w:tcPr>
          <w:p>
            <w:pPr>
              <w:spacing w:after="0"/>
              <w:rPr>
                <w:sz w:val="18"/>
                <w:szCs w:val="18"/>
                <w:color w:val="auto"/>
              </w:rPr>
            </w:pPr>
          </w:p>
        </w:tc>
        <w:tc>
          <w:tcPr>
            <w:tcW w:w="9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(38,700)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(38,700)</w:t>
            </w:r>
          </w:p>
        </w:tc>
        <w:tc>
          <w:tcPr>
            <w:tcW w:w="0" w:type="dxa"/>
            <w:vAlign w:val="bottom"/>
          </w:tcPr>
          <w:p>
            <w:pPr>
              <w:spacing w:after="0"/>
              <w:rPr>
                <w:sz w:val="1"/>
                <w:szCs w:val="1"/>
                <w:color w:val="auto"/>
              </w:rPr>
            </w:pPr>
          </w:p>
        </w:tc>
      </w:tr>
      <w:tr>
        <w:trPr>
          <w:trHeight w:val="205"/>
        </w:trPr>
        <w:tc>
          <w:tcPr>
            <w:tcW w:w="1580" w:type="dxa"/>
            <w:vAlign w:val="bottom"/>
          </w:tcPr>
          <w:p>
            <w:pPr>
              <w:spacing w:after="0" w:line="205" w:lineRule="exact"/>
              <w:rPr>
                <w:sz w:val="20"/>
                <w:szCs w:val="20"/>
                <w:color w:val="auto"/>
              </w:rPr>
            </w:pPr>
            <w:r>
              <w:rPr>
                <w:rFonts w:ascii="Arial" w:cs="Arial" w:eastAsia="Arial" w:hAnsi="Arial"/>
                <w:sz w:val="18"/>
                <w:szCs w:val="18"/>
                <w:b w:val="1"/>
                <w:bCs w:val="1"/>
                <w:color w:val="32406B"/>
              </w:rPr>
              <w:t>Balances at</w:t>
            </w: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32406B"/>
            </w:tcBorders>
            <w:shd w:val="clear" w:color="auto" w:fill="32406B"/>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180"/>
              <w:spacing w:after="0"/>
              <w:rPr>
                <w:sz w:val="20"/>
                <w:szCs w:val="20"/>
                <w:color w:val="auto"/>
              </w:rPr>
            </w:pPr>
            <w:r>
              <w:rPr>
                <w:rFonts w:ascii="Arial" w:cs="Arial" w:eastAsia="Arial" w:hAnsi="Arial"/>
                <w:sz w:val="18"/>
                <w:szCs w:val="18"/>
                <w:b w:val="1"/>
                <w:bCs w:val="1"/>
                <w:color w:val="32406B"/>
              </w:rPr>
              <w:t>March 31, 2021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32406B"/>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80"/>
              <w:spacing w:after="0"/>
              <w:rPr>
                <w:sz w:val="20"/>
                <w:szCs w:val="20"/>
                <w:color w:val="auto"/>
              </w:rPr>
            </w:pPr>
            <w:r>
              <w:rPr>
                <w:rFonts w:ascii="Arial" w:cs="Arial" w:eastAsia="Arial" w:hAnsi="Arial"/>
                <w:sz w:val="18"/>
                <w:szCs w:val="18"/>
                <w:b w:val="1"/>
                <w:bCs w:val="1"/>
                <w:color w:val="32406B"/>
              </w:rPr>
              <w:t>(unaudited)</w:t>
            </w:r>
          </w:p>
        </w:tc>
        <w:tc>
          <w:tcPr>
            <w:tcW w:w="880" w:type="dxa"/>
            <w:vAlign w:val="bottom"/>
          </w:tcPr>
          <w:p>
            <w:pPr>
              <w:jc w:val="right"/>
              <w:spacing w:after="0"/>
              <w:rPr>
                <w:sz w:val="20"/>
                <w:szCs w:val="20"/>
                <w:color w:val="auto"/>
              </w:rPr>
            </w:pPr>
            <w:r>
              <w:rPr>
                <w:rFonts w:ascii="Arial" w:cs="Arial" w:eastAsia="Arial" w:hAnsi="Arial"/>
                <w:sz w:val="18"/>
                <w:szCs w:val="18"/>
                <w:color w:val="32406B"/>
                <w:w w:val="95"/>
              </w:rPr>
              <w:t>11,237,500</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32406B"/>
              </w:rPr>
              <w:t>$89,706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32406B"/>
                <w:w w:val="97"/>
              </w:rPr>
              <w:t>1,410,434</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32406B"/>
                <w:w w:val="95"/>
              </w:rPr>
              <w:t>$79,842</w:t>
            </w:r>
          </w:p>
        </w:tc>
        <w:tc>
          <w:tcPr>
            <w:tcW w:w="20" w:type="dxa"/>
            <w:vAlign w:val="bottom"/>
            <w:shd w:val="clear" w:color="auto" w:fill="32406B"/>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5,593,240</w:t>
            </w:r>
          </w:p>
        </w:tc>
        <w:tc>
          <w:tcPr>
            <w:tcW w:w="300" w:type="dxa"/>
            <w:vAlign w:val="bottom"/>
          </w:tcPr>
          <w:p>
            <w:pPr>
              <w:spacing w:after="0"/>
              <w:rPr>
                <w:sz w:val="20"/>
                <w:szCs w:val="20"/>
                <w:color w:val="auto"/>
              </w:rPr>
            </w:pPr>
            <w:r>
              <w:rPr>
                <w:rFonts w:ascii="Arial" w:cs="Arial" w:eastAsia="Arial" w:hAnsi="Arial"/>
                <w:sz w:val="18"/>
                <w:szCs w:val="18"/>
                <w:color w:val="32406B"/>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32406B"/>
              </w:rPr>
              <w:t>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2406B"/>
                <w:w w:val="93"/>
              </w:rPr>
              <w:t>22,600,000</w:t>
            </w:r>
          </w:p>
        </w:tc>
        <w:tc>
          <w:tcPr>
            <w:tcW w:w="260" w:type="dxa"/>
            <w:vAlign w:val="bottom"/>
          </w:tcPr>
          <w:p>
            <w:pPr>
              <w:spacing w:after="0"/>
              <w:rPr>
                <w:sz w:val="20"/>
                <w:szCs w:val="20"/>
                <w:color w:val="auto"/>
              </w:rPr>
            </w:pPr>
            <w:r>
              <w:rPr>
                <w:rFonts w:ascii="Arial" w:cs="Arial" w:eastAsia="Arial" w:hAnsi="Arial"/>
                <w:sz w:val="18"/>
                <w:szCs w:val="18"/>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32406B"/>
                <w:w w:val="93"/>
              </w:rPr>
              <w:t>(85)</w:t>
            </w:r>
          </w:p>
        </w:tc>
        <w:tc>
          <w:tcPr>
            <w:tcW w:w="140" w:type="dxa"/>
            <w:vAlign w:val="bottom"/>
            <w:gridSpan w:val="2"/>
          </w:tcPr>
          <w:p>
            <w:pPr>
              <w:ind w:left="60"/>
              <w:spacing w:after="0"/>
              <w:rPr>
                <w:sz w:val="20"/>
                <w:szCs w:val="20"/>
                <w:color w:val="auto"/>
              </w:rPr>
            </w:pPr>
            <w:r>
              <w:rPr>
                <w:rFonts w:ascii="Arial" w:cs="Arial" w:eastAsia="Arial" w:hAnsi="Arial"/>
                <w:sz w:val="15"/>
                <w:szCs w:val="15"/>
                <w:color w:val="32406B"/>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741</w:t>
            </w:r>
          </w:p>
        </w:tc>
        <w:tc>
          <w:tcPr>
            <w:tcW w:w="180" w:type="dxa"/>
            <w:vAlign w:val="bottom"/>
            <w:gridSpan w:val="2"/>
          </w:tcPr>
          <w:p>
            <w:pPr>
              <w:ind w:left="60"/>
              <w:spacing w:after="0"/>
              <w:rPr>
                <w:sz w:val="20"/>
                <w:szCs w:val="20"/>
                <w:color w:val="auto"/>
              </w:rPr>
            </w:pPr>
            <w:r>
              <w:rPr>
                <w:rFonts w:ascii="Arial" w:cs="Arial" w:eastAsia="Arial" w:hAnsi="Arial"/>
                <w:sz w:val="18"/>
                <w:szCs w:val="18"/>
                <w:color w:val="32406B"/>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w w:val="95"/>
              </w:rPr>
              <w:t>(104,019)</w:t>
            </w:r>
          </w:p>
        </w:tc>
        <w:tc>
          <w:tcPr>
            <w:tcW w:w="200" w:type="dxa"/>
            <w:vAlign w:val="bottom"/>
            <w:gridSpan w:val="2"/>
          </w:tcPr>
          <w:p>
            <w:pPr>
              <w:ind w:left="60"/>
              <w:spacing w:after="0"/>
              <w:rPr>
                <w:sz w:val="20"/>
                <w:szCs w:val="20"/>
                <w:color w:val="auto"/>
              </w:rPr>
            </w:pPr>
            <w:r>
              <w:rPr>
                <w:rFonts w:ascii="Arial" w:cs="Arial" w:eastAsia="Arial" w:hAnsi="Arial"/>
                <w:sz w:val="18"/>
                <w:szCs w:val="18"/>
                <w:color w:val="32406B"/>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32406B"/>
                <w:w w:val="95"/>
              </w:rPr>
              <w:t>(103,362)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32406B"/>
              <w:bottom w:val="single" w:sz="8" w:color="32406B"/>
            </w:tcBorders>
            <w:shd w:val="clear" w:color="auto" w:fill="32406B"/>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F-6</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32406B"/>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32406B"/>
                <w:w w:val="95"/>
              </w:rPr>
              <w:t>Three Months</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32406B"/>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3"/>
              </w:rPr>
              <w:t>Ended</w:t>
            </w: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32406B"/>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32406B"/>
              </w:rPr>
              <w:t>March 31, 2021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32406B"/>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32406B"/>
              </w:rPr>
              <w:t>Net loss</w:t>
            </w:r>
          </w:p>
        </w:tc>
        <w:tc>
          <w:tcPr>
            <w:tcW w:w="800" w:type="dxa"/>
            <w:vAlign w:val="bottom"/>
            <w:gridSpan w:val="2"/>
          </w:tcPr>
          <w:p>
            <w:pPr>
              <w:ind w:left="680"/>
              <w:spacing w:after="0"/>
              <w:rPr>
                <w:sz w:val="20"/>
                <w:szCs w:val="20"/>
                <w:color w:val="auto"/>
              </w:rPr>
            </w:pPr>
            <w:r>
              <w:rPr>
                <w:rFonts w:ascii="Arial" w:cs="Arial" w:eastAsia="Arial" w:hAnsi="Arial"/>
                <w:sz w:val="18"/>
                <w:szCs w:val="18"/>
                <w:color w:val="32406B"/>
                <w:w w:val="99"/>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32406B"/>
              </w:rPr>
              <w:t>(65,319)</w:t>
            </w: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32406B"/>
              </w:rPr>
              <w:t>(38,700)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32406B"/>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32406B"/>
              </w:rPr>
              <w:t>Non-cash acquired in-process research and development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32406B"/>
              </w:rPr>
              <w:t>39,915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Stock-based compensation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587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32406B"/>
              </w:rPr>
              <w:t>Changes in operating assets and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Prepaid expenses and other current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32406B"/>
              </w:rPr>
              <w:t>(2,394)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(1,178)</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32406B"/>
              </w:rPr>
              <w:t>Accounts payable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32406B"/>
              </w:rPr>
              <w:t>8,153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3,164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Accrued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4,919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12,386</w:t>
            </w: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32406B"/>
              </w:rPr>
              <w:t>Net cash used in operating activities</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(14,571)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(23,741)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Cash flows from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32406B"/>
              </w:rPr>
              <w:t>Proceeds from issuance of convertible preferred stock, net of issuance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32406B"/>
              </w:rPr>
              <w:t>129,548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32406B"/>
              </w:rPr>
              <w:t>Proceeds from early exercises of stock options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32406B"/>
              </w:rPr>
              <w:t>Payments for repurchases of restricted common stock</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32406B"/>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Net cash provided by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129,559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32406B"/>
              </w:rPr>
              <w:t>Net increase (decrease) in cash and cash equivalents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2406B"/>
              </w:rPr>
              <w:t>(23,741)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32406B"/>
              </w:rPr>
              <w:t>Cash and cash equivalents at beginning of period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114,988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32406B"/>
              </w:rPr>
              <w:t>Cash and cash equivalents at end of period</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91,247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32406B"/>
              </w:rPr>
              <w:t>Supplemental disclosure of non-cash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32406B"/>
              </w:rPr>
              <w:t>Deferred offering costs included in accrued expenses</w:t>
            </w:r>
          </w:p>
        </w:tc>
        <w:tc>
          <w:tcPr>
            <w:tcW w:w="800" w:type="dxa"/>
            <w:vAlign w:val="bottom"/>
            <w:gridSpan w:val="2"/>
          </w:tcPr>
          <w:p>
            <w:pPr>
              <w:ind w:left="680"/>
              <w:spacing w:after="0"/>
              <w:rPr>
                <w:sz w:val="20"/>
                <w:szCs w:val="20"/>
                <w:color w:val="auto"/>
              </w:rPr>
            </w:pPr>
            <w:r>
              <w:rPr>
                <w:rFonts w:ascii="Arial" w:cs="Arial" w:eastAsia="Arial" w:hAnsi="Arial"/>
                <w:sz w:val="18"/>
                <w:szCs w:val="18"/>
                <w:color w:val="32406B"/>
                <w:w w:val="9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32406B"/>
              </w:rPr>
              <w:t>55</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32406B"/>
                <w:w w:val="98"/>
              </w:rPr>
              <w:t>Issuance of Series A convertible preferred stock in exchange for assigned rights, license and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32406B"/>
              </w:rPr>
              <w:t>repurchased common stock</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32406B"/>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40,000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F-7</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 Nature of the Business and Basis of Presentation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Adagio Therapeutics, Inc., together with its consolidated subsidiary (the “Company”), is a clinical-stage biopharmaceutical company focused on the discovery, development and commercialization of antibody-based solutions for infectious diseases with pandemic potential. The Company’s initial focus is on the virus SARS-CoV-2, its variants and the disease caused by this virus, which is known as Coronavirus Infectious Disease (“COVID-19”). The Company initiated clinical trials for its lead product candidate, ADG20, in February 2021. The Company was incorporated in the State of Delaware in June 2020. The Company operates as a virtual company and, thus, does not maintain a corporate headquarters or other significant facilities. In addition, the Company engages third parties, including Adimab, LLC (“Adimab”), to perform ongoing research and development and other services on its behalf.</w:t>
      </w:r>
    </w:p>
    <w:p>
      <w:pPr>
        <w:spacing w:after="0" w:line="19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In July 2020, the Company entered into an assignment and license agreement with Adimab pursuant to which it acquired certain rights to Adimab’s antibodies relating to COVID-19 and severe acute respiratory syndrome (“SARS”) as well as related provisional patent applications, know-how and data generated with respect to the associated antibodies. In addition, Adimab granted to the Company a non-exclusive, worldwide license to certain of Adimab’s platform patents and technology for use in research and development. In connection with the transfer of the rights acquired and license received, the Company issued 5,000,000 shares of its Series A convertible preferred stock to Adimab (see Note 6). As of December 31, 2020 and March 31, 2021 (unaudited), Adimab, a related party, held approximately 39.5% of the Company’s outstanding capital stock.</w:t>
      </w:r>
    </w:p>
    <w:p>
      <w:pPr>
        <w:spacing w:after="0" w:line="16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The Company is subject to risks and uncertainties common to early-stage companies in the biopharmaceutical industry, including, but not limited to, completing preclinical studies and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the COVID-19 coronavirus, dependence on key personnel, the ability to attract and retain qualified employees, reliance on third-party organizations and the clinical and commercial success of its product candidates.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32406B"/>
        </w:rPr>
        <w:t>The Company has not generated any revenue since inception. The Company’s lead product candidate will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The accompanying consolidated financial statements have been prepared in conformity with accounting principles generally accepted in the United States of America (“GAAP”) and include the accounts of Adagio Therapeutics, Inc. and its wholly owned subsidiary, Adagio Therapeutics Security Corporation. All intercompany balances and transactions have been eliminated in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Going Concern</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Through December 31, 2020 and March 31, 2021 (unaudited), the Company has funded its operations with proceeds from sales of its convertible preferred stock. The Company has incurred recurring losses since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F-8</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32406B"/>
        </w:rPr>
        <w:t>inception, including net losses of $65.3 million for the period from June 3, 2020 (inception) to December 31, 2020 and $38.7 million for the three months ended March 31, 2021 (unaudited). In addition, as of December 31, 2020 and March 31, 2021 (unaudited), the Company had an accumulated deficit of $65.3 million and $104.0 million, respectively. The Company expects to continue to generate significant operating losses for the foreseeable future. As of May 21, 2021, the issuance date of the consolidated financial statements for the period from June 3, 2020 (inception) to December 31, 2020 and of the interim consolidated financial statements for the three months ended March 31, 2021, the Company expects that its existing cash and cash equivalents, including the $335.5 million of gross proceeds it received from the issuance and sale of its Series C convertible preferred stock in April 2021 (see Note 15), will be sufficient to fund its operating expenses and capital expenditure requirements through March 31, 2022. The future viability of the Company beyond that point is dependent on its ability to raise additional capital to finance its operations.</w:t>
      </w:r>
    </w:p>
    <w:p>
      <w:pPr>
        <w:spacing w:after="0" w:line="16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The Company is seeking to complete an initial public offering (“IPO”) of its common stock. Upon the closing of a qualifying public offering on specified terms, the Company’s outstanding convertible preferred stock will automatically convert into common stock (see Notes 8 and 15).</w:t>
      </w:r>
    </w:p>
    <w:p>
      <w:pPr>
        <w:spacing w:after="0" w:line="14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In the event the Company does not complete an IPO, the Company expects to seek additional funding through private equity financings,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Based on its recurring losses from operations incurred since inception, expectation of continuing operating losses for the foreseeable future, and the need to raise additional capital to finance its future operations, as of May 21, 2021, the issuance date of the consolidated financial statements for the period from June 3, 2020 (inception) to December 31, 2020 and of the interim consolidated financial statements for the three months ended March 31, 2021, the Company has concluded that there is substantial doubt about its ability to continue as a going concern for a period of one year from the date that these consolidated financial statements are issued.</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The accompanying consolidated financial statements do not include any adjustments relating to the recoverability and classification of recorded asset amounts or the amounts and classification of liabilities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Impact of the COVID-19 Coronavirus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F-9</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32406B"/>
        </w:rPr>
        <w:t>continued emergence of variants of concern, the availability, administration and acceptance of vaccines and monoclonal antibodies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14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ultimate extent of the impact of the COVID-19 pandemic on the Company’s business, financial condition, operations and product development timelines and plans remains highly uncertain and will depend on future developments, including the duration and spread of the outbreak and its impact on the Company’s clinical trial design and enrollment, trial sites, contract research organizations, contract manufacturing organizations and other third parties with which it does business, as well as its impact on regulatory authorities and the Company’s key scientific and management personnel. To date, the Company has not experienced significant delays or disruptions in its development activities as a result of the COVID-19 pandemic but may in the future as the outbreak progresses and some of its contract research organizations, contract manufacturing organizations and other service providers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may materially adversely affect the Company’s results and operations and its ability to raise capital.</w:t>
      </w:r>
    </w:p>
    <w:p>
      <w:pPr>
        <w:spacing w:after="0" w:line="278" w:lineRule="exact"/>
        <w:rPr>
          <w:sz w:val="20"/>
          <w:szCs w:val="20"/>
          <w:color w:val="auto"/>
        </w:rPr>
      </w:pPr>
    </w:p>
    <w:p>
      <w:pPr>
        <w:ind w:left="560" w:right="7460" w:hanging="444"/>
        <w:spacing w:after="0" w:line="378" w:lineRule="auto"/>
        <w:tabs>
          <w:tab w:leader="none" w:pos="300" w:val="left"/>
        </w:tabs>
        <w:numPr>
          <w:ilvl w:val="0"/>
          <w:numId w:val="147"/>
        </w:numPr>
        <w:rPr>
          <w:rFonts w:ascii="Arial" w:cs="Arial" w:eastAsia="Arial" w:hAnsi="Arial"/>
          <w:sz w:val="18"/>
          <w:szCs w:val="18"/>
          <w:b w:val="1"/>
          <w:bCs w:val="1"/>
          <w:color w:val="32406B"/>
        </w:rPr>
      </w:pPr>
      <w:r>
        <w:rPr>
          <w:rFonts w:ascii="Arial" w:cs="Arial" w:eastAsia="Arial" w:hAnsi="Arial"/>
          <w:sz w:val="18"/>
          <w:szCs w:val="18"/>
          <w:b w:val="1"/>
          <w:bCs w:val="1"/>
          <w:color w:val="32406B"/>
        </w:rPr>
        <w:t xml:space="preserve">Summary of Significant Accounting Policies </w:t>
      </w:r>
      <w:r>
        <w:rPr>
          <w:rFonts w:ascii="Arial" w:cs="Arial" w:eastAsia="Arial" w:hAnsi="Arial"/>
          <w:sz w:val="18"/>
          <w:szCs w:val="18"/>
          <w:b w:val="1"/>
          <w:bCs w:val="1"/>
          <w:i w:val="1"/>
          <w:iCs w:val="1"/>
          <w:color w:val="32406B"/>
        </w:rPr>
        <w:t>Use of Estimates</w:t>
      </w:r>
    </w:p>
    <w:p>
      <w:pPr>
        <w:jc w:val="both"/>
        <w:ind w:left="120" w:firstLine="440"/>
        <w:spacing w:after="0" w:line="271" w:lineRule="auto"/>
        <w:rPr>
          <w:sz w:val="20"/>
          <w:szCs w:val="20"/>
          <w:color w:val="auto"/>
        </w:rPr>
      </w:pPr>
      <w:r>
        <w:rPr>
          <w:rFonts w:ascii="Arial" w:cs="Arial" w:eastAsia="Arial" w:hAnsi="Arial"/>
          <w:sz w:val="17"/>
          <w:szCs w:val="17"/>
          <w:color w:val="32406B"/>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and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May 21, 2021, the issuance date of these consolidated financial statements. These estimates may change as new events occur and additional information is obtained.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Unaudited Interim Financial Information</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The accompanying consolidated balance sheet as of March 31, 2021 and the consolidated statements of operations and comprehensive loss, of cash flows and of convertible preferred stock and stockholders’ deficit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F-10</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32406B"/>
        </w:rPr>
        <w:t>the three months ended March 31, 2021 are unaudited. The unaudited interim consolidated financial statements have been prepared on the same basis as the audited consolidated financial statements for the period from June 3, 2020 (inception) to December 31, 2020 and, in the opinion of management, reflect all adjustments, which include only normal recurring adjustments, necessary for the fair statement of the Company’s financial position as of March 31, 2021 and the results of its operations and its cash flows for the three months ended March 31, 2021. The financial data and other information disclosed in these notes related to the three months ended March 31, 2021 are also unaudited. The results for the three months ended March 31, 2021 are not necessarily indicative of results to be expected for the year ending December 31, 2021, any other interim periods, or any future year or period.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Deferred Offering Costs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The Company capitalizes certain legal,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preferred stock or in stockholders’ deficit as a reduction of additional paid-in capital generated as a result of the offering. Should the in-process equity financing be abandoned, the deferred offering costs would be expensed immediately as a charge to operating expenses in the consolidated statement of operations and comprehensive loss. The Company had no deferred offering costs recorded as of December 31, 2020. As of March 31, 2021 (unaudited), the Company had deferred offering costs totaling $0.1 million.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Concentrations of Credit Risk, Significant Suppliers and License Rights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Financial instruments that potentially expose the Company to concentrations of credit risk consist of cash and cash equivalents. The Company invests its excess cash in money market funds that are subject to minimal credit and market risks. The Company maintains its cash and cash equivalents at one accredited financial institution that it believes is creditworthy. From time to time, these deposits may exceed federally insured limits. The Company has not experienced any losses historically in these accounts. Accordingly, the Company does not believe it is exposed to unusual credit risk related to its cash and cash equivalents beyond the normal credit risk associated with commercial banking relationships.</w:t>
      </w:r>
    </w:p>
    <w:p>
      <w:pPr>
        <w:spacing w:after="0" w:line="16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The Company is dependent on third-party organizations to manufacture and process its product candidates for its development programs. In particular, the Company relies on a single third-party contract manufacturer to produce and process its current product candidate, ADG20, and to manufacture supply of its current product candidate for preclinical and clinical activities (see Note 7). The Company also currently relies on this same third-party contract manufacturer for any anticipated requirements of commercial supply.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16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The Company is dependent on a limited number of third parties that provide license rights used by the Company in the development and potential commercialization of its product candidates and programs. Through December 31, 2020 and March 31, 2021 (unaudited), the Company’s research and development programs primarily relate to rights conveyed by Adimab (see Note 6). The Company could experience delays in the development and potential commercialization of its product candidates and programs if the Adimab license arrangement or any other license agreement utilized in the Company’s research and development activities 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F-11</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terminated, if the Company fails to meet the obligations required under its arrangements, or if the Company is unable to successfully secure new strategic alliances or licensing agreements.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Company considers all highly liquid investments with original maturities of three months or less at the acquisition date to be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Fair Value Measurements</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32406B"/>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32406B"/>
        </w:rPr>
      </w:pPr>
      <w:r>
        <w:rPr>
          <w:rFonts w:ascii="Arial" w:cs="Arial" w:eastAsia="Arial" w:hAnsi="Arial"/>
          <w:sz w:val="18"/>
          <w:szCs w:val="18"/>
          <w:color w:val="32406B"/>
        </w:rPr>
        <w:t>Level 1 — Quoted prices in active markets for identical assets or liabilities.</w:t>
      </w:r>
    </w:p>
    <w:p>
      <w:pPr>
        <w:spacing w:after="0" w:line="130" w:lineRule="exact"/>
        <w:rPr>
          <w:rFonts w:ascii="Arial" w:cs="Arial" w:eastAsia="Arial" w:hAnsi="Arial"/>
          <w:sz w:val="18"/>
          <w:szCs w:val="18"/>
          <w:color w:val="32406B"/>
        </w:rPr>
      </w:pPr>
    </w:p>
    <w:p>
      <w:pPr>
        <w:jc w:val="both"/>
        <w:ind w:left="1080" w:right="20" w:hanging="532"/>
        <w:spacing w:after="0" w:line="263" w:lineRule="auto"/>
        <w:tabs>
          <w:tab w:leader="none" w:pos="1080" w:val="left"/>
        </w:tabs>
        <w:numPr>
          <w:ilvl w:val="0"/>
          <w:numId w:val="148"/>
        </w:numPr>
        <w:rPr>
          <w:rFonts w:ascii="Arial" w:cs="Arial" w:eastAsia="Arial" w:hAnsi="Arial"/>
          <w:sz w:val="18"/>
          <w:szCs w:val="18"/>
          <w:color w:val="32406B"/>
        </w:rPr>
      </w:pPr>
      <w:r>
        <w:rPr>
          <w:rFonts w:ascii="Arial" w:cs="Arial" w:eastAsia="Arial" w:hAnsi="Arial"/>
          <w:sz w:val="18"/>
          <w:szCs w:val="18"/>
          <w:color w:val="32406B"/>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32406B"/>
        </w:rPr>
      </w:pPr>
    </w:p>
    <w:p>
      <w:pPr>
        <w:ind w:left="1080" w:right="20" w:hanging="532"/>
        <w:spacing w:after="0" w:line="277" w:lineRule="auto"/>
        <w:tabs>
          <w:tab w:leader="none" w:pos="1080" w:val="left"/>
        </w:tabs>
        <w:numPr>
          <w:ilvl w:val="0"/>
          <w:numId w:val="148"/>
        </w:numPr>
        <w:rPr>
          <w:rFonts w:ascii="Arial" w:cs="Arial" w:eastAsia="Arial" w:hAnsi="Arial"/>
          <w:sz w:val="18"/>
          <w:szCs w:val="18"/>
          <w:color w:val="32406B"/>
        </w:rPr>
      </w:pPr>
      <w:r>
        <w:rPr>
          <w:rFonts w:ascii="Arial" w:cs="Arial" w:eastAsia="Arial" w:hAnsi="Arial"/>
          <w:sz w:val="18"/>
          <w:szCs w:val="18"/>
          <w:color w:val="32406B"/>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32406B"/>
        </w:rPr>
        <w:t>The Company’s cash equivalents are carried at fair value, determined according to the fair value hierarchy described above (see Note 3). The carrying values of the Company’s accounts payable and accrued expenses approximate their fair values due to the short-term nature of these liabilities.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Patent Costs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Segment Information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F-12</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trials as well as to manufacture research and development materials for use in such studies and trials; salaries and related personnel costs; stock-based compensation; consultant fees; and third-party license fees.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Accrued Research and Development Costs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6),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Asset Acquisitions and Acquired In-Process Research and Development Expenses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Acquired IPR&amp;D expense recognized for the period from June 3, 2020 (inception) to December 31, 2020 consisted of the upfront consideration paid in connection with the Company’s acquisition of assigned rights and an intellectual property license from Adimab and other in-licensing arrangements executed during the period (see Note 6). Acquired IPR&amp;D expense recognized for the three months ended March 31, 2021 consisted solely of the payment due for a milestone achieved under the Adimab arrangement (see Note 6).</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Classification and Accretion of Convertible Preferred Stock</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32406B"/>
        </w:rPr>
        <w:t>The Company’s convertible preferred stock is classified outside of stockholders’ deficit on the consolidated balance sheets because the holders of such shares have liquidation rights in the event of a deemed liquidation that, in certain situations, is not solely within the control of the Company and would require the redemption of the then-outstanding convertible preferred stock. The Company’s Series A and Series B convertible preferred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F-13</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32406B"/>
        </w:rPr>
        <w:t>stock are not redeemable, except in the event of deemed liquidation (see Note 8).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Stock-Based Compensation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2020 and March 31, 2021 (unaudited).</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17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32406B"/>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Income Taxes</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32406B"/>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165"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2020 and March 31, 2021 (unaudited).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F-14</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Comprehensive Loss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Net Loss per Share</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32406B"/>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8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convertible preferred stock and unvested restricted common stock are considered potential dilutive common shares.</w:t>
      </w:r>
    </w:p>
    <w:p>
      <w:pPr>
        <w:spacing w:after="0" w:line="166"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Recently Adopted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 xml:space="preserve">In July 2017, the Financial Accounting Standards Board (“FASB”) issued Accounting Standards Update (“ASU”) No. 2017-11, </w:t>
      </w:r>
      <w:r>
        <w:rPr>
          <w:rFonts w:ascii="Arial" w:cs="Arial" w:eastAsia="Arial" w:hAnsi="Arial"/>
          <w:sz w:val="17"/>
          <w:szCs w:val="17"/>
          <w:i w:val="1"/>
          <w:iCs w:val="1"/>
          <w:color w:val="32406B"/>
        </w:rPr>
        <w:t>Earnings Per</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Share (Topic 260), Distinguishing Liabilities from Equity (Topic 480) and Derivatives and 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32406B"/>
        </w:rPr>
        <w:t>(“ASU 2017-11”). Part I of this update</w:t>
      </w:r>
      <w:r>
        <w:rPr>
          <w:rFonts w:ascii="Arial" w:cs="Arial" w:eastAsia="Arial" w:hAnsi="Arial"/>
          <w:sz w:val="17"/>
          <w:szCs w:val="17"/>
          <w:i w:val="1"/>
          <w:iCs w:val="1"/>
          <w:color w:val="32406B"/>
        </w:rPr>
        <w:t xml:space="preserve"> </w:t>
      </w:r>
      <w:r>
        <w:rPr>
          <w:rFonts w:ascii="Arial" w:cs="Arial" w:eastAsia="Arial" w:hAnsi="Arial"/>
          <w:sz w:val="17"/>
          <w:szCs w:val="17"/>
          <w:color w:val="32406B"/>
        </w:rPr>
        <w:t>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F-15</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32406B"/>
        </w:rPr>
        <w:t>(such as warrants and convertible instruments) with down round features that require fair value measurement of the entire instrument or conversion option. Pursuant to the amendments in Part I of this update, when determining whether certain financial instruments should be classified as liabilities or equity instruments, a down round feature no longer precludes equity classification when assessing whether the instrument is indexed to an entity’s own stock. Part II of this update replaces the indefinite deferral for certain mandatorily redeemable noncontrolling interests and mandatorily redeemable financial instruments of nonpublic entities contained within ASC No. 480 with a scope exception. The amendments in Part II of this update do not have an accounting effect. For public entities, ASU 2017-11 was required to be adopted for annual periods beginning after December 15, 2018, including interim periods within those fiscal years. For nonpublic entities, ASU 2017-11 is effective for annual periods beginning after December 15, 2019, and interim periods within fiscal years beginning after December 15, 2020. Early adoption was permitted. The Company adopted ASU 2017-11 on June 3, 2020 (inception) and the adoption did not have a material impact on the Company’s consolidated financial statements.</w:t>
      </w:r>
    </w:p>
    <w:p>
      <w:pPr>
        <w:spacing w:after="0" w:line="16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 xml:space="preserve">In June 2018, the FASB issued ASU No. 2018-07, </w:t>
      </w:r>
      <w:r>
        <w:rPr>
          <w:rFonts w:ascii="Arial" w:cs="Arial" w:eastAsia="Arial" w:hAnsi="Arial"/>
          <w:sz w:val="16"/>
          <w:szCs w:val="16"/>
          <w:i w:val="1"/>
          <w:iCs w:val="1"/>
          <w:color w:val="32406B"/>
        </w:rPr>
        <w:t>Compensation—Stock Compensation (Topic 718): Improvements to Nonemployee Share-Based</w:t>
      </w:r>
      <w:r>
        <w:rPr>
          <w:rFonts w:ascii="Arial" w:cs="Arial" w:eastAsia="Arial" w:hAnsi="Arial"/>
          <w:sz w:val="16"/>
          <w:szCs w:val="16"/>
          <w:color w:val="32406B"/>
        </w:rPr>
        <w:t xml:space="preserve"> </w:t>
      </w:r>
      <w:r>
        <w:rPr>
          <w:rFonts w:ascii="Arial" w:cs="Arial" w:eastAsia="Arial" w:hAnsi="Arial"/>
          <w:sz w:val="16"/>
          <w:szCs w:val="16"/>
          <w:i w:val="1"/>
          <w:iCs w:val="1"/>
          <w:color w:val="32406B"/>
        </w:rPr>
        <w:t xml:space="preserve">Payment Accounting </w:t>
      </w:r>
      <w:r>
        <w:rPr>
          <w:rFonts w:ascii="Arial" w:cs="Arial" w:eastAsia="Arial" w:hAnsi="Arial"/>
          <w:sz w:val="16"/>
          <w:szCs w:val="16"/>
          <w:color w:val="32406B"/>
        </w:rPr>
        <w:t>(“ASU 2018-07”). ASU 2018-07 is intended to simplify several aspects of the accounting for non-employee share-based payment</w:t>
      </w:r>
      <w:r>
        <w:rPr>
          <w:rFonts w:ascii="Arial" w:cs="Arial" w:eastAsia="Arial" w:hAnsi="Arial"/>
          <w:sz w:val="16"/>
          <w:szCs w:val="16"/>
          <w:i w:val="1"/>
          <w:iCs w:val="1"/>
          <w:color w:val="32406B"/>
        </w:rPr>
        <w:t xml:space="preserve"> </w:t>
      </w:r>
      <w:r>
        <w:rPr>
          <w:rFonts w:ascii="Arial" w:cs="Arial" w:eastAsia="Arial" w:hAnsi="Arial"/>
          <w:sz w:val="16"/>
          <w:szCs w:val="16"/>
          <w:color w:val="32406B"/>
        </w:rPr>
        <w:t>transactions. ASU 2018-07 expands the scope of ASC 718 to include share-based payments issued to non-employees for goods and services. Under ASU 2018-07, entities should apply the requirements of ASC 718 to non-employee awards except for specific guidance on inputs to an option pricing model and the attribution of compensation cost. Accordingly, the accounting for share-based payments to employees and non-employees will be substantially aligned based on this update. The cost of non-employee awards is recorded as if the grantor had paid cash for the goods or services. For public entities, ASU 2018-07 was required to be adopted for annual periods beginning after December 15, 2018, including interim periods within those fiscal years. For nonpublic entities, ASU 2018-07 is effective for annual periods beginning after December 15, 2019, and interim periods within fiscal years beginning after December 15, 2020. Early adoption is permitted. The Company adopted ASU 2018-07 on June 3, 2020 (inception) and the adoption did not have a material impact on the Company’s consolidated financial statements.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Recently Issued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7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 xml:space="preserve">In February 2016, the FASB issued ASU No. 2016-02, </w:t>
      </w:r>
      <w:r>
        <w:rPr>
          <w:rFonts w:ascii="Arial" w:cs="Arial" w:eastAsia="Arial" w:hAnsi="Arial"/>
          <w:sz w:val="16"/>
          <w:szCs w:val="16"/>
          <w:i w:val="1"/>
          <w:iCs w:val="1"/>
          <w:color w:val="32406B"/>
        </w:rPr>
        <w:t>Leases (Topic 842)</w:t>
      </w:r>
      <w:r>
        <w:rPr>
          <w:rFonts w:ascii="Arial" w:cs="Arial" w:eastAsia="Arial" w:hAnsi="Arial"/>
          <w:sz w:val="16"/>
          <w:szCs w:val="16"/>
          <w:color w:val="32406B"/>
        </w:rPr>
        <w:t xml:space="preserve"> (“ASU 2016-02” or “ASC 842”), as subsequently amended. ASC 842 sets forth the principles for the recognition, measurement, presentation and disclosure of leases for both parties to a contract (i.e., lessees and lessors). ASC 842 replaces the existing guidance in ASC No. 840, </w:t>
      </w:r>
      <w:r>
        <w:rPr>
          <w:rFonts w:ascii="Arial" w:cs="Arial" w:eastAsia="Arial" w:hAnsi="Arial"/>
          <w:sz w:val="16"/>
          <w:szCs w:val="16"/>
          <w:i w:val="1"/>
          <w:iCs w:val="1"/>
          <w:color w:val="32406B"/>
        </w:rPr>
        <w:t>Leases</w:t>
      </w:r>
      <w:r>
        <w:rPr>
          <w:rFonts w:ascii="Arial" w:cs="Arial" w:eastAsia="Arial" w:hAnsi="Arial"/>
          <w:sz w:val="16"/>
          <w:szCs w:val="16"/>
          <w:color w:val="32406B"/>
        </w:rPr>
        <w:t xml:space="preserve"> (“ASC 840”). ASC 842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In addition, a lessee is also required to record (i) a right-of-use asset and a lease liability on its balance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F-16</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32406B"/>
        </w:rPr>
        <w:t xml:space="preserve">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ASC 842 also requires lessees and lessors to disclose key information about their leasing transactions. In July 2018, the FASB issued ASU No. 2018-11, </w:t>
      </w:r>
      <w:r>
        <w:rPr>
          <w:rFonts w:ascii="Arial" w:cs="Arial" w:eastAsia="Arial" w:hAnsi="Arial"/>
          <w:sz w:val="16"/>
          <w:szCs w:val="16"/>
          <w:i w:val="1"/>
          <w:iCs w:val="1"/>
          <w:color w:val="32406B"/>
        </w:rPr>
        <w:t>Leases (Topic 842)</w:t>
      </w:r>
      <w:r>
        <w:rPr>
          <w:rFonts w:ascii="Arial" w:cs="Arial" w:eastAsia="Arial" w:hAnsi="Arial"/>
          <w:sz w:val="16"/>
          <w:szCs w:val="16"/>
          <w:color w:val="32406B"/>
        </w:rPr>
        <w:t xml:space="preserve">,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entities. For public entities, ASU 2016-02 was effective for annual periods beginning after December 15, 2018, including interim periods within those fiscal years. In June 2020, the FASB issued ASU No. 2020-05, </w:t>
      </w:r>
      <w:r>
        <w:rPr>
          <w:rFonts w:ascii="Arial" w:cs="Arial" w:eastAsia="Arial" w:hAnsi="Arial"/>
          <w:sz w:val="16"/>
          <w:szCs w:val="16"/>
          <w:i w:val="1"/>
          <w:iCs w:val="1"/>
          <w:color w:val="32406B"/>
        </w:rPr>
        <w:t>Revenue from Contracts with Customers (Topic 606) and Leases (Topic 842): Effective Dates for Certain Entities</w:t>
      </w:r>
      <w:r>
        <w:rPr>
          <w:rFonts w:ascii="Arial" w:cs="Arial" w:eastAsia="Arial" w:hAnsi="Arial"/>
          <w:sz w:val="16"/>
          <w:szCs w:val="16"/>
          <w:color w:val="32406B"/>
        </w:rPr>
        <w:t xml:space="preserve"> (“ASU 2020-05”), which delayed the adoption date of ASU 2016-02 for nonpublic entities. For nonpublic entities, ASU 2016-02 is effective for annual periods beginning after December 15, 2021, including interim periods within annual periods beginning after December 15, 2022. Early adoption is permitted, including in an interim period. Entities are required to adopt ASC 842 using a modified retrospective transition method.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32406B"/>
        </w:rPr>
        <w:t xml:space="preserve">In June 2016, the FASB issued ASU No. 2016-13, </w:t>
      </w:r>
      <w:r>
        <w:rPr>
          <w:rFonts w:ascii="Arial" w:cs="Arial" w:eastAsia="Arial" w:hAnsi="Arial"/>
          <w:sz w:val="16"/>
          <w:szCs w:val="16"/>
          <w:i w:val="1"/>
          <w:iCs w:val="1"/>
          <w:color w:val="32406B"/>
        </w:rPr>
        <w:t>Financial Instruments—Credit Losses (Topic 326): Measurement of Credit Losses on Financial</w:t>
      </w:r>
      <w:r>
        <w:rPr>
          <w:rFonts w:ascii="Arial" w:cs="Arial" w:eastAsia="Arial" w:hAnsi="Arial"/>
          <w:sz w:val="16"/>
          <w:szCs w:val="16"/>
          <w:color w:val="32406B"/>
        </w:rPr>
        <w:t xml:space="preserve"> </w:t>
      </w:r>
      <w:r>
        <w:rPr>
          <w:rFonts w:ascii="Arial" w:cs="Arial" w:eastAsia="Arial" w:hAnsi="Arial"/>
          <w:sz w:val="16"/>
          <w:szCs w:val="16"/>
          <w:i w:val="1"/>
          <w:iCs w:val="1"/>
          <w:color w:val="32406B"/>
        </w:rPr>
        <w:t xml:space="preserve">Instruments </w:t>
      </w:r>
      <w:r>
        <w:rPr>
          <w:rFonts w:ascii="Arial" w:cs="Arial" w:eastAsia="Arial" w:hAnsi="Arial"/>
          <w:sz w:val="16"/>
          <w:szCs w:val="16"/>
          <w:color w:val="32406B"/>
        </w:rPr>
        <w:t>(“ASU 2016-13”), and also issued subsequent amendments to the initial guidance: ASU 2018-19, ASU 2019-04 and ASU 2019-05</w:t>
      </w:r>
      <w:r>
        <w:rPr>
          <w:rFonts w:ascii="Arial" w:cs="Arial" w:eastAsia="Arial" w:hAnsi="Arial"/>
          <w:sz w:val="16"/>
          <w:szCs w:val="16"/>
          <w:i w:val="1"/>
          <w:iCs w:val="1"/>
          <w:color w:val="32406B"/>
        </w:rPr>
        <w:t xml:space="preserve"> </w:t>
      </w:r>
      <w:r>
        <w:rPr>
          <w:rFonts w:ascii="Arial" w:cs="Arial" w:eastAsia="Arial" w:hAnsi="Arial"/>
          <w:sz w:val="16"/>
          <w:szCs w:val="16"/>
          <w:color w:val="32406B"/>
        </w:rPr>
        <w:t>(collectively, “Topic 326”). The main objective of this update is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guidance with a methodology that reflects expected credit losses and requires consideration of a broader range of reasonable and supportable information to inform credit loss estimates. Under ASU 2016-13, expected credit losses relating to financial assets measured on an amortized cost basis and available-for-sale debt securities are required to be recorded through an allowance for credit losses. The update also limits the amount of credit losses to be recognized for available-for-sale debt securities to the amount by which the carrying value exceeds fair value. The measurement of expected credit losses will be based on relevant information about past events, including historical experience, current conditions and reasonable and supportable forecasts that affect the collectability of the reported amount. ASU 2016-13 also establishes additional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Early adoption is permitted. In November 2019, the FASB issued ASU No. 2019-10, which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17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 xml:space="preserve">In August 2018, the FASB issued ASU No. 2018-15, </w:t>
      </w:r>
      <w:r>
        <w:rPr>
          <w:rFonts w:ascii="Arial" w:cs="Arial" w:eastAsia="Arial" w:hAnsi="Arial"/>
          <w:sz w:val="18"/>
          <w:szCs w:val="18"/>
          <w:i w:val="1"/>
          <w:iCs w:val="1"/>
          <w:color w:val="32406B"/>
        </w:rPr>
        <w:t>Intangibles–Goodwill and Other—Internal-Use Software (Subtopic 350-40): Customer’s</w:t>
      </w:r>
      <w:r>
        <w:rPr>
          <w:rFonts w:ascii="Arial" w:cs="Arial" w:eastAsia="Arial" w:hAnsi="Arial"/>
          <w:sz w:val="18"/>
          <w:szCs w:val="18"/>
          <w:color w:val="32406B"/>
        </w:rPr>
        <w:t xml:space="preserve"> </w:t>
      </w:r>
      <w:r>
        <w:rPr>
          <w:rFonts w:ascii="Arial" w:cs="Arial" w:eastAsia="Arial" w:hAnsi="Arial"/>
          <w:sz w:val="18"/>
          <w:szCs w:val="18"/>
          <w:i w:val="1"/>
          <w:iCs w:val="1"/>
          <w:color w:val="32406B"/>
        </w:rPr>
        <w:t xml:space="preserve">Accounting for Implementation Costs Incurred in a Cloud Computing Arrangement That is a Service Contract </w:t>
      </w:r>
      <w:r>
        <w:rPr>
          <w:rFonts w:ascii="Arial" w:cs="Arial" w:eastAsia="Arial" w:hAnsi="Arial"/>
          <w:sz w:val="18"/>
          <w:szCs w:val="18"/>
          <w:color w:val="32406B"/>
        </w:rPr>
        <w:t>(“ASU 2018-15”). The amendments in</w:t>
      </w:r>
      <w:r>
        <w:rPr>
          <w:rFonts w:ascii="Arial" w:cs="Arial" w:eastAsia="Arial" w:hAnsi="Arial"/>
          <w:sz w:val="18"/>
          <w:szCs w:val="18"/>
          <w:i w:val="1"/>
          <w:iCs w:val="1"/>
          <w:color w:val="32406B"/>
        </w:rPr>
        <w:t xml:space="preserve"> </w:t>
      </w:r>
      <w:r>
        <w:rPr>
          <w:rFonts w:ascii="Arial" w:cs="Arial" w:eastAsia="Arial" w:hAnsi="Arial"/>
          <w:sz w:val="18"/>
          <w:szCs w:val="18"/>
          <w:color w:val="32406B"/>
        </w:rPr>
        <w:t>ASU 2018-15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update requires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F-17</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32406B"/>
        </w:rPr>
        <w:t xml:space="preserve">entities in a hosting arrangement that is a service contract to follow the guidance in ASC 350-40, </w:t>
      </w:r>
      <w:r>
        <w:rPr>
          <w:rFonts w:ascii="Arial" w:cs="Arial" w:eastAsia="Arial" w:hAnsi="Arial"/>
          <w:sz w:val="16"/>
          <w:szCs w:val="16"/>
          <w:i w:val="1"/>
          <w:iCs w:val="1"/>
          <w:color w:val="32406B"/>
        </w:rPr>
        <w:t>Internal-Use Software</w:t>
      </w:r>
      <w:r>
        <w:rPr>
          <w:rFonts w:ascii="Arial" w:cs="Arial" w:eastAsia="Arial" w:hAnsi="Arial"/>
          <w:sz w:val="16"/>
          <w:szCs w:val="16"/>
          <w:color w:val="32406B"/>
        </w:rPr>
        <w:t xml:space="preserve"> (“ASC 350-40”) to determine which implementation costs to capitalize as an asset related to the service contract and which costs to expense. Costs to develop or obtain internal-use software that cannot be capitalized under ASC 350-40, such as training costs and certain data conversion costs, also cannot be capitalized for a hosting arrangement that is a service contract. Therefore, an entity in a hosting arrangement that is a service contract determines which project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ASU 2018-15 also requires entities to expense the capitalized implementation costs of a hosting arrangement that is a service contract over the term of the hosting arrangement. ASU 2018-15 was effective for public entities for annual periods beginning after December 15, 2019, including interim periods within those fiscal years. For nonpublic entities, ASU 2018-15 is effective for annual reporting periods beginning after December 15, 2020, and interim periods within annual periods beginning after December 15, 2021. Early adoption is permitted, including adoption in any interim period. ASU 2018-15 is applied either retrospectively or prospectively to all implementation costs incurred after the date of adoption.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32406B"/>
        </w:rPr>
        <w:t xml:space="preserve">In December 2019, the FASB issued ASU No. 2019-12, </w:t>
      </w:r>
      <w:r>
        <w:rPr>
          <w:rFonts w:ascii="Arial" w:cs="Arial" w:eastAsia="Arial" w:hAnsi="Arial"/>
          <w:sz w:val="16"/>
          <w:szCs w:val="16"/>
          <w:i w:val="1"/>
          <w:iCs w:val="1"/>
          <w:color w:val="32406B"/>
        </w:rPr>
        <w:t>Income Taxes (Topic 740): Simplifying the Accounting for Income Taxes</w:t>
      </w:r>
      <w:r>
        <w:rPr>
          <w:rFonts w:ascii="Arial" w:cs="Arial" w:eastAsia="Arial" w:hAnsi="Arial"/>
          <w:sz w:val="16"/>
          <w:szCs w:val="16"/>
          <w:color w:val="32406B"/>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and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 xml:space="preserve">In August 2020, the FASB issued ASU No. 2020-06, </w:t>
      </w:r>
      <w:r>
        <w:rPr>
          <w:rFonts w:ascii="Arial" w:cs="Arial" w:eastAsia="Arial" w:hAnsi="Arial"/>
          <w:sz w:val="16"/>
          <w:szCs w:val="16"/>
          <w:i w:val="1"/>
          <w:iCs w:val="1"/>
          <w:color w:val="32406B"/>
        </w:rPr>
        <w:t>Debt—Debt with Conversion and Other Options (Subtopic 470-20) and Derivatives and</w:t>
      </w:r>
      <w:r>
        <w:rPr>
          <w:rFonts w:ascii="Arial" w:cs="Arial" w:eastAsia="Arial" w:hAnsi="Arial"/>
          <w:sz w:val="16"/>
          <w:szCs w:val="16"/>
          <w:color w:val="32406B"/>
        </w:rPr>
        <w:t xml:space="preserve"> </w:t>
      </w:r>
      <w:r>
        <w:rPr>
          <w:rFonts w:ascii="Arial" w:cs="Arial" w:eastAsia="Arial" w:hAnsi="Arial"/>
          <w:sz w:val="16"/>
          <w:szCs w:val="16"/>
          <w:i w:val="1"/>
          <w:iCs w:val="1"/>
          <w:color w:val="32406B"/>
        </w:rPr>
        <w:t xml:space="preserve">Hedging—Contracts in Entity’s Own Equity (Subtopic 815-40): Accounting for Convertible Instruments and Contracts in an Entity’s Own Equity </w:t>
      </w:r>
      <w:r>
        <w:rPr>
          <w:rFonts w:ascii="Arial" w:cs="Arial" w:eastAsia="Arial" w:hAnsi="Arial"/>
          <w:sz w:val="16"/>
          <w:szCs w:val="16"/>
          <w:color w:val="32406B"/>
        </w:rPr>
        <w:t>(“ASU</w:t>
      </w:r>
      <w:r>
        <w:rPr>
          <w:rFonts w:ascii="Arial" w:cs="Arial" w:eastAsia="Arial" w:hAnsi="Arial"/>
          <w:sz w:val="16"/>
          <w:szCs w:val="16"/>
          <w:i w:val="1"/>
          <w:iCs w:val="1"/>
          <w:color w:val="32406B"/>
        </w:rPr>
        <w:t xml:space="preserve"> </w:t>
      </w:r>
      <w:r>
        <w:rPr>
          <w:rFonts w:ascii="Arial" w:cs="Arial" w:eastAsia="Arial" w:hAnsi="Arial"/>
          <w:sz w:val="16"/>
          <w:szCs w:val="16"/>
          <w:color w:val="32406B"/>
        </w:rPr>
        <w:t>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F-18</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retrospective method of transition. The Company is currently evaluating the potential impact that the adoption of this standard may have on its consolidated financial statements and related disclosures.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3. Fair Value Measurements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following tables present the Company’s fair value hierarchy for its assets and liabilities that are measured at fair value on a recurring basis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32406B"/>
                <w:w w:val="93"/>
              </w:rPr>
              <w:t>Fair Value Measurements at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32406B"/>
                <w:w w:val="91"/>
              </w:rPr>
              <w:t>December 31, 2020 Using:</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32406B"/>
                <w:w w:val="92"/>
              </w:rPr>
              <w:t>Level 1</w:t>
            </w:r>
          </w:p>
        </w:tc>
        <w:tc>
          <w:tcPr>
            <w:tcW w:w="34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32406B"/>
              </w:rPr>
              <w:t>Level 2</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32406B"/>
              </w:rPr>
              <w:t>Level 3</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32406B"/>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32406B"/>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32406B"/>
                <w:w w:val="92"/>
              </w:rPr>
              <w:t>$39,006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32406B"/>
                <w:w w:val="92"/>
              </w:rPr>
              <w:t>$39,006</w:t>
            </w: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32406B"/>
                <w:w w:val="89"/>
              </w:rPr>
              <w:t>$39,006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32406B"/>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32406B"/>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32406B"/>
                <w:w w:val="92"/>
              </w:rPr>
              <w:t>$39,006</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32406B"/>
                <w:w w:val="93"/>
              </w:rPr>
              <w:t>Fair Value Measurements at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32406B"/>
                <w:w w:val="94"/>
              </w:rPr>
              <w:t>March 31, 2021 (unaudited) Using:</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32406B"/>
                <w:w w:val="92"/>
              </w:rPr>
              <w:t>Level 1</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32406B"/>
              </w:rPr>
              <w:t>Level 2</w:t>
            </w:r>
          </w:p>
        </w:tc>
        <w:tc>
          <w:tcPr>
            <w:tcW w:w="8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32406B"/>
              </w:rPr>
              <w:t>Level 3</w:t>
            </w: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32406B"/>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32406B"/>
                <w:w w:val="92"/>
              </w:rPr>
              <w:t>$15,274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32406B"/>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32406B"/>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32406B"/>
                <w:w w:val="92"/>
              </w:rPr>
              <w:t>$15,274</w:t>
            </w:r>
          </w:p>
        </w:tc>
      </w:tr>
      <w:tr>
        <w:trPr>
          <w:trHeight w:val="223"/>
        </w:trPr>
        <w:tc>
          <w:tcPr>
            <w:tcW w:w="7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32406B"/>
                <w:w w:val="89"/>
              </w:rPr>
              <w:t>$15,274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32406B"/>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32406B"/>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32406B"/>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32406B"/>
                <w:w w:val="92"/>
              </w:rPr>
              <w:t>$15,274</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The money market fund was valued by the Company based on quoted market prices, which represent a Level 1 measurement within the fair value hierarchy. There were no changes to the valuation methods for the period from June 3, 2020 (inception) to December 31, 2020 and for the three months ended March 31, 2021 (unaudited). The Company evaluates transfers between levels at the end of each reporting period. There were no transfers between Level 1 or Level 2 during the period from June 3, 2020 (inception) to December 31, 2020 and the three months ended March 31, 2021 (unaudited).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4. Prepaid Expenses and Other Current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Prepaid expenses and other current assets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32406B"/>
              </w:rPr>
              <w:t>March 31,</w:t>
            </w:r>
          </w:p>
        </w:tc>
      </w:tr>
      <w:tr>
        <w:trPr>
          <w:trHeight w:val="17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32406B"/>
              </w:rPr>
              <w:t>2020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32406B"/>
              </w:rPr>
              <w:t>2021</w:t>
            </w:r>
          </w:p>
        </w:tc>
        <w:tc>
          <w:tcPr>
            <w:tcW w:w="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32406B"/>
                <w:w w:val="91"/>
              </w:rPr>
              <w:t>(unaudited)</w:t>
            </w:r>
          </w:p>
        </w:tc>
        <w:tc>
          <w:tcPr>
            <w:tcW w:w="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32406B"/>
                <w:w w:val="95"/>
              </w:rPr>
              <w:t>Prepaid external research, development and manufacturing costs</w:t>
            </w:r>
          </w:p>
        </w:tc>
        <w:tc>
          <w:tcPr>
            <w:tcW w:w="402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32406B"/>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2,253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3,070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32406B"/>
              </w:rPr>
              <w:t>Other</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32406B"/>
              </w:rPr>
              <w:t>141</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557</w:t>
            </w:r>
          </w:p>
        </w:tc>
      </w:tr>
      <w:tr>
        <w:trPr>
          <w:trHeight w:val="27"/>
        </w:trPr>
        <w:tc>
          <w:tcPr>
            <w:tcW w:w="4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32406B"/>
              </w:rPr>
              <w:t>2,394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3,627</w:t>
            </w:r>
          </w:p>
        </w:tc>
      </w:tr>
      <w:tr>
        <w:trPr>
          <w:trHeight w:val="20"/>
        </w:trPr>
        <w:tc>
          <w:tcPr>
            <w:tcW w:w="4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4020" w:type="dxa"/>
            <w:vAlign w:val="bottom"/>
            <w:gridSpan w:val="2"/>
          </w:tcPr>
          <w:p>
            <w:pPr>
              <w:ind w:left="360"/>
              <w:spacing w:after="0"/>
              <w:rPr>
                <w:sz w:val="20"/>
                <w:szCs w:val="20"/>
                <w:color w:val="auto"/>
              </w:rPr>
            </w:pPr>
            <w:r>
              <w:rPr>
                <w:rFonts w:ascii="Arial" w:cs="Arial" w:eastAsia="Arial" w:hAnsi="Arial"/>
                <w:sz w:val="18"/>
                <w:szCs w:val="18"/>
                <w:color w:val="32406B"/>
              </w:rPr>
              <w:t>F-19</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5.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Accrued expenses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32406B"/>
              </w:rPr>
              <w:t>March 31,</w:t>
            </w:r>
          </w:p>
        </w:tc>
      </w:tr>
      <w:tr>
        <w:trPr>
          <w:trHeight w:val="17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32406B"/>
              </w:rPr>
              <w:t>2020</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32406B"/>
              </w:rPr>
              <w:t>2021</w:t>
            </w:r>
          </w:p>
        </w:tc>
        <w:tc>
          <w:tcPr>
            <w:tcW w:w="6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32406B"/>
                <w:w w:val="91"/>
              </w:rPr>
              <w:t>(unaudited)</w:t>
            </w:r>
          </w:p>
        </w:tc>
        <w:tc>
          <w:tcPr>
            <w:tcW w:w="6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32406B"/>
              </w:rPr>
              <w:t>Accrued external research, development and manufacturing costs</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32406B"/>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3,853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15,774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32406B"/>
              </w:rPr>
              <w:t>Accrued professional and consultant fees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32406B"/>
              </w:rPr>
              <w:t>237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1,084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32406B"/>
              </w:rPr>
              <w:t>Accrued employee compensation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794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485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32406B"/>
              </w:rPr>
              <w:t>Other</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32406B"/>
              </w:rPr>
              <w:t>35</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32406B"/>
              </w:rPr>
              <w:t>17</w:t>
            </w:r>
          </w:p>
        </w:tc>
      </w:tr>
      <w:tr>
        <w:trPr>
          <w:trHeight w:val="27"/>
        </w:trPr>
        <w:tc>
          <w:tcPr>
            <w:tcW w:w="6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32406B"/>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32406B"/>
              </w:rPr>
              <w:t>4,919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32406B"/>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17,360</w:t>
            </w:r>
          </w:p>
        </w:tc>
      </w:tr>
      <w:tr>
        <w:trPr>
          <w:trHeight w:val="20"/>
        </w:trPr>
        <w:tc>
          <w:tcPr>
            <w:tcW w:w="6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6. 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Adimab Assignment Agreement</w:t>
      </w:r>
    </w:p>
    <w:p>
      <w:pPr>
        <w:spacing w:after="0" w:line="117"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32406B"/>
        </w:rPr>
        <w:t>In July 2020, the Company entered into an Assignment and License Agreement with Adimab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32406B"/>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19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32406B"/>
        </w:rPr>
        <w:t>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F-20</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32406B"/>
        </w:rPr>
        <w:t xml:space="preserve">the second Product under the agreement that achieves such specified milestones. The maximum aggregate amount of milestone payments payable under the agreement for any and all Products is $24.6 million; however, milestone payments do not accrue for certain </w:t>
      </w:r>
      <w:r>
        <w:rPr>
          <w:rFonts w:ascii="Arial" w:cs="Arial" w:eastAsia="Arial" w:hAnsi="Arial"/>
          <w:sz w:val="18"/>
          <w:szCs w:val="18"/>
          <w:i w:val="1"/>
          <w:iCs w:val="1"/>
          <w:color w:val="32406B"/>
        </w:rPr>
        <w:t>in vitro</w:t>
      </w:r>
      <w:r>
        <w:rPr>
          <w:rFonts w:ascii="Arial" w:cs="Arial" w:eastAsia="Arial" w:hAnsi="Arial"/>
          <w:sz w:val="18"/>
          <w:szCs w:val="18"/>
          <w:color w:val="32406B"/>
        </w:rPr>
        <w:t xml:space="preserve"> diagnostic devices consisting of or containing CoV Antibodies.</w:t>
      </w:r>
    </w:p>
    <w:p>
      <w:pPr>
        <w:spacing w:after="0" w:line="184"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32406B"/>
        </w:rPr>
        <w:t>In February 2021, the Company achieved the first specified milestone under the agreement upon dosing of the first patient in a Phase 1 clinical trial evaluating ADG20, which obligated the Company to make a $1.0 million milestone payment to Adimab. In April 2021, the Company achieved the second specified milestone under the agreement upon dosing of the first patient in a Phase 2 clinical trial evaluating ADG20 for the prevention of COVID-19, which obligated the Company to make a $2.5 million milestone payment. The Company recognized the expense related to the expected achievement of the second milestone in early April, when certain Phase 1 clinical trial data was submitted to the FDA for review and the second milestone under the agreement became probable of achievement. The next potential milestone payment that the Company may be obligated to make under the agreement is a $4.0 million milestone payment for the first dosing of the first subject in the first Phase 3 clinical trial of a Product.</w:t>
      </w:r>
    </w:p>
    <w:p>
      <w:pPr>
        <w:spacing w:after="0" w:line="166"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32406B"/>
        </w:rPr>
        <w:t>The Company is also obligated to pay Adimab royalties of a mid 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which was paid by the Company to Adimab in March 2021, no other milestone, royalty or other contingent payments had become due to Adimab through December 31, 2020 or March 31, 2021 (unaudited).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164"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was recognized as acquired in-process research and development expense. For the period from June 3, 2020 (inception) to December 31, 2020 and for the three months ended March 31, 2021 (unaudited), the Company recognized $39.9 million and $1.0 million, respectively, as IPR&amp;D expense in connection with upfront consideration and contingent consideration payable under the Adimab Assignment Agreement.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21,250,000 shares of the Company’s common stock that it repurchased from Adimab on that same date. The Company allocated the $40.0 million fair value of the 5,000,000 shares of Series A Preferred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F-21</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32406B"/>
        </w:rPr>
        <w:t>Stock to the IPR&amp;D assets and to the repurchased common stock based on their relative fair values on the acquisition 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16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Amounts paid with respect to services performed by Adimab on the Company’s behalf under the Adimab Assignment Agreement are recognized as research and development expense as such amounts are incurred. For the period from June 3, 2020 (inception) to December 31, 2020 and for the three months ended March 31, 2021 (unaudited), the Company recognized $0.6 million and $0.2 million, respectively, of expense in connection with services provided by Adimab.</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WuXi Cell Line License Agreement</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32406B"/>
        </w:rPr>
        <w:t>The Company was obligated to pay an upfront fee of $0.2 million to WuXi upon completion of cell bank generation for the first Licensed Cell Line created under the arrangement. Such amount became due in December 2020 and was an accrued expense as of December 31, 2020 and March 31, 2021 (unaudited). The Company is also obligated to pay royalties in the range of 0.3% to 0.5%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December 31, 2020 and March 31, 2021 (unaudited), no royalties had become due to WuXi.</w:t>
      </w:r>
    </w:p>
    <w:p>
      <w:pPr>
        <w:spacing w:after="0" w:line="18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concluded that the Cell Line License Agreement represented an asset acquisition of IPR&amp;D with no alternative future use. The arrangement did not qualify as a business combination because substantially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F-22</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32406B"/>
        </w:rPr>
        <w:t>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250" w:lineRule="exact"/>
        <w:rPr>
          <w:sz w:val="20"/>
          <w:szCs w:val="20"/>
          <w:color w:val="auto"/>
        </w:rPr>
      </w:pPr>
    </w:p>
    <w:p>
      <w:pPr>
        <w:ind w:left="560" w:right="8300" w:hanging="444"/>
        <w:spacing w:after="0" w:line="453" w:lineRule="auto"/>
        <w:tabs>
          <w:tab w:leader="none" w:pos="300" w:val="left"/>
        </w:tabs>
        <w:numPr>
          <w:ilvl w:val="0"/>
          <w:numId w:val="149"/>
        </w:numPr>
        <w:rPr>
          <w:rFonts w:ascii="Arial" w:cs="Arial" w:eastAsia="Arial" w:hAnsi="Arial"/>
          <w:sz w:val="15"/>
          <w:szCs w:val="15"/>
          <w:b w:val="1"/>
          <w:bCs w:val="1"/>
          <w:color w:val="32406B"/>
        </w:rPr>
      </w:pPr>
      <w:r>
        <w:rPr>
          <w:rFonts w:ascii="Arial" w:cs="Arial" w:eastAsia="Arial" w:hAnsi="Arial"/>
          <w:sz w:val="15"/>
          <w:szCs w:val="15"/>
          <w:b w:val="1"/>
          <w:bCs w:val="1"/>
          <w:color w:val="32406B"/>
        </w:rPr>
        <w:t xml:space="preserve">Commitments and Contingencies </w:t>
      </w:r>
      <w:r>
        <w:rPr>
          <w:rFonts w:ascii="Arial" w:cs="Arial" w:eastAsia="Arial" w:hAnsi="Arial"/>
          <w:sz w:val="15"/>
          <w:szCs w:val="15"/>
          <w:b w:val="1"/>
          <w:bCs w:val="1"/>
          <w:i w:val="1"/>
          <w:iCs w:val="1"/>
          <w:color w:val="32406B"/>
        </w:rPr>
        <w:t>License Agreements</w:t>
      </w:r>
    </w:p>
    <w:p>
      <w:pPr>
        <w:ind w:left="560"/>
        <w:spacing w:after="0"/>
        <w:rPr>
          <w:rFonts w:ascii="Arial" w:cs="Arial" w:eastAsia="Arial" w:hAnsi="Arial"/>
          <w:sz w:val="15"/>
          <w:szCs w:val="15"/>
          <w:b w:val="1"/>
          <w:bCs w:val="1"/>
          <w:color w:val="32406B"/>
        </w:rPr>
      </w:pPr>
      <w:r>
        <w:rPr>
          <w:rFonts w:ascii="Arial" w:cs="Arial" w:eastAsia="Arial" w:hAnsi="Arial"/>
          <w:sz w:val="18"/>
          <w:szCs w:val="18"/>
          <w:color w:val="32406B"/>
        </w:rPr>
        <w:t>The Company has entered into license agreements with Adimab and WuXi (see Note 6).</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Manufacturing Agreements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December 2020, the Company entered into a Commercial Manufacturing Services Agreement with WuXi (the “Commercial Manufacturing Agreement”). The Commercial Manufacturing Agreement outlines the terms and conditions under which WuXi will manufacture ADG20 drug substance for commercial use.</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As of December 31, 2020 and March 31, 2021 (unaudited), the Company committed to minimum non-cancelable purchase obligations of $142.4 million related to batches of ADG20 drug substance and $0.5 million related to certain services with respect to the product requirements for 2021 and 2022, the payments for which will extend into 2023. Future minimum payments under non-cancelable purchase obligations associated with the Commercial Manufacturing Agreement as of December 31, 2020 are expected to be as follows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32406B"/>
                <w:w w:val="91"/>
              </w:rPr>
              <w:t>Year Ending December 31,</w:t>
            </w:r>
          </w:p>
        </w:tc>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32406B"/>
              </w:rPr>
              <w:t>2021</w:t>
            </w:r>
          </w:p>
        </w:tc>
        <w:tc>
          <w:tcPr>
            <w:tcW w:w="8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21,799</w:t>
            </w:r>
          </w:p>
        </w:tc>
        <w:tc>
          <w:tcPr>
            <w:tcW w:w="6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32406B"/>
              </w:rPr>
              <w:t>2022</w:t>
            </w: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32406B"/>
              </w:rPr>
              <w:t>66,972</w:t>
            </w:r>
          </w:p>
        </w:tc>
        <w:tc>
          <w:tcPr>
            <w:tcW w:w="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32406B"/>
              </w:rPr>
              <w:t>2023</w:t>
            </w:r>
          </w:p>
        </w:tc>
        <w:tc>
          <w:tcPr>
            <w:tcW w:w="8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54,094</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w w:val="89"/>
              </w:rPr>
              <w:t>142,865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As of December 31, 2020 and March 31, 2021 (unaudited), the Company had neither made any payments under the Commercial Manufacturing Agreement nor made any incremental purchases under the Commercial Manufacturing Agreement.</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Other Contracts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32406B"/>
        </w:rPr>
        <w:t>The Company has agreements with third parties that it enters into in the ordinary course of business for various products and services, including those related to research, preclinical and clinical operations, manufacturing and support. These contracts do not contain any minimum purchase commitments. Certain of these agreements provide for termination rights subject to the payment of termination fees and/or wind-down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F-23</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Legal Proceedings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2020 and March 31, 2021 (unaudited), the Company was not a party to any material legal proceedings.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Indemnification Agreements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32406B"/>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8. Convertible Preferred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has issued Series A Preferred Stock and Series B convertible preferred stock (the “Series B Preferred Stock” and, together with the Series A Preferred Stock, the “Preferred Stock”).</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6).</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In October and November 2020, the Company issued and sold 1,410,434 shares of Series B Preferred Stock, at a price of $56.72 per share, for gross proceeds of $80.0 million and incurred $0.2 million of issuance costs.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F-24</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April 2021, the Company issued and sold 4,296,550 shares of Series C convertible preferred stock, at a purchase price of $78.08578 per share, for aggregate gross proceeds of $335.5 million (see Note 15).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At the balance sheet dates, Preferred Stock consisted of the following (in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32406B"/>
                <w:w w:val="93"/>
              </w:rPr>
              <w:t>December 31, 2020 and March 31, 2021 (unaudited)</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32406B"/>
                <w:w w:val="89"/>
              </w:rPr>
              <w:t>Shares</w:t>
            </w: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32406B"/>
                <w:w w:val="95"/>
              </w:rPr>
              <w:t>Shares Issued</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32406B"/>
                <w:w w:val="97"/>
              </w:rPr>
              <w:t>Carrying</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32406B"/>
              </w:rPr>
              <w:t>Liquidation</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32406B"/>
                <w:w w:val="98"/>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2406B"/>
                <w:w w:val="88"/>
              </w:rPr>
              <w:t>and</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32406B"/>
                <w:w w:val="89"/>
              </w:rPr>
              <w:t>Issuable Upon</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5"/>
              </w:rPr>
              <w:t>Authorized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2406B"/>
                <w:w w:val="94"/>
              </w:rPr>
              <w:t>Outstanding</w:t>
            </w: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32406B"/>
                <w:w w:val="90"/>
              </w:rPr>
              <w:t>Value</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32406B"/>
                <w:w w:val="99"/>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0"/>
              </w:rPr>
              <w:t>Conversion</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Series A Preferred Stock</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11,237,500</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11,237,500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89,706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89,900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56,187,500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32406B"/>
              </w:rPr>
              <w:t>Series B Preferred Stock</w:t>
            </w:r>
          </w:p>
        </w:tc>
        <w:tc>
          <w:tcPr>
            <w:tcW w:w="940" w:type="dxa"/>
            <w:vAlign w:val="bottom"/>
          </w:tcPr>
          <w:p>
            <w:pPr>
              <w:jc w:val="right"/>
              <w:spacing w:after="0"/>
              <w:rPr>
                <w:sz w:val="20"/>
                <w:szCs w:val="20"/>
                <w:color w:val="auto"/>
              </w:rPr>
            </w:pPr>
            <w:r>
              <w:rPr>
                <w:rFonts w:ascii="Arial" w:cs="Arial" w:eastAsia="Arial" w:hAnsi="Arial"/>
                <w:sz w:val="18"/>
                <w:szCs w:val="18"/>
                <w:color w:val="32406B"/>
              </w:rPr>
              <w:t>1,410,434</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32406B"/>
              </w:rPr>
              <w:t>1,410,434</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32406B"/>
              </w:rPr>
              <w:t>79,842</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32406B"/>
              </w:rPr>
              <w:t>80,000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32406B"/>
              </w:rPr>
              <w:t>7,052,170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12,647,934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12,647,934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2406B"/>
                <w:w w:val="98"/>
              </w:rPr>
              <w:t>169,548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w w:val="98"/>
              </w:rPr>
              <w:t>169,900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63,239,670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holders of Preferred Stock have the following rights and preferences: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Voting</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The holders of the Preferred Stock are entitled to vote, together with the holders of common stock, on matters submitted to stockholders for a vote. Each holder of Preferred Stock is entitled to the number of votes equal to the number of whole shares of common stock into which the shares of Preferred Stock held by such holder is convertible as of the record date for determination of stockholders entitled to vote. The holders of Preferred Stock vote together with the holders of common stock as a single class on an as-converted basis. At any time when there are at least 2,250,000 shares of Series A Preferred Stock or at least 300,000 shares of Series B Preferred Stock (in each case, subject to appropriate adjustment in the event of any stock dividend, stock split, combination or other similar recapitalization) outstanding, certain actions such as mergers, acquisition, liquidation, dissolution, winding-up of the business, and deemed liquidation events, must be approved by a majority in voting power of the outstanding shares of Preferred Stock, voting as a single class.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addition, the holders of shares of Series A Preferred Stock, voting exclusively and as a separate class, are entitled to elect four directors of the Company. The holders of shares of common stock and any other class or series of voting stock (including the Preferred Stock), exclusively and voting together as a single class, are entitled to elect the balance of the total number of directors of the Company.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Conversion</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32406B"/>
        </w:rPr>
        <w:t>Each share of Preferred Stock is convertible at the option of the holder, at any time, and without the payment of additional consideration by the holder. In addition, each share of Preferred Stock will be automatically converted into shares of common stock at the then-effective applicable conversion ratio upon either (i) the closing of a firm commitment public offering of common stock at a price of at least $17.02 per share (subject to appropriate adjustment in the event of any stock dividend, stock split, combination or other similar recapitalization), or (ii) the date specified by vote or written consent of the holders of a majority in voting power of the outstanding shares of Preferred Stock, voting as a single class.</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conversion ratio of each series of Preferred Stock is determined by dividing the Original Issue Price of each series by the Conversion Price of each series. The Original Issue Price is $8.00 per share for the Series A Preferred Stock and $56.72 per share for the Series B Preferred Stock. The Conversion Price is $1.60 per share for the Series A Preferred Stock and $11.344 per share for the Series B Preferred Stock (in each case subject to appropriate adjustment in the event of any stock dividend, stock split, combination or other similar recapitalization and other adjustments as set forth in the Company’s certificate of incorporation, as amended 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F-25</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32406B"/>
        </w:rPr>
        <w:t>restated). As of December 31, 2020 and March 31, 2021 (unaudited), each share of Preferred Stock was convertible into common stock on a five-for-one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Dividends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32406B"/>
        </w:rPr>
        <w:t>The Company may not declare, pay or set aside any dividends on shares of any other class or series of capital stock (other than dividends on shares of common stock payable in shares of common stock) unless the holders of the Preferred Stock then outstanding first receive, or simultaneously receive, a dividend on each outstanding share of Preferred Stock in an amount at least equal to (i) in the case of a dividend being distributed to common stock or any class or series that is convertible into common stock, the equivalent dividend on an as-converted basis or (ii) in the case of a dividend being distributed on a class or series that is not convertible into common stock, a dividend equal to a dividend rate on each series of Preferred Stock calculated based on the respective Original Issue Price of each series of Preferred Stock. If the Company declares, pays or sets aside dividends on more than one class or series of capital stock, then the dividend payable to the holders of Preferred Stock will be calculated based on the dividend on the class or series of capital stock that would result in the highest dividend to the holders of Preferred Stock. Through December 31, 2020 and March 31, 2021 (unaudited), no dividends had been declared or paid by the Company.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Liquidation</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32406B"/>
        </w:rPr>
        <w:t xml:space="preserve">In the event of any voluntary or involuntary liquidation, dissolution or winding up of the Company, or upon the occurrence of a Deemed Liquidation Event (as defined below), the holders of shares of Preferred Stock then outstanding are entitled, on a </w:t>
      </w:r>
      <w:r>
        <w:rPr>
          <w:rFonts w:ascii="Arial" w:cs="Arial" w:eastAsia="Arial" w:hAnsi="Arial"/>
          <w:sz w:val="16"/>
          <w:szCs w:val="16"/>
          <w:i w:val="1"/>
          <w:iCs w:val="1"/>
          <w:color w:val="32406B"/>
        </w:rPr>
        <w:t>pari passu</w:t>
      </w:r>
      <w:r>
        <w:rPr>
          <w:rFonts w:ascii="Arial" w:cs="Arial" w:eastAsia="Arial" w:hAnsi="Arial"/>
          <w:sz w:val="16"/>
          <w:szCs w:val="16"/>
          <w:color w:val="32406B"/>
        </w:rPr>
        <w:t xml:space="preserve"> basis, to be paid out of the assets or funds of the Company available for distribution to stockholders before any payment is made to the holders of common stock. The holders of Preferred Stock are entitled to an amount per share equal to the greater of (i) the applicable Original Issue Price of such series of Preferred Stock, plus any dividends declared but unpaid thereon, or (ii) the amount that would have been payable had all shares of each series of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holders of shares of Preferred Stock the full amount to which they are entitled, then the holders of shares of Preferred Stock will share ratably in any distribution of the assets or funds available for distribution in proportion to the respective amounts which would otherwise be payable if it were paid in full.</w:t>
      </w:r>
    </w:p>
    <w:p>
      <w:pPr>
        <w:spacing w:after="0" w:line="16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Unless (i) the holders of a majority in voting power of the outstanding shares of Preferred Stock and (ii) with respect to the Series B Preferred Stock only, the holders of at least 65% of the outstanding shares of Series B Preferred Stock,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Redemption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32406B"/>
        </w:rPr>
        <w:t>The Preferred Stock does not have redemption rights, except for the contingent redemption upon the occurrence of a Deemed Liquidation Event.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9.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voting, dividend and liquidation rights of the holders of shares of the Company’s common stock are subject to and qualified by the rights, powers and preferences of the holders of the Preferred Stock set forth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F-26</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32406B"/>
        </w:rPr>
        <w:t>above. Each share of common stock entitles the holder to one vote for each share of common stock, together with the holders of Preferred Stock, on all matters submitted to the stockholders for a vote.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As of December 31, 2020 and March 31, 2021 (unaudited), the Company had reserved 80,466,735 shares of common stock for the potential conversion of shares of Preferred Stock into common stock, the exercise of outstanding stock options and the issuance of awards available for grant under the 2020 Equity Incentive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Treasury Stock</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2020 and March 31, 2021 (unaudited), the shares of common stock repurchased from Adimab were recorded as treasury stock in the accompanying consolidated balance sheets and consolidated statements of convertible preferred stock and stockholders’ deficit as such shares were not retired. The fair value of the repurchased common stock was $0.004 per share, or $85,000 in the aggregate, as determined based on a third-party valuation (see Note 6).</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In April and May 2021, an aggregate of 22,600,000 shares of common stock held in treasury were retired (see Note 15).</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10. 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2020 Equity Incentive Plan</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32406B"/>
        </w:rPr>
        <w:t>The number of shares of common stock initially reserved for issuances under the 2020 Plan was 9,926,470 shares. In October 2020, the Company’s board of directors increased the number of shares of common stock reserved for issuance under the plan from 9,926,470 shares to 22,820,305 shares. Accordingly, there were a total of 22,820,305 shares of common stock authorized for issuance under the 2020 Plan at December 31, 2020 and March 31, 2021 (unaudited). Shares of unused common stock that cover awards that expire or lapse or are terminated, surrendered or canceled without having been fully exercised or are forfeited will again be available for the grant of awards under the 2020 Plan. As of December 31, 2020 and March 31, 2021 (unaudited), there were 14,258,995 shares and 11,860,995 shares, respectively, remaining available for future grant under the 2020 Plan.</w:t>
      </w:r>
    </w:p>
    <w:p>
      <w:pPr>
        <w:spacing w:after="0" w:line="16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The Company’s board of directors determines the fair value the Company’s common stock, taking into consideration its most recently available valuation of common stock performed by third parties as well as additional factors which may have changed since the date of the most recent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F-27</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32406B"/>
        </w:rPr>
        <w:t>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Stock Option Valuation</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32406B"/>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following table presents, on a weighted-average basis, the assumptions used in the Black-Scholes option-pricing model to determine the fair value of stock options granted: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32406B"/>
                <w:w w:val="94"/>
              </w:rPr>
              <w:t>Period from</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32406B"/>
                <w:w w:val="93"/>
              </w:rPr>
              <w:t>Three Months</w:t>
            </w:r>
          </w:p>
        </w:tc>
      </w:tr>
      <w:tr>
        <w:trPr>
          <w:trHeight w:val="148"/>
        </w:trPr>
        <w:tc>
          <w:tcPr>
            <w:tcW w:w="36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32406B"/>
                <w:w w:val="93"/>
              </w:rPr>
              <w:t>June 3, 2020</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32406B"/>
                <w:w w:val="93"/>
              </w:rPr>
              <w:t>Ended</w:t>
            </w:r>
          </w:p>
        </w:tc>
      </w:tr>
      <w:tr>
        <w:trPr>
          <w:trHeight w:val="149"/>
        </w:trPr>
        <w:tc>
          <w:tcPr>
            <w:tcW w:w="36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32406B"/>
                <w:w w:val="92"/>
              </w:rPr>
              <w:t>(Inception) to</w:t>
            </w:r>
          </w:p>
        </w:tc>
        <w:tc>
          <w:tcPr>
            <w:tcW w:w="10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32406B"/>
                <w:w w:val="95"/>
              </w:rPr>
              <w:t>March 31,</w:t>
            </w:r>
          </w:p>
        </w:tc>
      </w:tr>
      <w:tr>
        <w:trPr>
          <w:trHeight w:val="171"/>
        </w:trPr>
        <w:tc>
          <w:tcPr>
            <w:tcW w:w="36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32406B"/>
                <w:w w:val="91"/>
              </w:rPr>
              <w:t>December 31, 2020</w:t>
            </w:r>
          </w:p>
        </w:tc>
        <w:tc>
          <w:tcPr>
            <w:tcW w:w="10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32406B"/>
                <w:w w:val="96"/>
              </w:rPr>
              <w:t>2021</w:t>
            </w:r>
          </w:p>
        </w:tc>
        <w:tc>
          <w:tcPr>
            <w:tcW w:w="220" w:type="dxa"/>
            <w:vAlign w:val="bottom"/>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32406B"/>
                <w:w w:val="94"/>
              </w:rPr>
              <w:t>(unaudited)</w:t>
            </w:r>
          </w:p>
        </w:tc>
        <w:tc>
          <w:tcPr>
            <w:tcW w:w="220" w:type="dxa"/>
            <w:vAlign w:val="bottom"/>
          </w:tcPr>
          <w:p>
            <w:pPr>
              <w:spacing w:after="0"/>
              <w:rPr>
                <w:sz w:val="12"/>
                <w:szCs w:val="12"/>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32406B"/>
              </w:rPr>
              <w:t>Fair value of common stock</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22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32406B"/>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rPr>
              <w:t>4.61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32406B"/>
              </w:rPr>
              <w:t>Expected term (in years)</w:t>
            </w: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8"/>
                <w:szCs w:val="18"/>
                <w:color w:val="32406B"/>
              </w:rPr>
              <w:t>6.1</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32406B"/>
              </w:rPr>
              <w:t>6.0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32406B"/>
              </w:rPr>
              <w:t>Expected volatility</w:t>
            </w: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32406B"/>
              </w:rPr>
              <w:t>72.3%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73.5%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32406B"/>
              </w:rPr>
              <w:t>Risk-free interest rate</w:t>
            </w: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2"/>
          </w:tcPr>
          <w:p>
            <w:pPr>
              <w:jc w:val="right"/>
              <w:ind w:right="1060"/>
              <w:spacing w:after="0"/>
              <w:rPr>
                <w:sz w:val="20"/>
                <w:szCs w:val="20"/>
                <w:color w:val="auto"/>
              </w:rPr>
            </w:pPr>
            <w:r>
              <w:rPr>
                <w:rFonts w:ascii="Arial" w:cs="Arial" w:eastAsia="Arial" w:hAnsi="Arial"/>
                <w:sz w:val="18"/>
                <w:szCs w:val="18"/>
                <w:color w:val="32406B"/>
              </w:rPr>
              <w:t>0.4%</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32406B"/>
              </w:rPr>
              <w:t>0.6%</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32406B"/>
              </w:rPr>
              <w:t>Expected dividend yield</w:t>
            </w: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32406B"/>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r>
      <w:tr>
        <w:trPr>
          <w:trHeight w:val="365"/>
        </w:trPr>
        <w:tc>
          <w:tcPr>
            <w:tcW w:w="3680" w:type="dxa"/>
            <w:vAlign w:val="bottom"/>
          </w:tcPr>
          <w:p>
            <w:pPr>
              <w:spacing w:after="0"/>
              <w:rPr>
                <w:sz w:val="24"/>
                <w:szCs w:val="24"/>
                <w:color w:val="auto"/>
              </w:rPr>
            </w:pPr>
          </w:p>
        </w:tc>
        <w:tc>
          <w:tcPr>
            <w:tcW w:w="4020" w:type="dxa"/>
            <w:vAlign w:val="bottom"/>
            <w:gridSpan w:val="2"/>
          </w:tcPr>
          <w:p>
            <w:pPr>
              <w:jc w:val="right"/>
              <w:ind w:right="1948"/>
              <w:spacing w:after="0"/>
              <w:rPr>
                <w:sz w:val="20"/>
                <w:szCs w:val="20"/>
                <w:color w:val="auto"/>
              </w:rPr>
            </w:pPr>
            <w:r>
              <w:rPr>
                <w:rFonts w:ascii="Arial" w:cs="Arial" w:eastAsia="Arial" w:hAnsi="Arial"/>
                <w:sz w:val="18"/>
                <w:szCs w:val="18"/>
                <w:color w:val="32406B"/>
              </w:rPr>
              <w:t>F-28</w:t>
            </w: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The following table summarizes the Company’s stock option activity since June 3,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Weighted-</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0"/>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32406B"/>
                <w:w w:val="92"/>
              </w:rPr>
              <w:t>Aggregate</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32406B"/>
              </w:rPr>
              <w:t>Number of</w:t>
            </w:r>
          </w:p>
        </w:tc>
        <w:tc>
          <w:tcPr>
            <w:tcW w:w="2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32406B"/>
                <w:w w:val="90"/>
              </w:rPr>
              <w:t>Average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4"/>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32406B"/>
                <w:w w:val="90"/>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2406B"/>
                <w:w w:val="95"/>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95"/>
              </w:rPr>
              <w:t>Intrinsic</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32406B"/>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32406B"/>
                <w:w w:val="93"/>
              </w:rPr>
              <w:t>Price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2406B"/>
                <w:w w:val="93"/>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2406B"/>
                <w:w w:val="96"/>
              </w:rPr>
              <w:t>Value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32406B"/>
                <w:w w:val="93"/>
              </w:rPr>
              <w:t>(in years)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32406B"/>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32406B"/>
              </w:rPr>
              <w:t>Outstanding at June 3, 2020 (inception)</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32406B"/>
              </w:rPr>
              <w:t>Granted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32406B"/>
              </w:rPr>
              <w:t>9,911,310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32406B"/>
              </w:rPr>
              <w:t>0.24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Exercised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32406B"/>
                <w:w w:val="95"/>
              </w:rPr>
              <w:t>(6,943,240)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0.01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32406B"/>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32406B"/>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32406B"/>
              </w:rPr>
              <w: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32406B"/>
              </w:rPr>
              <w:t>Outstanding at December 31, 2020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2,968,070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0.78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9.8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11,362</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32406B"/>
              </w:rPr>
              <w:t>Granted (unaudited)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32406B"/>
              </w:rPr>
              <w:t>2,513,000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32406B"/>
              </w:rPr>
              <w:t>4.61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Exercised (unaudited)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32406B"/>
              </w:rPr>
              <w:t>Forfeited (unaudited)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32406B"/>
              </w:rPr>
              <w:t>(115,000)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32406B"/>
              </w:rPr>
              <w:t>4.61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32406B"/>
              </w:rPr>
              <w:t>Outstanding at March 31, 2021 (unaudited)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5,366,070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2.49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9.6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31,495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32406B"/>
              </w:rPr>
              <w:t>Vested and expected to vest at December 31, 2020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32406B"/>
                <w:w w:val="99"/>
              </w:rPr>
              <w:t>$</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32406B"/>
              </w:rPr>
              <w:t>0.78</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32406B"/>
              </w:rPr>
              <w:t>9.8</w:t>
            </w: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32406B"/>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32406B"/>
              </w:rPr>
              <w:t>11,362</w:t>
            </w: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2406B"/>
              </w:rPr>
              <w:t>2,968,070</w:t>
            </w:r>
          </w:p>
        </w:tc>
        <w:tc>
          <w:tcPr>
            <w:tcW w:w="2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32406B"/>
              </w:rPr>
              <w:t>Options exercisable at December 31, 2020</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32406B"/>
              </w:rPr>
              <w:t>Vested and expected to vest at March 31, 2021 (unaudited)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32406B"/>
              </w:rPr>
              <w:t>5,366,070</w:t>
            </w:r>
          </w:p>
        </w:tc>
        <w:tc>
          <w:tcPr>
            <w:tcW w:w="340" w:type="dxa"/>
            <w:vAlign w:val="bottom"/>
            <w:gridSpan w:val="2"/>
          </w:tcPr>
          <w:p>
            <w:pPr>
              <w:ind w:left="220"/>
              <w:spacing w:after="0"/>
              <w:rPr>
                <w:sz w:val="20"/>
                <w:szCs w:val="20"/>
                <w:color w:val="auto"/>
              </w:rPr>
            </w:pPr>
            <w:r>
              <w:rPr>
                <w:rFonts w:ascii="Arial" w:cs="Arial" w:eastAsia="Arial" w:hAnsi="Arial"/>
                <w:sz w:val="18"/>
                <w:szCs w:val="18"/>
                <w:color w:val="32406B"/>
                <w:w w:val="9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32406B"/>
              </w:rPr>
              <w:t>2.49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32406B"/>
              </w:rPr>
              <w:t>9.6</w:t>
            </w:r>
          </w:p>
        </w:tc>
        <w:tc>
          <w:tcPr>
            <w:tcW w:w="320" w:type="dxa"/>
            <w:vAlign w:val="bottom"/>
            <w:gridSpan w:val="2"/>
          </w:tcPr>
          <w:p>
            <w:pPr>
              <w:ind w:left="220"/>
              <w:spacing w:after="0"/>
              <w:rPr>
                <w:sz w:val="20"/>
                <w:szCs w:val="20"/>
                <w:color w:val="auto"/>
              </w:rPr>
            </w:pPr>
            <w:r>
              <w:rPr>
                <w:rFonts w:ascii="Arial" w:cs="Arial" w:eastAsia="Arial" w:hAnsi="Arial"/>
                <w:sz w:val="18"/>
                <w:szCs w:val="18"/>
                <w:color w:val="32406B"/>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32406B"/>
              </w:rPr>
              <w:t>31,495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32406B"/>
              </w:rPr>
              <w:t>Options exercisable at March 31, 2021 (unaudited)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32406B"/>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9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32406B"/>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32406B"/>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32406B"/>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2020 and March 31, 2021 (unaudited), as applicable. All stock options exercised during the period from June 3, 2020 (inception) to December 31, 2020 were made pursuant to awards that contain early-exercise provisions. The intrinsic value of the options that were exercised for the period from June 3, 2020 (inception) to December 31, 2020 was $14,000.</w:t>
      </w:r>
    </w:p>
    <w:p>
      <w:pPr>
        <w:spacing w:after="0" w:line="18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The weighted-average grant date fair value of stock options granted during the period from June 3, 2020 (inception) to December 31, 2020 and for the three months ended March 31, 2021 (unaudited) was $0.21 and $2.95, respectively, per option.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Early Exercise of Stock Options into Restricted Stock</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The Company’s restricted stock activity during the period from June 3, 2020 (inception) to December 31, 2020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F-29</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32406B"/>
        </w:rPr>
        <w:t>A summary of the Company’s unvested common stock from option early exercises that is subject to repurchase by the Company is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32406B"/>
              </w:rPr>
              <w:t>Number</w:t>
            </w:r>
          </w:p>
        </w:tc>
      </w:tr>
      <w:tr>
        <w:trPr>
          <w:trHeight w:val="171"/>
        </w:trPr>
        <w:tc>
          <w:tcPr>
            <w:tcW w:w="99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32406B"/>
              </w:rPr>
              <w:t>of Shares</w:t>
            </w: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Unvested restricted stock at June 3, 2020 (inception)</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32406B"/>
              </w:rPr>
              <w:t>Issued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32406B"/>
              </w:rPr>
              <w:t>6,943,240</w:t>
            </w: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Vested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r>
      <w:tr>
        <w:trPr>
          <w:trHeight w:val="223"/>
        </w:trPr>
        <w:tc>
          <w:tcPr>
            <w:tcW w:w="9900" w:type="dxa"/>
            <w:vAlign w:val="bottom"/>
          </w:tcPr>
          <w:p>
            <w:pPr>
              <w:ind w:left="360"/>
              <w:spacing w:after="0"/>
              <w:rPr>
                <w:sz w:val="20"/>
                <w:szCs w:val="20"/>
                <w:color w:val="auto"/>
              </w:rPr>
            </w:pPr>
            <w:r>
              <w:rPr>
                <w:rFonts w:ascii="Arial" w:cs="Arial" w:eastAsia="Arial" w:hAnsi="Arial"/>
                <w:sz w:val="18"/>
                <w:szCs w:val="18"/>
                <w:color w:val="32406B"/>
              </w:rPr>
              <w:t>Repurchased</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32406B"/>
              </w:rPr>
              <w:t>(1,350,000)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32406B"/>
              </w:rPr>
              <w:t>Unvested restricted stock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5,593,240</w:t>
            </w:r>
          </w:p>
        </w:tc>
        <w:tc>
          <w:tcPr>
            <w:tcW w:w="140" w:type="dxa"/>
            <w:vAlign w:val="bottom"/>
            <w:shd w:val="clear" w:color="auto" w:fill="CCEEFF"/>
          </w:tcPr>
          <w:p>
            <w:pPr>
              <w:spacing w:after="0"/>
              <w:rPr>
                <w:sz w:val="18"/>
                <w:szCs w:val="18"/>
                <w:color w:val="auto"/>
              </w:rPr>
            </w:pPr>
          </w:p>
        </w:tc>
      </w:tr>
      <w:tr>
        <w:trPr>
          <w:trHeight w:val="216"/>
        </w:trPr>
        <w:tc>
          <w:tcPr>
            <w:tcW w:w="9900" w:type="dxa"/>
            <w:vAlign w:val="bottom"/>
          </w:tcPr>
          <w:p>
            <w:pPr>
              <w:ind w:left="360"/>
              <w:spacing w:after="0"/>
              <w:rPr>
                <w:sz w:val="20"/>
                <w:szCs w:val="20"/>
                <w:color w:val="auto"/>
              </w:rPr>
            </w:pPr>
            <w:r>
              <w:rPr>
                <w:rFonts w:ascii="Arial" w:cs="Arial" w:eastAsia="Arial" w:hAnsi="Arial"/>
                <w:sz w:val="18"/>
                <w:szCs w:val="18"/>
                <w:color w:val="32406B"/>
              </w:rPr>
              <w:t>Issued (unaudited)</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r>
      <w:tr>
        <w:trPr>
          <w:trHeight w:val="216"/>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Vested (unaudited)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r>
      <w:tr>
        <w:trPr>
          <w:trHeight w:val="223"/>
        </w:trPr>
        <w:tc>
          <w:tcPr>
            <w:tcW w:w="9900" w:type="dxa"/>
            <w:vAlign w:val="bottom"/>
          </w:tcPr>
          <w:p>
            <w:pPr>
              <w:ind w:left="360"/>
              <w:spacing w:after="0"/>
              <w:rPr>
                <w:sz w:val="20"/>
                <w:szCs w:val="20"/>
                <w:color w:val="auto"/>
              </w:rPr>
            </w:pPr>
            <w:r>
              <w:rPr>
                <w:rFonts w:ascii="Arial" w:cs="Arial" w:eastAsia="Arial" w:hAnsi="Arial"/>
                <w:sz w:val="18"/>
                <w:szCs w:val="18"/>
                <w:color w:val="32406B"/>
              </w:rPr>
              <w:t>Repurchased (unaudited)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2406B"/>
              </w:rPr>
              <w:t>—</w:t>
            </w:r>
          </w:p>
        </w:tc>
        <w:tc>
          <w:tcPr>
            <w:tcW w:w="140" w:type="dxa"/>
            <w:vAlign w:val="bottom"/>
          </w:tcPr>
          <w:p>
            <w:pPr>
              <w:spacing w:after="0"/>
              <w:rPr>
                <w:sz w:val="19"/>
                <w:szCs w:val="19"/>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32406B"/>
              </w:rPr>
              <w:t>Unvested restricted stock at March 31, 2021 (unaudited)</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5,593,240</w:t>
            </w:r>
          </w:p>
        </w:tc>
      </w:tr>
      <w:tr>
        <w:trPr>
          <w:trHeight w:val="20"/>
        </w:trPr>
        <w:tc>
          <w:tcPr>
            <w:tcW w:w="9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December 31, 2020 and March 31, 2021 (unaudited), the liability related to the payments for unvested shares from early-exercised options was $11,000 at each date.</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December 2020, the Company repurchased 1,350,000 shares of restricted common stock for $2,700, which was recorded as a reduction of the early-exercise liability and as shares of treasury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Stock-Based Compensation Expense</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32406B"/>
        </w:rPr>
        <w:t>The Company recorded stock-based compensation expense in the following expense categories of its consolidated statements of operations and comprehensive loss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32406B"/>
                <w:w w:val="96"/>
              </w:rPr>
              <w:t>Period from</w:t>
            </w:r>
          </w:p>
        </w:tc>
        <w:tc>
          <w:tcPr>
            <w:tcW w:w="540" w:type="dxa"/>
            <w:vAlign w:val="bottom"/>
          </w:tcPr>
          <w:p>
            <w:pPr>
              <w:spacing w:after="0"/>
              <w:rPr>
                <w:sz w:val="14"/>
                <w:szCs w:val="14"/>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32406B"/>
                <w:w w:val="95"/>
              </w:rPr>
              <w:t>Three Months</w:t>
            </w:r>
          </w:p>
        </w:tc>
      </w:tr>
      <w:tr>
        <w:trPr>
          <w:trHeight w:val="149"/>
        </w:trPr>
        <w:tc>
          <w:tcPr>
            <w:tcW w:w="5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32406B"/>
                <w:w w:val="93"/>
              </w:rPr>
              <w:t>Ended</w:t>
            </w:r>
          </w:p>
        </w:tc>
      </w:tr>
      <w:tr>
        <w:trPr>
          <w:trHeight w:val="148"/>
        </w:trPr>
        <w:tc>
          <w:tcPr>
            <w:tcW w:w="5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32406B"/>
                <w:w w:val="94"/>
              </w:rPr>
              <w:t>(Inception)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2406B"/>
                <w:w w:val="99"/>
              </w:rPr>
              <w:t>March 31,</w:t>
            </w:r>
          </w:p>
        </w:tc>
      </w:tr>
      <w:tr>
        <w:trPr>
          <w:trHeight w:val="171"/>
        </w:trPr>
        <w:tc>
          <w:tcPr>
            <w:tcW w:w="51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32406B"/>
                <w:w w:val="91"/>
              </w:rPr>
              <w:t>December 31, 2020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9"/>
              <w:spacing w:after="0"/>
              <w:rPr>
                <w:sz w:val="20"/>
                <w:szCs w:val="20"/>
                <w:color w:val="auto"/>
              </w:rPr>
            </w:pPr>
            <w:r>
              <w:rPr>
                <w:rFonts w:ascii="Arial" w:cs="Arial" w:eastAsia="Arial" w:hAnsi="Arial"/>
                <w:sz w:val="14"/>
                <w:szCs w:val="14"/>
                <w:b w:val="1"/>
                <w:bCs w:val="1"/>
                <w:color w:val="32406B"/>
                <w:w w:val="89"/>
              </w:rPr>
              <w:t>2021</w:t>
            </w:r>
          </w:p>
        </w:tc>
        <w:tc>
          <w:tcPr>
            <w:tcW w:w="6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32406B"/>
                <w:w w:val="94"/>
              </w:rPr>
              <w:t>(unaudited)</w:t>
            </w:r>
          </w:p>
        </w:tc>
        <w:tc>
          <w:tcPr>
            <w:tcW w:w="6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32406B"/>
              </w:rPr>
              <w:t>Research and development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125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279</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32406B"/>
              </w:rPr>
              <w:t>Selling, general and administrative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32406B"/>
              </w:rPr>
              <w:t>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32406B"/>
              </w:rPr>
              <w:t>308</w:t>
            </w:r>
          </w:p>
        </w:tc>
      </w:tr>
      <w:tr>
        <w:trPr>
          <w:trHeight w:val="27"/>
        </w:trPr>
        <w:tc>
          <w:tcPr>
            <w:tcW w:w="5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32406B"/>
              </w:rPr>
              <w:t>155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2406B"/>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587</w:t>
            </w:r>
          </w:p>
        </w:tc>
      </w:tr>
      <w:tr>
        <w:trPr>
          <w:trHeight w:val="20"/>
        </w:trPr>
        <w:tc>
          <w:tcPr>
            <w:tcW w:w="5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As of December 31, 2020, total unrecognized stock-based compensation cost related to unvested awards was $1.9 million and the weighted-average period over which such expense is expected to be recognized is 3.5 years. As of March 31, 2021 (unaudited), total unrecognized stock-based compensation cost related to unvested awards was $8.4 million and the weighted-average period over which such expense is expected to be recognized is 3.3 years.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F-30</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11. Income Taxes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32406B"/>
        </w:rPr>
        <w:t>During the period from June 3, 2020 (inception) to December 31, 2020 and three months ended March 31, 2021 (unaudited), the Company did not record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 March 2020, the Coronavirus Aid, Relief, and Economic Security (“CARES”) Act was enacted. Among the business provisions, the CARES Act provided for various payroll tax incentives, changes to net operating loss carryback and carryforward rules, business interest expense limitation increases, and bonus depreciation on qualified improvement property. The Company determined that the CARES Act did not have a significant impact on its provision for income taxes.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A reconciliation of the U.S. federal statutory income tax rate to the Company’s effective income tax rate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32406B"/>
                <w:w w:val="94"/>
              </w:rPr>
              <w:t>Period from</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32406B"/>
                <w:w w:val="91"/>
              </w:rPr>
              <w:t>June 3, 2020</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8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32406B"/>
                <w:w w:val="92"/>
              </w:rPr>
              <w:t>(Inception)</w:t>
            </w:r>
          </w:p>
        </w:tc>
        <w:tc>
          <w:tcPr>
            <w:tcW w:w="60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32406B"/>
              </w:rPr>
              <w:t>to</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32406B"/>
                <w:w w:val="91"/>
              </w:rPr>
              <w:t>December 31, 2020</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32406B"/>
              </w:rPr>
              <w:t>Federal statutory income tax rate</w:t>
            </w:r>
          </w:p>
        </w:tc>
        <w:tc>
          <w:tcPr>
            <w:tcW w:w="14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32406B"/>
              </w:rPr>
              <w:t>(21.0)%</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32406B"/>
              </w:rPr>
              <w:t>State income taxes, net of federal benefit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32406B"/>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Federal and state research and development tax credits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2406B"/>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32406B"/>
              </w:rPr>
              <w:t>Non-deductible IPR&amp;D expense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32406B"/>
                <w:w w:val="91"/>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Change in deferred tax asset valuation allowance</w:t>
            </w:r>
          </w:p>
        </w:tc>
        <w:tc>
          <w:tcPr>
            <w:tcW w:w="4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32406B"/>
              </w:rPr>
              <w:t>Effective income tax rate</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Arial" w:cs="Arial" w:eastAsia="Arial" w:hAnsi="Arial"/>
                <w:sz w:val="18"/>
                <w:szCs w:val="18"/>
                <w:color w:val="32406B"/>
              </w:rPr>
              <w:t>The Company’s net deferred tax assets consisted of the following (in thousands):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32406B"/>
              </w:rPr>
              <w:t>December 31,</w:t>
            </w:r>
          </w:p>
        </w:tc>
        <w:tc>
          <w:tcPr>
            <w:tcW w:w="0" w:type="dxa"/>
            <w:vAlign w:val="bottom"/>
          </w:tcPr>
          <w:p>
            <w:pPr>
              <w:spacing w:after="0"/>
              <w:rPr>
                <w:sz w:val="1"/>
                <w:szCs w:val="1"/>
                <w:color w:val="auto"/>
              </w:rPr>
            </w:pPr>
          </w:p>
        </w:tc>
      </w:tr>
      <w:tr>
        <w:trPr>
          <w:trHeight w:val="171"/>
        </w:trPr>
        <w:tc>
          <w:tcPr>
            <w:tcW w:w="9600" w:type="dxa"/>
            <w:vAlign w:val="bottom"/>
          </w:tcPr>
          <w:p>
            <w:pPr>
              <w:spacing w:after="0"/>
              <w:rPr>
                <w:sz w:val="14"/>
                <w:szCs w:val="14"/>
                <w:color w:val="auto"/>
              </w:rPr>
            </w:pPr>
          </w:p>
        </w:tc>
        <w:tc>
          <w:tcPr>
            <w:tcW w:w="1160" w:type="dxa"/>
            <w:vAlign w:val="bottom"/>
            <w:gridSpan w:val="3"/>
          </w:tcPr>
          <w:p>
            <w:pPr>
              <w:jc w:val="right"/>
              <w:ind w:right="51"/>
              <w:spacing w:after="0"/>
              <w:rPr>
                <w:sz w:val="20"/>
                <w:szCs w:val="20"/>
                <w:color w:val="auto"/>
              </w:rPr>
            </w:pPr>
            <w:r>
              <w:rPr>
                <w:rFonts w:ascii="Arial" w:cs="Arial" w:eastAsia="Arial" w:hAnsi="Arial"/>
                <w:sz w:val="14"/>
                <w:szCs w:val="14"/>
                <w:b w:val="1"/>
                <w:bCs w:val="1"/>
                <w:color w:val="32406B"/>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Deferred tax assets:</w:t>
            </w: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32406B"/>
              </w:rPr>
              <w:t>Net operating loss carryforwards</w:t>
            </w:r>
          </w:p>
        </w:tc>
        <w:tc>
          <w:tcPr>
            <w:tcW w:w="820" w:type="dxa"/>
            <w:vAlign w:val="bottom"/>
            <w:gridSpan w:val="2"/>
          </w:tcPr>
          <w:p>
            <w:pPr>
              <w:ind w:left="460"/>
              <w:spacing w:after="0"/>
              <w:rPr>
                <w:sz w:val="20"/>
                <w:szCs w:val="20"/>
                <w:color w:val="auto"/>
              </w:rPr>
            </w:pPr>
            <w:r>
              <w:rPr>
                <w:rFonts w:ascii="Arial" w:cs="Arial" w:eastAsia="Arial" w:hAnsi="Arial"/>
                <w:sz w:val="18"/>
                <w:szCs w:val="18"/>
                <w:color w:val="32406B"/>
              </w:rPr>
              <w:t>$</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32406B"/>
              </w:rPr>
              <w:t>5,340</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32406B"/>
              </w:rPr>
              <w:t>Research and development tax credits carryforwards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138</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32406B"/>
              </w:rPr>
              <w:t>Other</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32406B"/>
              </w:rPr>
              <w:t>204</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deferred tax assets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5,682</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32406B"/>
              </w:rPr>
              <w:t>Deferred tax liabilities:</w:t>
            </w:r>
          </w:p>
        </w:tc>
        <w:tc>
          <w:tcPr>
            <w:tcW w:w="4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Total deferred tax liabilities</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32406B"/>
              </w:rPr>
              <w:t>Valuation allowance</w:t>
            </w:r>
          </w:p>
        </w:tc>
        <w:tc>
          <w:tcPr>
            <w:tcW w:w="4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32406B"/>
                <w:w w:val="80"/>
              </w:rPr>
              <w:t>(5,682)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32406B"/>
              </w:rPr>
              <w:t>Net deferred tax assets</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32406B"/>
              </w:rPr>
              <w:t>$</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2406B"/>
              </w:rPr>
              <w:t>—</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32406B"/>
        </w:rPr>
        <w:t>As of December 31, 2020, the Company had U.S. federal net operating loss carryforwards of $24.4 million, which may be available to reduce future taxable income. All of the U.S. federal net operating loss carryforwards have an indefinite carryforward period but are limited in their usage to an annual deduction equal to 80% of annual taxable income. In addition, as of December 31, 2020, the Company had state net operating loss carryforwards of $3.7 million, which may be available to reduce future taxable income, of which $0.3 million have an indefinite carryforward period while the remaining $3.4 million begin to expire in 2040. As of December 31, 2020, the Company also had U.S. federal and state research and development tax credit carryforwards of $0.1 million and $16,000, respectively, which may be available to reduce future tax liabilities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32406B"/>
        </w:rPr>
        <w:t>F-31</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ind w:left="120" w:right="3160" w:firstLine="3150"/>
        <w:spacing w:after="0" w:line="454" w:lineRule="auto"/>
        <w:rPr>
          <w:sz w:val="20"/>
          <w:szCs w:val="20"/>
          <w:color w:val="auto"/>
        </w:rPr>
      </w:pPr>
      <w:r>
        <w:rPr>
          <w:rFonts w:ascii="Arial" w:cs="Arial" w:eastAsia="Arial" w:hAnsi="Arial"/>
          <w:sz w:val="18"/>
          <w:szCs w:val="18"/>
          <w:b w:val="1"/>
          <w:bCs w:val="1"/>
          <w:color w:val="32406B"/>
        </w:rPr>
        <w:t xml:space="preserve">NOTES TO CONSOLIDATED FINANCIAL STATEMENTS </w:t>
      </w:r>
      <w:r>
        <w:rPr>
          <w:rFonts w:ascii="Arial" w:cs="Arial" w:eastAsia="Arial" w:hAnsi="Arial"/>
          <w:sz w:val="18"/>
          <w:szCs w:val="18"/>
          <w:color w:val="32406B"/>
        </w:rPr>
        <w:t>and expire at various dates beginning in 2040 and 2035, respectively.</w:t>
      </w:r>
    </w:p>
    <w:p>
      <w:pPr>
        <w:spacing w:after="0" w:line="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32406B"/>
        </w:rPr>
        <w:t>Utilization of the U.S. federal and state net operating loss carryforwards and research and development tax credit carryforwards may be subject to a substantial annual limitation under Sections 382 and 383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their utilization. Further, until a study is completed by the Company and any limitation is known, no amounts are being presented as an uncertain tax position.</w:t>
      </w:r>
    </w:p>
    <w:p>
      <w:pPr>
        <w:spacing w:after="0" w:line="16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32406B"/>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2020 and March 31, 2021 (unaudited). Management reevaluates the positive and negative evidence at each reporting period. During the period from June 3, 2020 (inception) to December 31, 2020, the Company increased its valuation allowance by $5.7 million, with such increase recognized as income tax expense, in order to maintain a full valuation allowance against its deferred tax assets, and there were no changes recorded to the allowance during the period.</w:t>
      </w:r>
    </w:p>
    <w:p>
      <w:pPr>
        <w:spacing w:after="0" w:line="17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financial statements is reduced by the largest benefit that has a greater than 50% likelihood of being realized upon the ultimate settlement with the relevant taxing authority. As of December 31, 2020 and March 31, 2021 (unaudited), the Company had not recorded any reserves for uncertain tax positions or related interest and penalties.</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32406B"/>
        </w:rPr>
        <w:t>The Company files income tax returns in the U.S. federal and various state jurisdictions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12. Defined Contribution Plan</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maintains a 401(k) Plan (the “401(k) Plan”) for the benefit of eligible employees. The 401(k) Plan is a defined contribution plan under Section 401(k) of the Internal Revenue Code of 1986 that covers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F-32</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32406B"/>
        </w:rPr>
        <w:t>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period from June 3, 2020 (inception) to December 31, 2020 and the three months ended March 31, 2021 (unaudited), the Company made contributions of $36,000 and $0.1 million, respectively, to the 401(k)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13. Net Loss per Share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Basic and diluted net loss per share attributable to common stockholders was calculated as follows (in thousands, except share and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32406B"/>
                <w:w w:val="94"/>
              </w:rPr>
              <w:t>Period from</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1"/>
              </w:rPr>
              <w:t>June 3, 2020</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2406B"/>
                <w:w w:val="94"/>
              </w:rPr>
              <w:t>(Inception) to</w:t>
            </w:r>
          </w:p>
        </w:tc>
      </w:tr>
      <w:tr>
        <w:trPr>
          <w:trHeight w:val="171"/>
        </w:trPr>
        <w:tc>
          <w:tcPr>
            <w:tcW w:w="974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32406B"/>
                <w:w w:val="91"/>
              </w:rPr>
              <w:t>December 31, 2020</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32406B"/>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32406B"/>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32406B"/>
              </w:rPr>
              <w:t>(65,319)</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32406B"/>
              </w:rPr>
              <w:t>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32406B"/>
              </w:rPr>
              <w:t>Weighted-average common shares outstanding, basic and diluted</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32406B"/>
              </w:rPr>
              <w:t>3,608,491</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32406B"/>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2406B"/>
              </w:rPr>
              <w:t>(18.10)</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32406B"/>
        </w:rPr>
        <w:t>Net loss per share data is not applicable for the three months ended March 31, 2021 (unaudited) as the Company had no shares of common stock outstanding for accounting purposes during that period. All of the 5,593,240 shares of common stock issued and outstanding as of December 31, 2020 and March 31, 2021 (unaudited) were shares of unvested restricted common stock issued by the Company upon the early exercise of stock options granted in June 2020. As a result, such shares are not considered outstanding for accounting purposes until vested and were excluded from the calculations of basic net loss per share attributable to common stockholders for the period from June 3, 2020 (inception) to December 31, 2020 and for the three months ended March 31, 2021 (unaudited). For the period from June 3, 2020 (inception) to December 31, 2020, the 3,608,491 shares of common stock outstanding solely reflect the weighted-average period that 21,250,000 shares of common stock repurchased by the Company from Adimab (see Note 6) were outstanding during that period.</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32406B"/>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32406B"/>
                <w:w w:val="94"/>
              </w:rPr>
              <w:t>Period from</w:t>
            </w:r>
          </w:p>
        </w:tc>
      </w:tr>
      <w:tr>
        <w:trPr>
          <w:trHeight w:val="149"/>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1"/>
              </w:rPr>
              <w:t>June 3, 2020</w:t>
            </w:r>
          </w:p>
        </w:tc>
      </w:tr>
      <w:tr>
        <w:trPr>
          <w:trHeight w:val="148"/>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32406B"/>
                <w:w w:val="94"/>
              </w:rPr>
              <w:t>(Inception) to</w:t>
            </w:r>
          </w:p>
        </w:tc>
      </w:tr>
      <w:tr>
        <w:trPr>
          <w:trHeight w:val="17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32406B"/>
                <w:w w:val="91"/>
              </w:rPr>
              <w:t>December 31, 2020</w:t>
            </w: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32406B"/>
              </w:rPr>
              <w:t>Convertible preferred stock (as converted to common stock)</w:t>
            </w:r>
          </w:p>
        </w:tc>
        <w:tc>
          <w:tcPr>
            <w:tcW w:w="49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32406B"/>
              </w:rPr>
              <w:t>63,239,670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32406B"/>
              </w:rPr>
              <w:t>Stock options to purchase common stock</w:t>
            </w:r>
          </w:p>
        </w:tc>
        <w:tc>
          <w:tcPr>
            <w:tcW w:w="6180" w:type="dxa"/>
            <w:vAlign w:val="bottom"/>
            <w:gridSpan w:val="3"/>
          </w:tcPr>
          <w:p>
            <w:pPr>
              <w:jc w:val="right"/>
              <w:ind w:right="60"/>
              <w:spacing w:after="0"/>
              <w:rPr>
                <w:sz w:val="20"/>
                <w:szCs w:val="20"/>
                <w:color w:val="auto"/>
              </w:rPr>
            </w:pPr>
            <w:r>
              <w:rPr>
                <w:rFonts w:ascii="Arial" w:cs="Arial" w:eastAsia="Arial" w:hAnsi="Arial"/>
                <w:sz w:val="18"/>
                <w:szCs w:val="18"/>
                <w:color w:val="32406B"/>
              </w:rPr>
              <w:t>2,968,070</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32406B"/>
              </w:rPr>
              <w:t>Unvested restricted common stock</w:t>
            </w:r>
          </w:p>
        </w:tc>
        <w:tc>
          <w:tcPr>
            <w:tcW w:w="6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32406B"/>
              </w:rPr>
              <w:t>5,593,240</w:t>
            </w:r>
          </w:p>
        </w:tc>
      </w:tr>
      <w:tr>
        <w:trPr>
          <w:trHeight w:val="223"/>
        </w:trPr>
        <w:tc>
          <w:tcPr>
            <w:tcW w:w="48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2406B"/>
              </w:rPr>
              <w:t>71,800,980</w:t>
            </w:r>
          </w:p>
        </w:tc>
        <w:tc>
          <w:tcPr>
            <w:tcW w:w="6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840" w:type="dxa"/>
            <w:vAlign w:val="bottom"/>
          </w:tcPr>
          <w:p>
            <w:pPr>
              <w:spacing w:after="0"/>
              <w:rPr>
                <w:sz w:val="24"/>
                <w:szCs w:val="24"/>
                <w:color w:val="auto"/>
              </w:rPr>
            </w:pPr>
          </w:p>
        </w:tc>
        <w:tc>
          <w:tcPr>
            <w:tcW w:w="6180" w:type="dxa"/>
            <w:vAlign w:val="bottom"/>
            <w:gridSpan w:val="3"/>
          </w:tcPr>
          <w:p>
            <w:pPr>
              <w:ind w:left="500"/>
              <w:spacing w:after="0"/>
              <w:rPr>
                <w:sz w:val="20"/>
                <w:szCs w:val="20"/>
                <w:color w:val="auto"/>
              </w:rPr>
            </w:pPr>
            <w:r>
              <w:rPr>
                <w:rFonts w:ascii="Arial" w:cs="Arial" w:eastAsia="Arial" w:hAnsi="Arial"/>
                <w:sz w:val="18"/>
                <w:szCs w:val="18"/>
                <w:color w:val="32406B"/>
              </w:rPr>
              <w:t>F-33</w:t>
            </w:r>
          </w:p>
        </w:tc>
      </w:tr>
    </w:tbl>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14. Related Party Transactions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6). As of December 31, 2020 and March 31, 2021 (unaudited), $0.6 million and $0.2 million, respectively, was due to Adimab by the Company. As of December 31, 2020 and March 31, 2021 (unaudited), no amounts were due from Adimab to the Company.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32406B"/>
        </w:rPr>
        <w:t>On May 21, 2021, the Company entered into a collaboration agreement with Adimab (see Note 15).</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15. 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For its consolidated financial statements as of December 31, 2020 for the period from June 3, 2020 (inception) to December 31, 2020 and for its interim consolidated financial statements as of March 31, 2021 and for the three months then ended, the Company evaluated subsequent events through May 21, 2021, the date on which those financial statements were issued.</w:t>
      </w:r>
    </w:p>
    <w:p>
      <w:pPr>
        <w:spacing w:after="0" w:line="25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Grant of Stock Options under the 2020 Plan</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32406B"/>
        </w:rPr>
        <w:t>In January 2021, the Company granted options for the purchase of an aggregate of 2,513,000 shares of common stock, at an exercise price of $4.61 per share. In April 2021, the Company granted options for the purchase of an aggregate of 1,198,750 shares of common stock, at an exercise price of $8.36 per share. On May 7, 2021, the Company granted options for the purchase of an aggregate of 6,341,740 shares of common stock, at an exercise price of $10.14 per share. The aggregate grant-date fair value of the options granted under these three option grants was $56.3 million, which is expected to be recognized as stock-based compensation expense over a weighted-average period of approximately 3.8 years.</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Milestone Achievements under the Adimab Assignment Agreement</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February 2021, the Company dosed the first patient in a Phase 1 clinical trial evaluating ADG20, which resulted in a milestone payment of $1.0 million being due by the Company under the Adimab Assignment Agreement. In March 2021, the Company made the $1.0 million payment to Adimab.</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April 2021, the Company dosed the first patient in a Phase 2 clinical trial evaluating ADG20 for the prevention of COVID-19, which resulted in a milestone payment of $2.5 million being due by the Company under the Adimab Assignment Agreement.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Increase in Authorized Number of Shares of Common Stock and Preferred Stock</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32406B"/>
        </w:rPr>
        <w:t>In April 2021, the Company increased the number of shares of common stock authorized for issuance from 19,000,000 shares to 23,251,555 shares and increased the number of shares of preferred stock authorized for issuance from 12,647,934 shares to 16,944,484 shares, of which 4,296,550 shares were designated as Series C convertible preferred stock (the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Increase in Shares Reserved for Issuance under the 2020 Plan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April 2021, the Company’s board of directors increased the number of shares of common stock reserved for issuance under the plan from 22,820,305 shares to 29,254,790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F-34</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Treasury Stock Retirement</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April and May 2021, the Company retired an aggregate of 22,600,000 shares of its common stock held in treasury. Upon retirement, the shares were redesignated as authorized but unissued shares of the Company’s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Issuance and Sale of Series C Convertible Preferred Stock</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April 2021, the Company issued and sold 4,296,550 shares of its Series C Preferred Stock, at a purchase price of $78.08578 per share, for aggregate gross proceeds of $335.5 million. Adimab, a related party, participated in the Series C Preferred Stock financing by purchasing 128,064 shares of Series C Preferred Stock for an aggregate purchase price of $10.0 million.</w:t>
      </w:r>
    </w:p>
    <w:p>
      <w:pPr>
        <w:spacing w:after="0" w:line="184"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32406B"/>
        </w:rPr>
        <w:t>The terms of the Series C Preferred Stock are substantially the same as the terms of the Series A Preferred Stock and Series B Preferred Stock (see Note 8), except that the Original Issue Price per share of the Series C Preferred Stock is $78.08578 and the Conversion Price per share of the Series C Preferred Stock is $15.61716. In addition, in connection with the Series C Preferred Stock financing, the definition of a qualifying initial public offering requiring the automatic conversion of all shares of outstanding preferred stock into common stock was amended to be the closing of a firm commitment public offering of common stock at a price of at least $17.02 per share (subject to appropriate adjustment in the event of any stock dividend, stock split, combination or other similar recapitalization), resulting in at least $75.0 million of gross proceeds to the Company.</w:t>
      </w:r>
    </w:p>
    <w:p>
      <w:pPr>
        <w:spacing w:after="0" w:line="16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Upon issuance of these shares of Series C Preferred Stock, the Company assessed the embedded conversion and liquidation features of the shares and determined that such features did not require the Company to separately account for these features. The Company also concluded that no beneficial conversion feature existed as of the issuance date of the shares of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Adimab Collaboration Agreement</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32406B"/>
        </w:rPr>
        <w:t>On May 21,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non-exclusive, non-sublicensable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The Company is obligated to pay Adimab a quarterly fee of $1.3 million, which obligation may be cancelled at the Company’s option at any time. For so long as the Company is paying such quarterly fee (or earlier if (i)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F-35</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32406B"/>
        </w:rPr>
        <w:t>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32406B"/>
        </w:rPr>
        <w:t>The Company is obligated to pay Adimab up to $18.0 million upon the achievement of specified development and regulatory milestones for each product under the agreement that achieves such milestones. The Company is also obligated to pay Adimab royalties of a mid 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32406B"/>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32406B"/>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Stock Split</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32406B"/>
        </w:rPr>
        <w:t>On July 30, 2021, the Company effected a five-for-one stock split of its issued and outstanding shares of common stock and a proportional adjustment to the existing conversion ratios of each series of the Company’s preferred stock (see Note 8).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32406B"/>
        </w:rPr>
        <w:t>In connection with the stock split, on July 30, 2021, the Company also increased the number of shares of common stock authorized for issuance from 19,000,000 shares to 150,000,000 shares. References to the number of shares of authorized common stock on the accompanying consolidated balance sheets have been adjusted retroactively to reflect this increase to 150,000,000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2406B"/>
        </w:rPr>
        <w:t>16. Subsequent Events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Grant of Stock Options under the 2020 Plan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32406B"/>
        </w:rPr>
        <w:t>In June 2021, the Company granted options for the purchase of an aggregate of 2,025,070 shares of common stock, at an exercise price of $12.81 per share. On July 4, 2021, the Company granted options for the purchase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F-36</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2406B"/>
        </w:rPr>
        <w:t>NOTES TO CONSOLIDATED FINANCIAL STATEMENTS</w:t>
      </w:r>
    </w:p>
    <w:p>
      <w:pPr>
        <w:spacing w:after="0" w:line="16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32406B"/>
        </w:rPr>
        <w:t>an aggregate of 1,861,460 shares of common stock, at an exercise price of $12.81 per share. The aggregate grant-date fair value of the options granted under these two option grants was $32.0 million, which is expected to be recognized as stock-based compensation expense over a weighted-average period of approximately 3.9 years.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2021 Equity Incentive Plan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32406B"/>
        </w:rPr>
        <w:t>On July 27, 2021, the Company’s board of directors adopted, and on July 29, 2021 its stockholders approved, the 2021 Equity Incentive Plan (the “2021 Plan”), which will become effective immediately prior to and contingent upon the execution of the underwriting agreement related to the Company’s initial public offering. The 2021 Plan provides for the grant of incentive stock options, non-statutory stock options, stock appreciation rights, restricted stock awards, restricted stock units and other stock-based awards. The number of shares reserved for issuance under the 2021 Plan is initially equal to 35,075,122, which is the sum of 11,413,572 new shares; plus the number of shares (not to exceed 23,661,550 shares), which represents (i) the number of shares that remain available for issuance under the 2020 Plan, at the time the 2021 Plan becomes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32406B"/>
        </w:rPr>
        <w:t>2021 Employee Stock Purchase Plan</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32406B"/>
        </w:rPr>
        <w:t>On July 27, 2021, the Company’s board of directors adopted, and on July 29, 2021 its stockholders approved, the 2021 Employee Stock Purchase Plan (the ‘‘2021 ESPP’’), which will become effective immediately prior to and contingent upon the execution of the underwriting agreement related to the Company’s initial public offering. A total of 1,342,773 shares of common stock were initially reserved for issuance under this plan.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32406B"/>
        </w:rPr>
        <w:t>F-37</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i w:val="1"/>
          <w:iCs w:val="1"/>
          <w:color w:val="32406B"/>
        </w:rPr>
        <w:t>18,200,000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490220</wp:posOffset>
            </wp:positionV>
            <wp:extent cx="1388745" cy="3771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32406B"/>
        </w:rPr>
        <w:t>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32406B"/>
        </w:rPr>
        <w:t>PROSPECTUS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32406B"/>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3720" w:val="left"/>
          <w:tab w:leader="none" w:pos="5560" w:val="left"/>
          <w:tab w:leader="none" w:pos="7900" w:val="left"/>
        </w:tabs>
        <w:rPr>
          <w:sz w:val="20"/>
          <w:szCs w:val="20"/>
          <w:color w:val="auto"/>
        </w:rPr>
      </w:pPr>
      <w:r>
        <w:rPr>
          <w:rFonts w:ascii="Arial" w:cs="Arial" w:eastAsia="Arial" w:hAnsi="Arial"/>
          <w:sz w:val="21"/>
          <w:szCs w:val="21"/>
          <w:i w:val="1"/>
          <w:iCs w:val="1"/>
          <w:color w:val="32406B"/>
        </w:rPr>
        <w:t>MORGAN STANLEY</w:t>
      </w:r>
      <w:r>
        <w:rPr>
          <w:sz w:val="20"/>
          <w:szCs w:val="20"/>
          <w:color w:val="auto"/>
        </w:rPr>
        <w:tab/>
      </w:r>
      <w:r>
        <w:rPr>
          <w:rFonts w:ascii="Arial" w:cs="Arial" w:eastAsia="Arial" w:hAnsi="Arial"/>
          <w:sz w:val="21"/>
          <w:szCs w:val="21"/>
          <w:i w:val="1"/>
          <w:iCs w:val="1"/>
          <w:color w:val="32406B"/>
        </w:rPr>
        <w:t>JEFFERIES</w:t>
      </w:r>
      <w:r>
        <w:rPr>
          <w:sz w:val="20"/>
          <w:szCs w:val="20"/>
          <w:color w:val="auto"/>
        </w:rPr>
        <w:tab/>
      </w:r>
      <w:r>
        <w:rPr>
          <w:rFonts w:ascii="Arial" w:cs="Arial" w:eastAsia="Arial" w:hAnsi="Arial"/>
          <w:sz w:val="21"/>
          <w:szCs w:val="21"/>
          <w:i w:val="1"/>
          <w:iCs w:val="1"/>
          <w:color w:val="32406B"/>
        </w:rPr>
        <w:t>STIFEL</w:t>
      </w:r>
      <w:r>
        <w:rPr>
          <w:sz w:val="20"/>
          <w:szCs w:val="20"/>
          <w:color w:val="auto"/>
        </w:rPr>
        <w:tab/>
      </w:r>
      <w:r>
        <w:rPr>
          <w:rFonts w:ascii="Arial" w:cs="Arial" w:eastAsia="Arial" w:hAnsi="Arial"/>
          <w:sz w:val="19"/>
          <w:szCs w:val="19"/>
          <w:i w:val="1"/>
          <w:iCs w:val="1"/>
          <w:color w:val="32406B"/>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32406B"/>
        </w:rPr>
        <w:t>Until August 30, 2021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32406B"/>
        </w:rPr>
        <w:t>August 5, 2021</w:t>
      </w:r>
    </w:p>
    <w:sectPr>
      <w:pgSz w:w="11900" w:h="16838" w:orient="portrait"/>
      <w:cols w:equalWidth="0" w:num="1">
        <w:col w:w="11120"/>
      </w:cols>
      <w:pgMar w:left="320" w:top="4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1)"/>
      <w:numFmt w:val="decimal"/>
      <w:start w:val="5"/>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1)"/>
      <w:numFmt w:val="lowerLetter"/>
      <w:start w:val="2"/>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1)"/>
      <w:numFmt w:val="decimal"/>
      <w:start w:val="1"/>
    </w:lvl>
  </w:abstractNum>
  <w:abstractNum w:abstractNumId="15">
    <w:nsid w:val="7FFFCA11"/>
    <w:multiLevelType w:val="hybridMultilevel"/>
    <w:lvl w:ilvl="0">
      <w:lvlJc w:val="left"/>
      <w:lvlText w:val="(%1)"/>
      <w:numFmt w:val="decimal"/>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1)"/>
      <w:numFmt w:val="lowerRoman"/>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
      <w:numFmt w:val="bullet"/>
      <w:start w:val="1"/>
    </w:lvl>
  </w:abstractNum>
  <w:abstractNum w:abstractNumId="54">
    <w:nsid w:val="7DE67713"/>
    <w:multiLevelType w:val="hybridMultilevel"/>
    <w:lvl w:ilvl="0">
      <w:lvlJc w:val="left"/>
      <w:lvlText w:val="•"/>
      <w:numFmt w:val="bullet"/>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1)"/>
      <w:numFmt w:val="decimal"/>
      <w:start w:val="1"/>
    </w:lvl>
  </w:abstractNum>
  <w:abstractNum w:abstractNumId="59">
    <w:nsid w:val="71C91298"/>
    <w:multiLevelType w:val="hybridMultilevel"/>
    <w:lvl w:ilvl="0">
      <w:lvlJc w:val="left"/>
      <w:lvlText w:val="(%1)"/>
      <w:numFmt w:val="decimal"/>
      <w:start w:val="1"/>
    </w:lvl>
  </w:abstractNum>
  <w:abstractNum w:abstractNumId="60">
    <w:nsid w:val="9DAF632"/>
    <w:multiLevelType w:val="hybridMultilevel"/>
    <w:lvl w:ilvl="0">
      <w:lvlJc w:val="left"/>
      <w:lvlText w:val="•"/>
      <w:numFmt w:val="bullet"/>
      <w:start w:val="1"/>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
      <w:numFmt w:val="bullet"/>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1)"/>
      <w:numFmt w:val="decimal"/>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1)"/>
      <w:numFmt w:val="decimal"/>
      <w:start w:val="1"/>
    </w:lvl>
  </w:abstractNum>
  <w:abstractNum w:abstractNumId="79">
    <w:nsid w:val="3C5991AA"/>
    <w:multiLevelType w:val="hybridMultilevel"/>
    <w:lvl w:ilvl="0">
      <w:lvlJc w:val="left"/>
      <w:lvlText w:val="(%1)"/>
      <w:numFmt w:val="decimal"/>
      <w:start w:val="1"/>
    </w:lvl>
  </w:abstractNum>
  <w:abstractNum w:abstractNumId="80">
    <w:nsid w:val="4BD8591A"/>
    <w:multiLevelType w:val="hybridMultilevel"/>
    <w:lvl w:ilvl="0">
      <w:lvlJc w:val="left"/>
      <w:lvlText w:val="(%1)"/>
      <w:numFmt w:val="decimal"/>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
      <w:numFmt w:val="bullet"/>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1)"/>
      <w:numFmt w:val="lowerRoman"/>
      <w:start w:val="2"/>
    </w:lvl>
  </w:abstractNum>
  <w:abstractNum w:abstractNumId="91">
    <w:nsid w:val="5675FF36"/>
    <w:multiLevelType w:val="hybridMultilevel"/>
    <w:lvl w:ilvl="0">
      <w:lvlJc w:val="left"/>
      <w:lvlText w:val="(%1)"/>
      <w:numFmt w:val="lowerRoman"/>
      <w:start w:val="2"/>
    </w:lvl>
  </w:abstractNum>
  <w:abstractNum w:abstractNumId="92">
    <w:nsid w:val="3DD15094"/>
    <w:multiLevelType w:val="hybridMultilevel"/>
    <w:lvl w:ilvl="0">
      <w:lvlJc w:val="left"/>
      <w:lvlText w:val="•"/>
      <w:numFmt w:val="bullet"/>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
      <w:numFmt w:val="bullet"/>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
      <w:numFmt w:val="bullet"/>
      <w:start w:val="1"/>
    </w:lvl>
  </w:abstractNum>
  <w:abstractNum w:abstractNumId="103">
    <w:nsid w:val="2C6E4AFD"/>
    <w:multiLevelType w:val="hybridMultilevel"/>
    <w:lvl w:ilvl="0">
      <w:lvlJc w:val="left"/>
      <w:lvlText w:val="(%1)"/>
      <w:numFmt w:val="decimal"/>
      <w:start w:val="1"/>
    </w:lvl>
  </w:abstractNum>
  <w:abstractNum w:abstractNumId="104">
    <w:nsid w:val="17A1B582"/>
    <w:multiLevelType w:val="hybridMultilevel"/>
    <w:lvl w:ilvl="0">
      <w:lvlJc w:val="left"/>
      <w:lvlText w:val="•"/>
      <w:numFmt w:val="bullet"/>
      <w:start w:val="1"/>
    </w:lvl>
  </w:abstractNum>
  <w:abstractNum w:abstractNumId="105">
    <w:nsid w:val="4DF72E4E"/>
    <w:multiLevelType w:val="hybridMultilevel"/>
    <w:lvl w:ilvl="0">
      <w:lvlJc w:val="left"/>
      <w:lvlText w:val="(%1)"/>
      <w:numFmt w:val="decimal"/>
      <w:start w:val="1"/>
    </w:lvl>
  </w:abstractNum>
  <w:abstractNum w:abstractNumId="106">
    <w:nsid w:val="5046B5A9"/>
    <w:multiLevelType w:val="hybridMultilevel"/>
    <w:lvl w:ilvl="0">
      <w:lvlJc w:val="left"/>
      <w:lvlText w:val="(%1)"/>
      <w:numFmt w:val="decimal"/>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1)"/>
      <w:numFmt w:val="decimal"/>
      <w:start w:val="3"/>
    </w:lvl>
  </w:abstractNum>
  <w:abstractNum w:abstractNumId="110">
    <w:nsid w:val="19E21BB2"/>
    <w:multiLevelType w:val="hybridMultilevel"/>
    <w:lvl w:ilvl="0">
      <w:lvlJc w:val="left"/>
      <w:lvlText w:val="(%1)"/>
      <w:numFmt w:val="lowerRoman"/>
      <w:start w:val="1"/>
    </w:lvl>
  </w:abstractNum>
  <w:abstractNum w:abstractNumId="111">
    <w:nsid w:val="75E0858A"/>
    <w:multiLevelType w:val="hybridMultilevel"/>
    <w:lvl w:ilvl="0">
      <w:lvlJc w:val="left"/>
      <w:lvlText w:val="(%1)"/>
      <w:numFmt w:val="lowerRoman"/>
      <w:start w:val="4"/>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1)"/>
      <w:numFmt w:val="lowerRoman"/>
      <w:start w:val="2"/>
    </w:lvl>
  </w:abstractNum>
  <w:abstractNum w:abstractNumId="114">
    <w:nsid w:val="20EE1348"/>
    <w:multiLevelType w:val="hybridMultilevel"/>
    <w:lvl w:ilvl="0">
      <w:lvlJc w:val="left"/>
      <w:lvlText w:val="(%1)"/>
      <w:numFmt w:val="lowerRoman"/>
      <w:start w:val="1"/>
    </w:lvl>
  </w:abstractNum>
  <w:abstractNum w:abstractNumId="115">
    <w:nsid w:val="4427069A"/>
    <w:multiLevelType w:val="hybridMultilevel"/>
    <w:lvl w:ilvl="0">
      <w:lvlJc w:val="left"/>
      <w:lvlText w:val="(%1)"/>
      <w:numFmt w:val="lowerRoman"/>
      <w:start w:val="2"/>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1)"/>
      <w:numFmt w:val="decimal"/>
      <w:start w:val="1"/>
    </w:lvl>
  </w:abstractNum>
  <w:abstractNum w:abstractNumId="118">
    <w:nsid w:val="704E1DD5"/>
    <w:multiLevelType w:val="hybridMultilevel"/>
    <w:lvl w:ilvl="0">
      <w:lvlJc w:val="left"/>
      <w:lvlText w:val="(%1)"/>
      <w:numFmt w:val="decimal"/>
      <w:start w:val="1"/>
    </w:lvl>
  </w:abstractNum>
  <w:abstractNum w:abstractNumId="119">
    <w:nsid w:val="57D2F10E"/>
    <w:multiLevelType w:val="hybridMultilevel"/>
    <w:lvl w:ilvl="0">
      <w:lvlJc w:val="left"/>
      <w:lvlText w:val="(%1)"/>
      <w:numFmt w:val="decimal"/>
      <w:start w:val="1"/>
    </w:lvl>
  </w:abstractNum>
  <w:abstractNum w:abstractNumId="120">
    <w:nsid w:val="BFFAE18"/>
    <w:multiLevelType w:val="hybridMultilevel"/>
    <w:lvl w:ilvl="0">
      <w:lvlJc w:val="left"/>
      <w:lvlText w:val="•"/>
      <w:numFmt w:val="bullet"/>
      <w:start w:val="1"/>
    </w:lvl>
  </w:abstractNum>
  <w:abstractNum w:abstractNumId="121">
    <w:nsid w:val="E3E47A8"/>
    <w:multiLevelType w:val="hybridMultilevel"/>
    <w:lvl w:ilvl="0">
      <w:lvlJc w:val="left"/>
      <w:lvlText w:val="•"/>
      <w:numFmt w:val="bullet"/>
      <w:start w:val="1"/>
    </w:lvl>
  </w:abstractNum>
  <w:abstractNum w:abstractNumId="122">
    <w:nsid w:val="2E48F044"/>
    <w:multiLevelType w:val="hybridMultilevel"/>
    <w:lvl w:ilvl="0">
      <w:lvlJc w:val="left"/>
      <w:lvlText w:val="(%1)"/>
      <w:numFmt w:val="decimal"/>
      <w:start w:val="1"/>
    </w:lvl>
  </w:abstractNum>
  <w:abstractNum w:abstractNumId="123">
    <w:nsid w:val="49D0FEAC"/>
    <w:multiLevelType w:val="hybridMultilevel"/>
    <w:lvl w:ilvl="0">
      <w:lvlJc w:val="left"/>
      <w:lvlText w:val="(%1)"/>
      <w:numFmt w:val="decimal"/>
      <w:start w:val="4"/>
    </w:lvl>
  </w:abstractNum>
  <w:abstractNum w:abstractNumId="124">
    <w:nsid w:val="4BEE5A5B"/>
    <w:multiLevelType w:val="hybridMultilevel"/>
    <w:lvl w:ilvl="0">
      <w:lvlJc w:val="left"/>
      <w:lvlText w:val="(%1)"/>
      <w:numFmt w:val="decimal"/>
      <w:start w:val="6"/>
    </w:lvl>
  </w:abstractNum>
  <w:abstractNum w:abstractNumId="125">
    <w:nsid w:val="5551B9F3"/>
    <w:multiLevelType w:val="hybridMultilevel"/>
    <w:lvl w:ilvl="0">
      <w:lvlJc w:val="left"/>
      <w:lvlText w:val="(%1)"/>
      <w:numFmt w:val="decimal"/>
      <w:start w:val="12"/>
    </w:lvl>
  </w:abstractNum>
  <w:abstractNum w:abstractNumId="126">
    <w:nsid w:val="24F6AB8E"/>
    <w:multiLevelType w:val="hybridMultilevel"/>
    <w:lvl w:ilvl="0">
      <w:lvlJc w:val="left"/>
      <w:lvlText w:val="(%1)"/>
      <w:numFmt w:val="lowerLetter"/>
      <w:start w:val="1"/>
    </w:lvl>
  </w:abstractNum>
  <w:abstractNum w:abstractNumId="127">
    <w:nsid w:val="634C574C"/>
    <w:multiLevelType w:val="hybridMultilevel"/>
    <w:lvl w:ilvl="0">
      <w:lvlJc w:val="left"/>
      <w:lvlText w:val="•"/>
      <w:numFmt w:val="bullet"/>
      <w:start w:val="1"/>
    </w:lvl>
  </w:abstractNum>
  <w:abstractNum w:abstractNumId="128">
    <w:nsid w:val="24E99DD7"/>
    <w:multiLevelType w:val="hybridMultilevel"/>
    <w:lvl w:ilvl="0">
      <w:lvlJc w:val="left"/>
      <w:lvlText w:val="•"/>
      <w:numFmt w:val="bullet"/>
      <w:start w:val="1"/>
    </w:lvl>
  </w:abstractNum>
  <w:abstractNum w:abstractNumId="129">
    <w:nsid w:val="2A31B62D"/>
    <w:multiLevelType w:val="hybridMultilevel"/>
    <w:lvl w:ilvl="0">
      <w:lvlJc w:val="left"/>
      <w:lvlText w:val="•"/>
      <w:numFmt w:val="bullet"/>
      <w:start w:val="1"/>
    </w:lvl>
  </w:abstractNum>
  <w:abstractNum w:abstractNumId="130">
    <w:nsid w:val="1849C29B"/>
    <w:multiLevelType w:val="hybridMultilevel"/>
    <w:lvl w:ilvl="0">
      <w:lvlJc w:val="left"/>
      <w:lvlText w:val="•"/>
      <w:numFmt w:val="bullet"/>
      <w:start w:val="1"/>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
      <w:numFmt w:val="bullet"/>
      <w:start w:val="1"/>
    </w:lvl>
  </w:abstractNum>
  <w:abstractNum w:abstractNumId="133">
    <w:nsid w:val="69E7F3E5"/>
    <w:multiLevelType w:val="hybridMultilevel"/>
    <w:lvl w:ilvl="0">
      <w:lvlJc w:val="left"/>
      <w:lvlText w:val="•"/>
      <w:numFmt w:val="bullet"/>
      <w:start w:val="1"/>
    </w:lvl>
  </w:abstractNum>
  <w:abstractNum w:abstractNumId="134">
    <w:nsid w:val="2A6DE806"/>
    <w:multiLevelType w:val="hybridMultilevel"/>
    <w:lvl w:ilvl="0">
      <w:lvlJc w:val="left"/>
      <w:lvlText w:val="•"/>
      <w:numFmt w:val="bullet"/>
      <w:start w:val="1"/>
    </w:lvl>
  </w:abstractNum>
  <w:abstractNum w:abstractNumId="135">
    <w:nsid w:val="1816F8C4"/>
    <w:multiLevelType w:val="hybridMultilevel"/>
    <w:lvl w:ilvl="0">
      <w:lvlJc w:val="left"/>
      <w:lvlText w:val="•"/>
      <w:numFmt w:val="bullet"/>
      <w:start w:val="1"/>
    </w:lvl>
  </w:abstractNum>
  <w:abstractNum w:abstractNumId="136">
    <w:nsid w:val="37DF2233"/>
    <w:multiLevelType w:val="hybridMultilevel"/>
    <w:lvl w:ilvl="0">
      <w:lvlJc w:val="left"/>
      <w:lvlText w:val="•"/>
      <w:numFmt w:val="bullet"/>
      <w:start w:val="1"/>
    </w:lvl>
  </w:abstractNum>
  <w:abstractNum w:abstractNumId="137">
    <w:nsid w:val="7AB49DAF"/>
    <w:multiLevelType w:val="hybridMultilevel"/>
    <w:lvl w:ilvl="0">
      <w:lvlJc w:val="left"/>
      <w:lvlText w:val="•"/>
      <w:numFmt w:val="bullet"/>
      <w:start w:val="1"/>
    </w:lvl>
  </w:abstractNum>
  <w:abstractNum w:abstractNumId="138">
    <w:nsid w:val="759F82CD"/>
    <w:multiLevelType w:val="hybridMultilevel"/>
    <w:lvl w:ilvl="0">
      <w:lvlJc w:val="left"/>
      <w:lvlText w:val="•"/>
      <w:numFmt w:val="bullet"/>
      <w:start w:val="1"/>
    </w:lvl>
  </w:abstractNum>
  <w:abstractNum w:abstractNumId="139">
    <w:nsid w:val="61E74EA3"/>
    <w:multiLevelType w:val="hybridMultilevel"/>
    <w:lvl w:ilvl="0">
      <w:lvlJc w:val="left"/>
      <w:lvlText w:val="•"/>
      <w:numFmt w:val="bullet"/>
      <w:start w:val="1"/>
    </w:lvl>
  </w:abstractNum>
  <w:abstractNum w:abstractNumId="140">
    <w:nsid w:val="597B4D84"/>
    <w:multiLevelType w:val="hybridMultilevel"/>
    <w:lvl w:ilvl="0">
      <w:lvlJc w:val="left"/>
      <w:lvlText w:val="•"/>
      <w:numFmt w:val="bullet"/>
      <w:start w:val="1"/>
    </w:lvl>
  </w:abstractNum>
  <w:abstractNum w:abstractNumId="141">
    <w:nsid w:val="F819E7F"/>
    <w:multiLevelType w:val="hybridMultilevel"/>
    <w:lvl w:ilvl="0">
      <w:lvlJc w:val="left"/>
      <w:lvlText w:val="(%1)"/>
      <w:numFmt w:val="lowerLetter"/>
      <w:start w:val="1"/>
    </w:lvl>
  </w:abstractNum>
  <w:abstractNum w:abstractNumId="142">
    <w:nsid w:val="57C7D42D"/>
    <w:multiLevelType w:val="hybridMultilevel"/>
    <w:lvl w:ilvl="0">
      <w:lvlJc w:val="left"/>
      <w:lvlText w:val="(%1)"/>
      <w:numFmt w:val="lowerLetter"/>
      <w:start w:val="1"/>
    </w:lvl>
  </w:abstractNum>
  <w:abstractNum w:abstractNumId="143">
    <w:nsid w:val="312167AD"/>
    <w:multiLevelType w:val="hybridMultilevel"/>
    <w:lvl w:ilvl="0">
      <w:lvlJc w:val="left"/>
      <w:lvlText w:val="(%1)"/>
      <w:numFmt w:val="lowerLetter"/>
      <w:start w:val="1"/>
    </w:lvl>
  </w:abstractNum>
  <w:abstractNum w:abstractNumId="144">
    <w:nsid w:val="631B64D4"/>
    <w:multiLevelType w:val="hybridMultilevel"/>
    <w:lvl w:ilvl="0">
      <w:lvlJc w:val="left"/>
      <w:lvlText w:val="(%1)"/>
      <w:numFmt w:val="decimal"/>
      <w:start w:val="3"/>
    </w:lvl>
  </w:abstractNum>
  <w:abstractNum w:abstractNumId="145">
    <w:nsid w:val="78B5E776"/>
    <w:multiLevelType w:val="hybridMultilevel"/>
    <w:lvl w:ilvl="0">
      <w:lvlJc w:val="left"/>
      <w:lvlText w:val="(%1)"/>
      <w:numFmt w:val="decimal"/>
      <w:start w:val="1"/>
    </w:lvl>
  </w:abstractNum>
  <w:abstractNum w:abstractNumId="146">
    <w:nsid w:val="75486E47"/>
    <w:multiLevelType w:val="hybridMultilevel"/>
    <w:lvl w:ilvl="0">
      <w:lvlJc w:val="left"/>
      <w:lvlText w:val="%1."/>
      <w:numFmt w:val="decimal"/>
      <w:start w:val="2"/>
    </w:lvl>
  </w:abstractNum>
  <w:abstractNum w:abstractNumId="147">
    <w:nsid w:val="6E534CDE"/>
    <w:multiLevelType w:val="hybridMultilevel"/>
    <w:lvl w:ilvl="0">
      <w:lvlJc w:val="left"/>
      <w:lvlText w:val="•"/>
      <w:numFmt w:val="bullet"/>
      <w:start w:val="1"/>
    </w:lvl>
  </w:abstractNum>
  <w:abstractNum w:abstractNumId="148">
    <w:nsid w:val="1A0DDE3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2021-08-06T16:30:37Z</dcterms:created>
  <dcterms:modified xsi:type="dcterms:W3CDTF">2021-08-06T16:30:37Z</dcterms:modified>
</cp:coreProperties>
</file>