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August 23, 2021</w:t>
      </w:r>
    </w:p>
    <w:p>
      <w:pPr>
        <w:spacing w:after="0" w:line="27" w:lineRule="exact"/>
        <w:rPr>
          <w:sz w:val="24"/>
          <w:szCs w:val="24"/>
          <w:color w:val="auto"/>
        </w:rPr>
      </w:pPr>
    </w:p>
    <w:p>
      <w:pPr>
        <w:ind w:left="866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Adagio Therapeutics,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920" w:type="dxa"/>
        <w:tblCellMar>
          <w:top w:w="0" w:type="dxa"/>
          <w:left w:w="0" w:type="dxa"/>
          <w:bottom w:w="0" w:type="dxa"/>
          <w:right w:w="0" w:type="dxa"/>
        </w:tblCellMar>
      </w:tblPr>
      <w:tr>
        <w:trPr>
          <w:trHeight w:val="212"/>
        </w:trPr>
        <w:tc>
          <w:tcPr>
            <w:tcW w:w="6220" w:type="dxa"/>
            <w:vAlign w:val="bottom"/>
          </w:tcPr>
          <w:p>
            <w:pPr>
              <w:jc w:val="center"/>
              <w:ind w:right="2415"/>
              <w:spacing w:after="0"/>
              <w:rPr>
                <w:sz w:val="20"/>
                <w:szCs w:val="20"/>
                <w:color w:val="auto"/>
              </w:rPr>
            </w:pPr>
            <w:r>
              <w:rPr>
                <w:rFonts w:ascii="Arial" w:cs="Arial" w:eastAsia="Arial" w:hAnsi="Arial"/>
                <w:sz w:val="18"/>
                <w:szCs w:val="18"/>
                <w:b w:val="1"/>
                <w:bCs w:val="1"/>
                <w:color w:val="auto"/>
                <w:w w:val="91"/>
              </w:rPr>
              <w:t>Delaware</w:t>
            </w:r>
          </w:p>
        </w:tc>
        <w:tc>
          <w:tcPr>
            <w:tcW w:w="2300" w:type="dxa"/>
            <w:vAlign w:val="bottom"/>
          </w:tcPr>
          <w:p>
            <w:pPr>
              <w:jc w:val="right"/>
              <w:ind w:right="579"/>
              <w:spacing w:after="0"/>
              <w:rPr>
                <w:sz w:val="20"/>
                <w:szCs w:val="20"/>
                <w:color w:val="auto"/>
              </w:rPr>
            </w:pPr>
            <w:r>
              <w:rPr>
                <w:rFonts w:ascii="Arial" w:cs="Arial" w:eastAsia="Arial" w:hAnsi="Arial"/>
                <w:sz w:val="18"/>
                <w:szCs w:val="18"/>
                <w:b w:val="1"/>
                <w:bCs w:val="1"/>
                <w:color w:val="auto"/>
              </w:rPr>
              <w:t>85-1403134</w:t>
            </w:r>
          </w:p>
        </w:tc>
      </w:tr>
      <w:tr>
        <w:trPr>
          <w:trHeight w:val="186"/>
        </w:trPr>
        <w:tc>
          <w:tcPr>
            <w:tcW w:w="6220" w:type="dxa"/>
            <w:vAlign w:val="bottom"/>
          </w:tcPr>
          <w:p>
            <w:pPr>
              <w:jc w:val="center"/>
              <w:ind w:right="2415"/>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2300" w:type="dxa"/>
            <w:vAlign w:val="bottom"/>
          </w:tcPr>
          <w:p>
            <w:pPr>
              <w:jc w:val="center"/>
              <w:ind w:left="1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399"/>
        </w:trPr>
        <w:tc>
          <w:tcPr>
            <w:tcW w:w="6220" w:type="dxa"/>
            <w:vAlign w:val="bottom"/>
          </w:tcPr>
          <w:p>
            <w:pPr>
              <w:jc w:val="center"/>
              <w:ind w:left="2875"/>
              <w:spacing w:after="0"/>
              <w:rPr>
                <w:sz w:val="20"/>
                <w:szCs w:val="20"/>
                <w:color w:val="auto"/>
              </w:rPr>
            </w:pPr>
            <w:r>
              <w:rPr>
                <w:rFonts w:ascii="Arial" w:cs="Arial" w:eastAsia="Arial" w:hAnsi="Arial"/>
                <w:sz w:val="18"/>
                <w:szCs w:val="18"/>
                <w:b w:val="1"/>
                <w:bCs w:val="1"/>
                <w:color w:val="auto"/>
                <w:w w:val="90"/>
              </w:rPr>
              <w:t>303 Wyman Street, Suite 300</w:t>
            </w:r>
          </w:p>
        </w:tc>
        <w:tc>
          <w:tcPr>
            <w:tcW w:w="2300" w:type="dxa"/>
            <w:vAlign w:val="bottom"/>
          </w:tcPr>
          <w:p>
            <w:pPr>
              <w:spacing w:after="0"/>
              <w:rPr>
                <w:sz w:val="24"/>
                <w:szCs w:val="24"/>
                <w:color w:val="auto"/>
              </w:rPr>
            </w:pPr>
          </w:p>
        </w:tc>
      </w:tr>
      <w:tr>
        <w:trPr>
          <w:trHeight w:val="212"/>
        </w:trPr>
        <w:tc>
          <w:tcPr>
            <w:tcW w:w="6220" w:type="dxa"/>
            <w:vAlign w:val="bottom"/>
          </w:tcPr>
          <w:p>
            <w:pPr>
              <w:jc w:val="center"/>
              <w:ind w:left="2855"/>
              <w:spacing w:after="0"/>
              <w:rPr>
                <w:sz w:val="20"/>
                <w:szCs w:val="20"/>
                <w:color w:val="auto"/>
              </w:rPr>
            </w:pPr>
            <w:r>
              <w:rPr>
                <w:rFonts w:ascii="Arial" w:cs="Arial" w:eastAsia="Arial" w:hAnsi="Arial"/>
                <w:sz w:val="18"/>
                <w:szCs w:val="18"/>
                <w:b w:val="1"/>
                <w:bCs w:val="1"/>
                <w:color w:val="auto"/>
                <w:w w:val="95"/>
              </w:rPr>
              <w:t>Waltham, MA 02451</w:t>
            </w:r>
          </w:p>
        </w:tc>
        <w:tc>
          <w:tcPr>
            <w:tcW w:w="2300" w:type="dxa"/>
            <w:vAlign w:val="bottom"/>
          </w:tcPr>
          <w:p>
            <w:pPr>
              <w:spacing w:after="0"/>
              <w:rPr>
                <w:sz w:val="18"/>
                <w:szCs w:val="18"/>
                <w:color w:val="auto"/>
              </w:rPr>
            </w:pPr>
          </w:p>
        </w:tc>
      </w:tr>
      <w:tr>
        <w:trPr>
          <w:trHeight w:val="186"/>
        </w:trPr>
        <w:tc>
          <w:tcPr>
            <w:tcW w:w="6220" w:type="dxa"/>
            <w:vAlign w:val="bottom"/>
          </w:tcPr>
          <w:p>
            <w:pPr>
              <w:jc w:val="center"/>
              <w:ind w:left="2855"/>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2300" w:type="dxa"/>
            <w:vAlign w:val="bottom"/>
          </w:tcPr>
          <w:p>
            <w:pPr>
              <w:spacing w:after="0"/>
              <w:rPr>
                <w:sz w:val="16"/>
                <w:szCs w:val="16"/>
                <w:color w:val="auto"/>
              </w:rPr>
            </w:pPr>
          </w:p>
        </w:tc>
      </w:tr>
      <w:tr>
        <w:trPr>
          <w:trHeight w:val="399"/>
        </w:trPr>
        <w:tc>
          <w:tcPr>
            <w:tcW w:w="6220" w:type="dxa"/>
            <w:vAlign w:val="bottom"/>
          </w:tcPr>
          <w:p>
            <w:pPr>
              <w:jc w:val="center"/>
              <w:ind w:left="2855"/>
              <w:spacing w:after="0"/>
              <w:rPr>
                <w:sz w:val="20"/>
                <w:szCs w:val="20"/>
                <w:color w:val="auto"/>
              </w:rPr>
            </w:pPr>
            <w:r>
              <w:rPr>
                <w:rFonts w:ascii="Arial" w:cs="Arial" w:eastAsia="Arial" w:hAnsi="Arial"/>
                <w:sz w:val="18"/>
                <w:szCs w:val="18"/>
                <w:b w:val="1"/>
                <w:bCs w:val="1"/>
                <w:color w:val="auto"/>
                <w:w w:val="91"/>
              </w:rPr>
              <w:t>2020 Equity Incentive Plan</w:t>
            </w:r>
          </w:p>
        </w:tc>
        <w:tc>
          <w:tcPr>
            <w:tcW w:w="2300" w:type="dxa"/>
            <w:vAlign w:val="bottom"/>
          </w:tcPr>
          <w:p>
            <w:pPr>
              <w:spacing w:after="0"/>
              <w:rPr>
                <w:sz w:val="24"/>
                <w:szCs w:val="24"/>
                <w:color w:val="auto"/>
              </w:rPr>
            </w:pPr>
          </w:p>
        </w:tc>
      </w:tr>
      <w:tr>
        <w:trPr>
          <w:trHeight w:val="216"/>
        </w:trPr>
        <w:tc>
          <w:tcPr>
            <w:tcW w:w="6220" w:type="dxa"/>
            <w:vAlign w:val="bottom"/>
          </w:tcPr>
          <w:p>
            <w:pPr>
              <w:jc w:val="center"/>
              <w:ind w:left="2855"/>
              <w:spacing w:after="0"/>
              <w:rPr>
                <w:sz w:val="20"/>
                <w:szCs w:val="20"/>
                <w:color w:val="auto"/>
              </w:rPr>
            </w:pPr>
            <w:r>
              <w:rPr>
                <w:rFonts w:ascii="Arial" w:cs="Arial" w:eastAsia="Arial" w:hAnsi="Arial"/>
                <w:sz w:val="18"/>
                <w:szCs w:val="18"/>
                <w:b w:val="1"/>
                <w:bCs w:val="1"/>
                <w:color w:val="auto"/>
                <w:w w:val="91"/>
              </w:rPr>
              <w:t>2021 Equity Incentive Plan</w:t>
            </w:r>
          </w:p>
        </w:tc>
        <w:tc>
          <w:tcPr>
            <w:tcW w:w="2300" w:type="dxa"/>
            <w:vAlign w:val="bottom"/>
          </w:tcPr>
          <w:p>
            <w:pPr>
              <w:spacing w:after="0"/>
              <w:rPr>
                <w:sz w:val="18"/>
                <w:szCs w:val="18"/>
                <w:color w:val="auto"/>
              </w:rPr>
            </w:pPr>
          </w:p>
        </w:tc>
      </w:tr>
      <w:tr>
        <w:trPr>
          <w:trHeight w:val="212"/>
        </w:trPr>
        <w:tc>
          <w:tcPr>
            <w:tcW w:w="6220" w:type="dxa"/>
            <w:vAlign w:val="bottom"/>
          </w:tcPr>
          <w:p>
            <w:pPr>
              <w:jc w:val="center"/>
              <w:ind w:left="2875"/>
              <w:spacing w:after="0"/>
              <w:rPr>
                <w:sz w:val="20"/>
                <w:szCs w:val="20"/>
                <w:color w:val="auto"/>
              </w:rPr>
            </w:pPr>
            <w:r>
              <w:rPr>
                <w:rFonts w:ascii="Arial" w:cs="Arial" w:eastAsia="Arial" w:hAnsi="Arial"/>
                <w:sz w:val="18"/>
                <w:szCs w:val="18"/>
                <w:b w:val="1"/>
                <w:bCs w:val="1"/>
                <w:color w:val="auto"/>
                <w:w w:val="88"/>
              </w:rPr>
              <w:t>2021 Employee Stock Purchase Plan</w:t>
            </w:r>
          </w:p>
        </w:tc>
        <w:tc>
          <w:tcPr>
            <w:tcW w:w="2300" w:type="dxa"/>
            <w:vAlign w:val="bottom"/>
          </w:tcPr>
          <w:p>
            <w:pPr>
              <w:spacing w:after="0"/>
              <w:rPr>
                <w:sz w:val="18"/>
                <w:szCs w:val="18"/>
                <w:color w:val="auto"/>
              </w:rPr>
            </w:pPr>
          </w:p>
        </w:tc>
      </w:tr>
      <w:tr>
        <w:trPr>
          <w:trHeight w:val="186"/>
        </w:trPr>
        <w:tc>
          <w:tcPr>
            <w:tcW w:w="6220" w:type="dxa"/>
            <w:vAlign w:val="bottom"/>
          </w:tcPr>
          <w:p>
            <w:pPr>
              <w:jc w:val="center"/>
              <w:ind w:left="2855"/>
              <w:spacing w:after="0"/>
              <w:rPr>
                <w:sz w:val="20"/>
                <w:szCs w:val="20"/>
                <w:color w:val="auto"/>
              </w:rPr>
            </w:pPr>
            <w:r>
              <w:rPr>
                <w:rFonts w:ascii="Arial" w:cs="Arial" w:eastAsia="Arial" w:hAnsi="Arial"/>
                <w:sz w:val="14"/>
                <w:szCs w:val="14"/>
                <w:b w:val="1"/>
                <w:bCs w:val="1"/>
                <w:color w:val="auto"/>
                <w:w w:val="93"/>
              </w:rPr>
              <w:t>(Full title of the plans)</w:t>
            </w:r>
          </w:p>
        </w:tc>
        <w:tc>
          <w:tcPr>
            <w:tcW w:w="2300" w:type="dxa"/>
            <w:vAlign w:val="bottom"/>
          </w:tcPr>
          <w:p>
            <w:pPr>
              <w:spacing w:after="0"/>
              <w:rPr>
                <w:sz w:val="16"/>
                <w:szCs w:val="16"/>
                <w:color w:val="auto"/>
              </w:rPr>
            </w:pPr>
          </w:p>
        </w:tc>
      </w:tr>
      <w:tr>
        <w:trPr>
          <w:trHeight w:val="399"/>
        </w:trPr>
        <w:tc>
          <w:tcPr>
            <w:tcW w:w="6220" w:type="dxa"/>
            <w:vAlign w:val="bottom"/>
          </w:tcPr>
          <w:p>
            <w:pPr>
              <w:jc w:val="center"/>
              <w:ind w:left="2875"/>
              <w:spacing w:after="0"/>
              <w:rPr>
                <w:sz w:val="20"/>
                <w:szCs w:val="20"/>
                <w:color w:val="auto"/>
              </w:rPr>
            </w:pPr>
            <w:r>
              <w:rPr>
                <w:rFonts w:ascii="Arial" w:cs="Arial" w:eastAsia="Arial" w:hAnsi="Arial"/>
                <w:sz w:val="18"/>
                <w:szCs w:val="18"/>
                <w:b w:val="1"/>
                <w:bCs w:val="1"/>
                <w:color w:val="auto"/>
                <w:w w:val="91"/>
              </w:rPr>
              <w:t>Tillman U. Gerngross</w:t>
            </w:r>
          </w:p>
        </w:tc>
        <w:tc>
          <w:tcPr>
            <w:tcW w:w="2300" w:type="dxa"/>
            <w:vAlign w:val="bottom"/>
          </w:tcPr>
          <w:p>
            <w:pPr>
              <w:spacing w:after="0"/>
              <w:rPr>
                <w:sz w:val="24"/>
                <w:szCs w:val="24"/>
                <w:color w:val="auto"/>
              </w:rPr>
            </w:pPr>
          </w:p>
        </w:tc>
      </w:tr>
      <w:tr>
        <w:trPr>
          <w:trHeight w:val="216"/>
        </w:trPr>
        <w:tc>
          <w:tcPr>
            <w:tcW w:w="6220" w:type="dxa"/>
            <w:vAlign w:val="bottom"/>
          </w:tcPr>
          <w:p>
            <w:pPr>
              <w:jc w:val="center"/>
              <w:ind w:left="2855"/>
              <w:spacing w:after="0"/>
              <w:rPr>
                <w:sz w:val="20"/>
                <w:szCs w:val="20"/>
                <w:color w:val="auto"/>
              </w:rPr>
            </w:pPr>
            <w:r>
              <w:rPr>
                <w:rFonts w:ascii="Arial" w:cs="Arial" w:eastAsia="Arial" w:hAnsi="Arial"/>
                <w:sz w:val="18"/>
                <w:szCs w:val="18"/>
                <w:b w:val="1"/>
                <w:bCs w:val="1"/>
                <w:color w:val="auto"/>
                <w:w w:val="91"/>
              </w:rPr>
              <w:t>Chief Executive Officer</w:t>
            </w:r>
          </w:p>
        </w:tc>
        <w:tc>
          <w:tcPr>
            <w:tcW w:w="2300" w:type="dxa"/>
            <w:vAlign w:val="bottom"/>
          </w:tcPr>
          <w:p>
            <w:pPr>
              <w:spacing w:after="0"/>
              <w:rPr>
                <w:sz w:val="18"/>
                <w:szCs w:val="18"/>
                <w:color w:val="auto"/>
              </w:rPr>
            </w:pPr>
          </w:p>
        </w:tc>
      </w:tr>
      <w:tr>
        <w:trPr>
          <w:trHeight w:val="216"/>
        </w:trPr>
        <w:tc>
          <w:tcPr>
            <w:tcW w:w="6220" w:type="dxa"/>
            <w:vAlign w:val="bottom"/>
          </w:tcPr>
          <w:p>
            <w:pPr>
              <w:jc w:val="center"/>
              <w:ind w:left="2855"/>
              <w:spacing w:after="0"/>
              <w:rPr>
                <w:sz w:val="20"/>
                <w:szCs w:val="20"/>
                <w:color w:val="auto"/>
              </w:rPr>
            </w:pPr>
            <w:r>
              <w:rPr>
                <w:rFonts w:ascii="Arial" w:cs="Arial" w:eastAsia="Arial" w:hAnsi="Arial"/>
                <w:sz w:val="18"/>
                <w:szCs w:val="18"/>
                <w:b w:val="1"/>
                <w:bCs w:val="1"/>
                <w:color w:val="auto"/>
                <w:w w:val="91"/>
              </w:rPr>
              <w:t>Adagio Therapeutics, Inc.</w:t>
            </w:r>
          </w:p>
        </w:tc>
        <w:tc>
          <w:tcPr>
            <w:tcW w:w="2300" w:type="dxa"/>
            <w:vAlign w:val="bottom"/>
          </w:tcPr>
          <w:p>
            <w:pPr>
              <w:spacing w:after="0"/>
              <w:rPr>
                <w:sz w:val="18"/>
                <w:szCs w:val="18"/>
                <w:color w:val="auto"/>
              </w:rPr>
            </w:pPr>
          </w:p>
        </w:tc>
      </w:tr>
      <w:tr>
        <w:trPr>
          <w:trHeight w:val="216"/>
        </w:trPr>
        <w:tc>
          <w:tcPr>
            <w:tcW w:w="6220" w:type="dxa"/>
            <w:vAlign w:val="bottom"/>
          </w:tcPr>
          <w:p>
            <w:pPr>
              <w:jc w:val="center"/>
              <w:ind w:left="2875"/>
              <w:spacing w:after="0"/>
              <w:rPr>
                <w:sz w:val="20"/>
                <w:szCs w:val="20"/>
                <w:color w:val="auto"/>
              </w:rPr>
            </w:pPr>
            <w:r>
              <w:rPr>
                <w:rFonts w:ascii="Arial" w:cs="Arial" w:eastAsia="Arial" w:hAnsi="Arial"/>
                <w:sz w:val="18"/>
                <w:szCs w:val="18"/>
                <w:b w:val="1"/>
                <w:bCs w:val="1"/>
                <w:color w:val="auto"/>
                <w:w w:val="90"/>
              </w:rPr>
              <w:t>303 Wyman Street, Suite 300</w:t>
            </w:r>
          </w:p>
        </w:tc>
        <w:tc>
          <w:tcPr>
            <w:tcW w:w="2300" w:type="dxa"/>
            <w:vAlign w:val="bottom"/>
          </w:tcPr>
          <w:p>
            <w:pPr>
              <w:spacing w:after="0"/>
              <w:rPr>
                <w:sz w:val="18"/>
                <w:szCs w:val="18"/>
                <w:color w:val="auto"/>
              </w:rPr>
            </w:pPr>
          </w:p>
        </w:tc>
      </w:tr>
      <w:tr>
        <w:trPr>
          <w:trHeight w:val="212"/>
        </w:trPr>
        <w:tc>
          <w:tcPr>
            <w:tcW w:w="6220" w:type="dxa"/>
            <w:vAlign w:val="bottom"/>
          </w:tcPr>
          <w:p>
            <w:pPr>
              <w:jc w:val="center"/>
              <w:ind w:left="2855"/>
              <w:spacing w:after="0"/>
              <w:rPr>
                <w:sz w:val="20"/>
                <w:szCs w:val="20"/>
                <w:color w:val="auto"/>
              </w:rPr>
            </w:pPr>
            <w:r>
              <w:rPr>
                <w:rFonts w:ascii="Arial" w:cs="Arial" w:eastAsia="Arial" w:hAnsi="Arial"/>
                <w:sz w:val="18"/>
                <w:szCs w:val="18"/>
                <w:b w:val="1"/>
                <w:bCs w:val="1"/>
                <w:color w:val="auto"/>
                <w:w w:val="95"/>
              </w:rPr>
              <w:t>Waltham, MA 02451</w:t>
            </w:r>
          </w:p>
        </w:tc>
        <w:tc>
          <w:tcPr>
            <w:tcW w:w="2300" w:type="dxa"/>
            <w:vAlign w:val="bottom"/>
          </w:tcPr>
          <w:p>
            <w:pPr>
              <w:spacing w:after="0"/>
              <w:rPr>
                <w:sz w:val="18"/>
                <w:szCs w:val="18"/>
                <w:color w:val="auto"/>
              </w:rPr>
            </w:pPr>
          </w:p>
        </w:tc>
      </w:tr>
      <w:tr>
        <w:trPr>
          <w:trHeight w:val="186"/>
        </w:trPr>
        <w:tc>
          <w:tcPr>
            <w:tcW w:w="6220" w:type="dxa"/>
            <w:vAlign w:val="bottom"/>
          </w:tcPr>
          <w:p>
            <w:pPr>
              <w:jc w:val="center"/>
              <w:ind w:left="2855"/>
              <w:spacing w:after="0"/>
              <w:rPr>
                <w:sz w:val="20"/>
                <w:szCs w:val="20"/>
                <w:color w:val="auto"/>
              </w:rPr>
            </w:pPr>
            <w:r>
              <w:rPr>
                <w:rFonts w:ascii="Arial" w:cs="Arial" w:eastAsia="Arial" w:hAnsi="Arial"/>
                <w:sz w:val="14"/>
                <w:szCs w:val="14"/>
                <w:b w:val="1"/>
                <w:bCs w:val="1"/>
                <w:color w:val="auto"/>
                <w:w w:val="91"/>
              </w:rPr>
              <w:t>(Name and address of agent for service)</w:t>
            </w:r>
          </w:p>
        </w:tc>
        <w:tc>
          <w:tcPr>
            <w:tcW w:w="2300" w:type="dxa"/>
            <w:vAlign w:val="bottom"/>
          </w:tcPr>
          <w:p>
            <w:pPr>
              <w:spacing w:after="0"/>
              <w:rPr>
                <w:sz w:val="16"/>
                <w:szCs w:val="16"/>
                <w:color w:val="auto"/>
              </w:rPr>
            </w:pP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(603) 252-2274</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Divakar Gupta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Ryan Sansom</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Courtney M.W. Tygesson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Cooley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55 Hudson Yards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NY 10001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(212) 479-6000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486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r>
      <w:tr>
        <w:trPr>
          <w:trHeight w:val="106"/>
        </w:trPr>
        <w:tc>
          <w:tcPr>
            <w:tcW w:w="486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 Maximum</w:t>
            </w:r>
          </w:p>
        </w:tc>
        <w:tc>
          <w:tcPr>
            <w:tcW w:w="156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 Maximum</w:t>
            </w:r>
          </w:p>
        </w:tc>
        <w:tc>
          <w:tcPr>
            <w:tcW w:w="1520" w:type="dxa"/>
            <w:vAlign w:val="bottom"/>
          </w:tcPr>
          <w:p>
            <w:pPr>
              <w:spacing w:after="0"/>
              <w:rPr>
                <w:sz w:val="9"/>
                <w:szCs w:val="9"/>
                <w:color w:val="auto"/>
              </w:rPr>
            </w:pPr>
          </w:p>
        </w:tc>
      </w:tr>
      <w:tr>
        <w:trPr>
          <w:trHeight w:val="158"/>
        </w:trPr>
        <w:tc>
          <w:tcPr>
            <w:tcW w:w="486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2"/>
              </w:rPr>
              <w:t>Title of Securities</w:t>
            </w:r>
          </w:p>
        </w:tc>
        <w:tc>
          <w:tcPr>
            <w:tcW w:w="1540" w:type="dxa"/>
            <w:vAlign w:val="bottom"/>
            <w:tcBorders>
              <w:right w:val="single" w:sz="8" w:color="auto"/>
            </w:tcBorders>
          </w:tcPr>
          <w:p>
            <w:pPr>
              <w:ind w:left="380"/>
              <w:spacing w:after="0" w:line="158" w:lineRule="exact"/>
              <w:rPr>
                <w:sz w:val="20"/>
                <w:szCs w:val="20"/>
                <w:color w:val="auto"/>
              </w:rPr>
            </w:pPr>
            <w:r>
              <w:rPr>
                <w:rFonts w:ascii="Arial" w:cs="Arial" w:eastAsia="Arial" w:hAnsi="Arial"/>
                <w:sz w:val="14"/>
                <w:szCs w:val="14"/>
                <w:b w:val="1"/>
                <w:bCs w:val="1"/>
                <w:color w:val="auto"/>
              </w:rPr>
              <w:t>Amount to be</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5"/>
              </w:rPr>
              <w:t>Offering</w:t>
            </w:r>
          </w:p>
        </w:tc>
        <w:tc>
          <w:tcPr>
            <w:tcW w:w="156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Aggregate</w:t>
            </w:r>
          </w:p>
        </w:tc>
        <w:tc>
          <w:tcPr>
            <w:tcW w:w="1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Amount of</w:t>
            </w:r>
          </w:p>
        </w:tc>
      </w:tr>
      <w:tr>
        <w:trPr>
          <w:trHeight w:val="175"/>
        </w:trPr>
        <w:tc>
          <w:tcPr>
            <w:tcW w:w="4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to be Registered</w:t>
            </w:r>
          </w:p>
        </w:tc>
        <w:tc>
          <w:tcPr>
            <w:tcW w:w="154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14"/>
                <w:szCs w:val="14"/>
                <w:b w:val="1"/>
                <w:bCs w:val="1"/>
                <w:color w:val="auto"/>
              </w:rPr>
              <w:t>Registered</w:t>
            </w:r>
            <w:r>
              <w:rPr>
                <w:rFonts w:ascii="Arial" w:cs="Arial" w:eastAsia="Arial" w:hAnsi="Arial"/>
                <w:sz w:val="12"/>
                <w:szCs w:val="12"/>
                <w:b w:val="1"/>
                <w:bCs w:val="1"/>
                <w:color w:val="auto"/>
              </w:rPr>
              <w:t>(1)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 per Share</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Offering Price</w:t>
            </w:r>
          </w:p>
        </w:tc>
        <w:tc>
          <w:tcPr>
            <w:tcW w:w="15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1"/>
              </w:rPr>
              <w:t>Registration Fee</w:t>
            </w:r>
          </w:p>
        </w:tc>
      </w:tr>
      <w:tr>
        <w:trPr>
          <w:trHeight w:val="209"/>
        </w:trPr>
        <w:tc>
          <w:tcPr>
            <w:tcW w:w="4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par value $0.0001 per share</w:t>
            </w: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r>
    </w:tbl>
    <w:p>
      <w:pPr>
        <w:sectPr>
          <w:pgSz w:w="11900" w:h="16838" w:orient="portrait"/>
          <w:cols w:equalWidth="0" w:num="1">
            <w:col w:w="11020"/>
          </w:cols>
          <w:pgMar w:left="440" w:top="229" w:right="439" w:bottom="0" w:gutter="0" w:footer="0" w:header="0"/>
        </w:sectPr>
      </w:pPr>
    </w:p>
    <w:bookmarkStart w:id="1" w:name="page2"/>
    <w:bookmarkEnd w:id="1"/>
    <w:p>
      <w:pPr>
        <w:spacing w:after="0" w:line="1" w:lineRule="exact"/>
        <w:rPr>
          <w:sz w:val="20"/>
          <w:szCs w:val="20"/>
          <w:color w:val="auto"/>
        </w:rPr>
      </w:pPr>
    </w:p>
    <w:tbl>
      <w:tblPr>
        <w:tblLayout w:type="fixed"/>
        <w:tblInd w:w="4" w:type="dxa"/>
        <w:tblCellMar>
          <w:top w:w="0" w:type="dxa"/>
          <w:left w:w="0" w:type="dxa"/>
          <w:bottom w:w="0" w:type="dxa"/>
          <w:right w:w="0" w:type="dxa"/>
        </w:tblCellMar>
      </w:tblPr>
      <w:tr>
        <w:trPr>
          <w:trHeight w:val="229"/>
        </w:trPr>
        <w:tc>
          <w:tcPr>
            <w:tcW w:w="48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w w:val="98"/>
              </w:rPr>
              <w:t>– Outstanding under the 2020 Equity Incentive Plan (Options)</w:t>
            </w:r>
          </w:p>
        </w:tc>
        <w:tc>
          <w:tcPr>
            <w:tcW w:w="1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 xml:space="preserve">16,793,090 </w:t>
            </w:r>
            <w:r>
              <w:rPr>
                <w:rFonts w:ascii="Arial" w:cs="Arial" w:eastAsia="Arial" w:hAnsi="Arial"/>
                <w:sz w:val="15"/>
                <w:szCs w:val="15"/>
                <w:color w:val="auto"/>
                <w:w w:val="91"/>
              </w:rPr>
              <w:t>(2)</w:t>
            </w:r>
          </w:p>
        </w:tc>
        <w:tc>
          <w:tcPr>
            <w:tcW w:w="1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 xml:space="preserve">$8.19 </w:t>
            </w:r>
            <w:r>
              <w:rPr>
                <w:rFonts w:ascii="Arial" w:cs="Arial" w:eastAsia="Arial" w:hAnsi="Arial"/>
                <w:sz w:val="15"/>
                <w:szCs w:val="15"/>
                <w:color w:val="auto"/>
                <w:w w:val="90"/>
              </w:rPr>
              <w:t>(7)</w:t>
            </w:r>
          </w:p>
        </w:tc>
        <w:tc>
          <w:tcPr>
            <w:tcW w:w="15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 xml:space="preserve">$137,535,407.10 </w:t>
            </w:r>
            <w:r>
              <w:rPr>
                <w:rFonts w:ascii="Arial" w:cs="Arial" w:eastAsia="Arial" w:hAnsi="Arial"/>
                <w:sz w:val="15"/>
                <w:szCs w:val="15"/>
                <w:color w:val="auto"/>
                <w:w w:val="89"/>
              </w:rPr>
              <w:t>(7)</w:t>
            </w:r>
          </w:p>
        </w:tc>
        <w:tc>
          <w:tcPr>
            <w:tcW w:w="15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8"/>
              </w:rPr>
              <w:t>$15,005.11</w:t>
            </w:r>
          </w:p>
        </w:tc>
      </w:tr>
      <w:tr>
        <w:trPr>
          <w:trHeight w:val="209"/>
        </w:trPr>
        <w:tc>
          <w:tcPr>
            <w:tcW w:w="4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8"/>
              </w:rPr>
              <w:t>– Outstanding under the 2021 Equity Incentive Plan (Options)</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 xml:space="preserve">785,058 </w:t>
            </w:r>
            <w:r>
              <w:rPr>
                <w:rFonts w:ascii="Arial" w:cs="Arial" w:eastAsia="Arial" w:hAnsi="Arial"/>
                <w:sz w:val="15"/>
                <w:szCs w:val="15"/>
                <w:color w:val="auto"/>
                <w:w w:val="92"/>
              </w:rPr>
              <w:t>(3)</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 xml:space="preserve">$17.00 </w:t>
            </w:r>
            <w:r>
              <w:rPr>
                <w:rFonts w:ascii="Arial" w:cs="Arial" w:eastAsia="Arial" w:hAnsi="Arial"/>
                <w:sz w:val="15"/>
                <w:szCs w:val="15"/>
                <w:color w:val="auto"/>
                <w:w w:val="91"/>
              </w:rPr>
              <w:t>(7)</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 xml:space="preserve">$13,345,986.00 </w:t>
            </w:r>
            <w:r>
              <w:rPr>
                <w:rFonts w:ascii="Arial" w:cs="Arial" w:eastAsia="Arial" w:hAnsi="Arial"/>
                <w:sz w:val="15"/>
                <w:szCs w:val="15"/>
                <w:color w:val="auto"/>
                <w:w w:val="90"/>
              </w:rPr>
              <w:t>(7)</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$1,456.05</w:t>
            </w:r>
          </w:p>
        </w:tc>
      </w:tr>
      <w:tr>
        <w:trPr>
          <w:trHeight w:val="195"/>
        </w:trPr>
        <w:tc>
          <w:tcPr>
            <w:tcW w:w="486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1"/>
              </w:rPr>
              <w:t>– Shares reserved for future grant under the 2021 Equity Incentive</w:t>
            </w:r>
          </w:p>
        </w:tc>
        <w:tc>
          <w:tcPr>
            <w:tcW w:w="154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1520" w:type="dxa"/>
            <w:vAlign w:val="bottom"/>
          </w:tcPr>
          <w:p>
            <w:pPr>
              <w:spacing w:after="0"/>
              <w:rPr>
                <w:sz w:val="16"/>
                <w:szCs w:val="16"/>
                <w:color w:val="auto"/>
              </w:rPr>
            </w:pPr>
          </w:p>
        </w:tc>
      </w:tr>
      <w:tr>
        <w:trPr>
          <w:trHeight w:val="230"/>
        </w:trPr>
        <w:tc>
          <w:tcPr>
            <w:tcW w:w="48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Plan</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 xml:space="preserve">17,496,974 </w:t>
            </w:r>
            <w:r>
              <w:rPr>
                <w:rFonts w:ascii="Arial" w:cs="Arial" w:eastAsia="Arial" w:hAnsi="Arial"/>
                <w:sz w:val="15"/>
                <w:szCs w:val="15"/>
                <w:color w:val="auto"/>
                <w:w w:val="92"/>
              </w:rPr>
              <w:t>(4)(5)</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 xml:space="preserve">$26.66 </w:t>
            </w:r>
            <w:r>
              <w:rPr>
                <w:rFonts w:ascii="Arial" w:cs="Arial" w:eastAsia="Arial" w:hAnsi="Arial"/>
                <w:sz w:val="15"/>
                <w:szCs w:val="15"/>
                <w:color w:val="auto"/>
                <w:w w:val="91"/>
              </w:rPr>
              <w:t>(8)</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 xml:space="preserve">$466,469,326.84 </w:t>
            </w:r>
            <w:r>
              <w:rPr>
                <w:rFonts w:ascii="Arial" w:cs="Arial" w:eastAsia="Arial" w:hAnsi="Arial"/>
                <w:sz w:val="15"/>
                <w:szCs w:val="15"/>
                <w:color w:val="auto"/>
                <w:w w:val="89"/>
              </w:rPr>
              <w:t>(8)</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$50,891.80</w:t>
            </w:r>
          </w:p>
        </w:tc>
      </w:tr>
      <w:tr>
        <w:trPr>
          <w:trHeight w:val="195"/>
        </w:trPr>
        <w:tc>
          <w:tcPr>
            <w:tcW w:w="486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0"/>
              </w:rPr>
              <w:t>– Shares reserved for future grant under the 2021 Employee Stock</w:t>
            </w:r>
          </w:p>
        </w:tc>
        <w:tc>
          <w:tcPr>
            <w:tcW w:w="154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1520" w:type="dxa"/>
            <w:vAlign w:val="bottom"/>
          </w:tcPr>
          <w:p>
            <w:pPr>
              <w:spacing w:after="0"/>
              <w:rPr>
                <w:sz w:val="16"/>
                <w:szCs w:val="16"/>
                <w:color w:val="auto"/>
              </w:rPr>
            </w:pPr>
          </w:p>
        </w:tc>
      </w:tr>
      <w:tr>
        <w:trPr>
          <w:trHeight w:val="230"/>
        </w:trPr>
        <w:tc>
          <w:tcPr>
            <w:tcW w:w="48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Purchase Plan</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 xml:space="preserve">1,342,773 </w:t>
            </w:r>
            <w:r>
              <w:rPr>
                <w:rFonts w:ascii="Arial" w:cs="Arial" w:eastAsia="Arial" w:hAnsi="Arial"/>
                <w:sz w:val="15"/>
                <w:szCs w:val="15"/>
                <w:color w:val="auto"/>
                <w:w w:val="90"/>
              </w:rPr>
              <w:t>(6)</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 xml:space="preserve">$26.66 </w:t>
            </w:r>
            <w:r>
              <w:rPr>
                <w:rFonts w:ascii="Arial" w:cs="Arial" w:eastAsia="Arial" w:hAnsi="Arial"/>
                <w:sz w:val="15"/>
                <w:szCs w:val="15"/>
                <w:color w:val="auto"/>
                <w:w w:val="91"/>
              </w:rPr>
              <w:t>(8)</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 xml:space="preserve">$35,798,328.18 </w:t>
            </w:r>
            <w:r>
              <w:rPr>
                <w:rFonts w:ascii="Arial" w:cs="Arial" w:eastAsia="Arial" w:hAnsi="Arial"/>
                <w:sz w:val="15"/>
                <w:szCs w:val="15"/>
                <w:color w:val="auto"/>
                <w:w w:val="90"/>
              </w:rPr>
              <w:t>(8)</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$3,905.60</w:t>
            </w:r>
          </w:p>
        </w:tc>
      </w:tr>
      <w:tr>
        <w:trPr>
          <w:trHeight w:val="210"/>
        </w:trPr>
        <w:tc>
          <w:tcPr>
            <w:tcW w:w="4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36,417,895</w:t>
            </w:r>
          </w:p>
        </w:tc>
        <w:tc>
          <w:tcPr>
            <w:tcW w:w="154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$653,149,048.12</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$71,258.56</w:t>
            </w:r>
          </w:p>
        </w:tc>
      </w:tr>
      <w:tr>
        <w:trPr>
          <w:trHeight w:val="20"/>
        </w:trPr>
        <w:tc>
          <w:tcPr>
            <w:tcW w:w="48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ind w:left="424" w:right="320" w:hanging="424"/>
        <w:spacing w:after="0" w:line="253"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416(a) of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this Registration Statement shall also cover any additional shares of Registrant’s common stock, par value $0.0001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that become issuable under the Registrant’s 2020 Equity Incentive Plan (the “</w:t>
      </w:r>
      <w:r>
        <w:rPr>
          <w:rFonts w:ascii="Arial" w:cs="Arial" w:eastAsia="Arial" w:hAnsi="Arial"/>
          <w:sz w:val="18"/>
          <w:szCs w:val="18"/>
          <w:b w:val="1"/>
          <w:bCs w:val="1"/>
          <w:i w:val="1"/>
          <w:iCs w:val="1"/>
          <w:color w:val="auto"/>
        </w:rPr>
        <w:t>Pre-IPO Plan</w:t>
      </w:r>
      <w:r>
        <w:rPr>
          <w:rFonts w:ascii="Arial" w:cs="Arial" w:eastAsia="Arial" w:hAnsi="Arial"/>
          <w:sz w:val="18"/>
          <w:szCs w:val="18"/>
          <w:color w:val="auto"/>
        </w:rPr>
        <w:t>”), 2021 Equity Incentive Plan (the “</w:t>
      </w:r>
      <w:r>
        <w:rPr>
          <w:rFonts w:ascii="Arial" w:cs="Arial" w:eastAsia="Arial" w:hAnsi="Arial"/>
          <w:sz w:val="18"/>
          <w:szCs w:val="18"/>
          <w:b w:val="1"/>
          <w:bCs w:val="1"/>
          <w:i w:val="1"/>
          <w:iCs w:val="1"/>
          <w:color w:val="auto"/>
        </w:rPr>
        <w:t>IPO Plan</w:t>
      </w:r>
      <w:r>
        <w:rPr>
          <w:rFonts w:ascii="Arial" w:cs="Arial" w:eastAsia="Arial" w:hAnsi="Arial"/>
          <w:sz w:val="18"/>
          <w:szCs w:val="18"/>
          <w:color w:val="auto"/>
        </w:rPr>
        <w:t>”), or 2021 Employee Stock Purchase Plan (the “</w:t>
      </w:r>
      <w:r>
        <w:rPr>
          <w:rFonts w:ascii="Arial" w:cs="Arial" w:eastAsia="Arial" w:hAnsi="Arial"/>
          <w:sz w:val="18"/>
          <w:szCs w:val="18"/>
          <w:b w:val="1"/>
          <w:bCs w:val="1"/>
          <w:i w:val="1"/>
          <w:iCs w:val="1"/>
          <w:color w:val="auto"/>
        </w:rPr>
        <w:t>2021</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ESPP</w:t>
      </w:r>
      <w:r>
        <w:rPr>
          <w:rFonts w:ascii="Arial" w:cs="Arial" w:eastAsia="Arial" w:hAnsi="Arial"/>
          <w:sz w:val="18"/>
          <w:szCs w:val="18"/>
          <w:color w:val="auto"/>
        </w:rPr>
        <w:t>”) by reason of any stock dividend, stock split, recapitalization or other similar transaction that results in an increase in the number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shares of Registrant’s Common Stock.</w:t>
      </w:r>
    </w:p>
    <w:p>
      <w:pPr>
        <w:spacing w:after="0" w:line="2" w:lineRule="exact"/>
        <w:rPr>
          <w:rFonts w:ascii="Arial" w:cs="Arial" w:eastAsia="Arial" w:hAnsi="Arial"/>
          <w:sz w:val="18"/>
          <w:szCs w:val="18"/>
          <w:color w:val="auto"/>
        </w:rPr>
      </w:pPr>
    </w:p>
    <w:p>
      <w:pPr>
        <w:ind w:left="424" w:hanging="424"/>
        <w:spacing w:after="0"/>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shares of Common Stock reserved for issuance pursuant to outstanding stock option awards under the Pre-IPO Plan.</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shares of Common Stock reserved for issuance pursuant to outstanding stock option awards under the IPO Plan.</w:t>
      </w:r>
    </w:p>
    <w:p>
      <w:pPr>
        <w:spacing w:after="0" w:line="9" w:lineRule="exact"/>
        <w:rPr>
          <w:rFonts w:ascii="Arial" w:cs="Arial" w:eastAsia="Arial" w:hAnsi="Arial"/>
          <w:sz w:val="18"/>
          <w:szCs w:val="18"/>
          <w:color w:val="auto"/>
        </w:rPr>
      </w:pPr>
    </w:p>
    <w:p>
      <w:pPr>
        <w:ind w:left="424" w:right="80" w:hanging="424"/>
        <w:spacing w:after="0" w:line="250"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the terms of the IPO Plan, any shares subject to outstanding awards originally granted under the Pre-IPO Plan that: (i) are not issued because such stock award or any portion thereof expires or otherwise terminates without all of the shares covered by such stock award having been issued; (ii) are not issued because such stock award or any portion thereof is settled in cash; (iii) are forfeited back to or repurchased because of the failure to meet a contingency or condition required for the vesting of such shares; (iv) are withheld or reacquired to satisfy the exercise, strike or purchase price; or (v) are withheld or reacquired to satisfy a tax withholding obligation, shall become available for future issuance pursuant to the IPO Plan.</w:t>
      </w:r>
    </w:p>
    <w:p>
      <w:pPr>
        <w:spacing w:after="0" w:line="2" w:lineRule="exact"/>
        <w:rPr>
          <w:rFonts w:ascii="Arial" w:cs="Arial" w:eastAsia="Arial" w:hAnsi="Arial"/>
          <w:sz w:val="18"/>
          <w:szCs w:val="18"/>
          <w:color w:val="auto"/>
        </w:rPr>
      </w:pPr>
    </w:p>
    <w:p>
      <w:pPr>
        <w:ind w:left="424" w:right="140" w:hanging="424"/>
        <w:spacing w:after="0" w:line="265"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number of shares reserved under the IPO Plan will automatically increase on the first day of each fiscal year, starting on January 1, 2022 and continuing through January 1, 2031, in an amount equal to 5.0% of the total number of shares of the Registrant’s capital stock outstanding on December 31st of the preceding calendar year or a lesser number of shares determined by the Board of Directors of the Registrant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The issuance of such shares is not being registered on this Registration Statement.</w:t>
      </w:r>
    </w:p>
    <w:p>
      <w:pPr>
        <w:ind w:left="424" w:right="140" w:hanging="424"/>
        <w:spacing w:after="0" w:line="250"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number of shares reserved under the 2021 ESPP will automatically increase on the first day of each fiscal year, starting on January 1, 2022 and continuing through January 1, 2031, in an amount equal to the lesser of (i) 1.0% of the total number of shares of the Registrant’s common stock outstanding on December 31st of the preceding calendar year and (ii) 2,685,546 shares; provided, however, that before the date of any such increase, the Board may determine that such increase will be less than the amount set forth in clauses (i) and (ii). The issuance of such shares is not being registered on this Registration Statement.</w:t>
      </w:r>
    </w:p>
    <w:p>
      <w:pPr>
        <w:spacing w:after="0" w:line="1" w:lineRule="exact"/>
        <w:rPr>
          <w:rFonts w:ascii="Arial" w:cs="Arial" w:eastAsia="Arial" w:hAnsi="Arial"/>
          <w:sz w:val="18"/>
          <w:szCs w:val="18"/>
          <w:color w:val="auto"/>
        </w:rPr>
      </w:pPr>
    </w:p>
    <w:p>
      <w:pPr>
        <w:jc w:val="both"/>
        <w:ind w:left="424" w:right="220" w:hanging="424"/>
        <w:spacing w:after="0" w:line="250"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amount of the registration fee pursuant to Rule 457(h) promulgated under the Securities Act. The proposed maximum offering price per share and the proposed maximum aggregate offering price are calculated using the weighted-average exercise price for such shares.</w:t>
      </w:r>
    </w:p>
    <w:p>
      <w:pPr>
        <w:spacing w:after="0" w:line="1" w:lineRule="exact"/>
        <w:rPr>
          <w:rFonts w:ascii="Arial" w:cs="Arial" w:eastAsia="Arial" w:hAnsi="Arial"/>
          <w:sz w:val="18"/>
          <w:szCs w:val="18"/>
          <w:color w:val="auto"/>
        </w:rPr>
      </w:pPr>
    </w:p>
    <w:p>
      <w:pPr>
        <w:ind w:left="424" w:right="40" w:hanging="424"/>
        <w:spacing w:after="0" w:line="255"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Rules 457(c) and 457(h). The proposed maximum offering price per share and proposed maximum aggregate offering price are based on the average of the high and low sale prices of the common stock as reported on The Nasdaq Global Market on August 18, 2021 (i.e., $27.92 and $25.40,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138430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180975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133" w:right="4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I</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9"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The information specified in Item 1 and Item 2 of Part I of Form S-8 is omitted from this Registration Statement. The documents containing the information specified in Part I of Form S-8 will be delivered to the participants in the plans covered by this Registration Statement as specified by Rule 428(b)(1)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w:t>
      </w:r>
    </w:p>
    <w:p>
      <w:pPr>
        <w:sectPr>
          <w:pgSz w:w="11900" w:h="16838" w:orient="portrait"/>
          <w:cols w:equalWidth="0" w:num="1">
            <w:col w:w="10880"/>
          </w:cols>
          <w:pgMar w:left="440" w:top="270" w:right="579" w:bottom="1440" w:gutter="0" w:footer="0" w:header="0"/>
        </w:sectPr>
      </w:pPr>
    </w:p>
    <w:bookmarkStart w:id="3" w:name="page4"/>
    <w:bookmarkEnd w:id="3"/>
    <w:p>
      <w:pPr>
        <w:ind w:left="5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II</w:t>
      </w:r>
    </w:p>
    <w:p>
      <w:pPr>
        <w:spacing w:after="0" w:line="25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INCORPORATION OF DOCUMENTS BY REFERENCE</w:t>
      </w:r>
    </w:p>
    <w:p>
      <w:pPr>
        <w:spacing w:after="0" w:line="121" w:lineRule="exact"/>
        <w:rPr>
          <w:sz w:val="20"/>
          <w:szCs w:val="20"/>
          <w:color w:val="auto"/>
        </w:rPr>
      </w:pPr>
    </w:p>
    <w:p>
      <w:pPr>
        <w:ind w:right="1120" w:firstLine="440"/>
        <w:spacing w:after="0" w:line="277" w:lineRule="auto"/>
        <w:rPr>
          <w:sz w:val="20"/>
          <w:szCs w:val="20"/>
          <w:color w:val="auto"/>
        </w:rPr>
      </w:pPr>
      <w:r>
        <w:rPr>
          <w:rFonts w:ascii="Arial" w:cs="Arial" w:eastAsia="Arial" w:hAnsi="Arial"/>
          <w:sz w:val="18"/>
          <w:szCs w:val="18"/>
          <w:color w:val="auto"/>
        </w:rPr>
        <w:t>The following documents filed by Adagio Therapeutics, Inc. (the “</w:t>
      </w:r>
      <w:r>
        <w:rPr>
          <w:rFonts w:ascii="Arial" w:cs="Arial" w:eastAsia="Arial" w:hAnsi="Arial"/>
          <w:sz w:val="18"/>
          <w:szCs w:val="18"/>
          <w:b w:val="1"/>
          <w:bCs w:val="1"/>
          <w:i w:val="1"/>
          <w:iCs w:val="1"/>
          <w:color w:val="auto"/>
        </w:rPr>
        <w:t>Registrant</w:t>
      </w:r>
      <w:r>
        <w:rPr>
          <w:rFonts w:ascii="Arial" w:cs="Arial" w:eastAsia="Arial" w:hAnsi="Arial"/>
          <w:sz w:val="18"/>
          <w:szCs w:val="18"/>
          <w:color w:val="auto"/>
        </w:rPr>
        <w:t>”) with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are incorporated by reference into this Registration Statement:</w:t>
      </w:r>
    </w:p>
    <w:p>
      <w:pPr>
        <w:spacing w:after="0" w:line="170" w:lineRule="exact"/>
        <w:rPr>
          <w:sz w:val="20"/>
          <w:szCs w:val="20"/>
          <w:color w:val="auto"/>
        </w:rPr>
      </w:pPr>
    </w:p>
    <w:p>
      <w:pPr>
        <w:ind w:right="100" w:firstLine="436"/>
        <w:spacing w:after="0" w:line="263" w:lineRule="auto"/>
        <w:tabs>
          <w:tab w:leader="none" w:pos="685"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Registrant’s prospectus dated August 5, 2021 filed pursuant to </w:t>
      </w:r>
      <w:hyperlink r:id="rId19">
        <w:r>
          <w:rPr>
            <w:rFonts w:ascii="Arial" w:cs="Arial" w:eastAsia="Arial" w:hAnsi="Arial"/>
            <w:sz w:val="18"/>
            <w:szCs w:val="18"/>
            <w:u w:val="single" w:color="auto"/>
            <w:color w:val="0000EE"/>
          </w:rPr>
          <w:t>Rule 424(b)</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under the Securities Act relating to the Registration Statement on Form S-1 (File No. 333-257975), which contains audited financial statements for the Registrant’s latest fiscal year for which such statements have been filed;</w:t>
      </w:r>
    </w:p>
    <w:p>
      <w:pPr>
        <w:spacing w:after="0" w:line="183" w:lineRule="exact"/>
        <w:rPr>
          <w:rFonts w:ascii="Arial" w:cs="Arial" w:eastAsia="Arial" w:hAnsi="Arial"/>
          <w:sz w:val="18"/>
          <w:szCs w:val="18"/>
          <w:color w:val="auto"/>
        </w:rPr>
      </w:pPr>
    </w:p>
    <w:p>
      <w:pPr>
        <w:ind w:right="740" w:firstLine="436"/>
        <w:spacing w:after="0" w:line="277" w:lineRule="auto"/>
        <w:tabs>
          <w:tab w:leader="none" w:pos="695"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Registrant’s Current Reports on </w:t>
      </w:r>
      <w:hyperlink r:id="rId20">
        <w:r>
          <w:rPr>
            <w:rFonts w:ascii="Arial" w:cs="Arial" w:eastAsia="Arial" w:hAnsi="Arial"/>
            <w:sz w:val="18"/>
            <w:szCs w:val="18"/>
            <w:u w:val="single" w:color="auto"/>
            <w:color w:val="0000EE"/>
          </w:rPr>
          <w:t>Form 8-K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001-40703) filed with the Commission on August 10, 2021 to the extent the information in such report is filed and not furnished; and</w:t>
      </w:r>
    </w:p>
    <w:p>
      <w:pPr>
        <w:spacing w:after="0" w:line="170" w:lineRule="exact"/>
        <w:rPr>
          <w:rFonts w:ascii="Arial" w:cs="Arial" w:eastAsia="Arial" w:hAnsi="Arial"/>
          <w:sz w:val="18"/>
          <w:szCs w:val="18"/>
          <w:color w:val="auto"/>
        </w:rPr>
      </w:pPr>
    </w:p>
    <w:p>
      <w:pPr>
        <w:ind w:right="140" w:firstLine="436"/>
        <w:spacing w:after="0" w:line="263" w:lineRule="auto"/>
        <w:tabs>
          <w:tab w:leader="none" w:pos="685"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description of the Registrant’s Common Stock contained in the Registrant’s Registration Statement on </w:t>
      </w:r>
      <w:hyperlink r:id="rId21">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on August 3, 2021 (File No. 001-40703) under the Securities Exchange Act of 1934, as amended (the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including any amendment or report filed for the purpose of updating such description.</w:t>
      </w:r>
    </w:p>
    <w:p>
      <w:pPr>
        <w:spacing w:after="0" w:line="184" w:lineRule="exact"/>
        <w:rPr>
          <w:rFonts w:ascii="Arial" w:cs="Arial" w:eastAsia="Arial" w:hAnsi="Arial"/>
          <w:sz w:val="18"/>
          <w:szCs w:val="18"/>
          <w:color w:val="auto"/>
        </w:rPr>
      </w:pPr>
    </w:p>
    <w:p>
      <w:pPr>
        <w:ind w:firstLine="440"/>
        <w:spacing w:after="0" w:line="270" w:lineRule="auto"/>
        <w:rPr>
          <w:sz w:val="20"/>
          <w:szCs w:val="20"/>
          <w:color w:val="auto"/>
        </w:rPr>
      </w:pPr>
      <w:r>
        <w:rPr>
          <w:rFonts w:ascii="Arial" w:cs="Arial" w:eastAsia="Arial" w:hAnsi="Arial"/>
          <w:sz w:val="17"/>
          <w:szCs w:val="17"/>
          <w:color w:val="auto"/>
        </w:rPr>
        <w:t>All documents, reports and definitive proxy or information statements filed by the Registrant pursuant to Sections 13(a), 13(c), 14 and 15(d) of the Exchange Act (other than Current Reports furnished under Item 2.02 or Item 7.01 of Form 8-K and exhibits furnished on such form that relate to such items) on or after the date of this Registration Statement and prior to the filing of a post-effective amendment to this Registration Statement that indicates that all securities offered hereby have been sold or that deregisters all securities then remaining unsold shall be deemed to be incorporated by reference in this Registration Statement and to be part hereof from the date of filing of such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325" w:lineRule="exact"/>
        <w:rPr>
          <w:rFonts w:ascii="Arial" w:cs="Arial" w:eastAsia="Arial" w:hAnsi="Arial"/>
          <w:sz w:val="18"/>
          <w:szCs w:val="18"/>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DESCRIPTION OF SECURITIES</w:t>
      </w:r>
    </w:p>
    <w:p>
      <w:pPr>
        <w:spacing w:after="0" w:line="121" w:lineRule="exact"/>
        <w:rPr>
          <w:rFonts w:ascii="Arial" w:cs="Arial" w:eastAsia="Arial" w:hAnsi="Arial"/>
          <w:sz w:val="18"/>
          <w:szCs w:val="18"/>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rFonts w:ascii="Arial" w:cs="Arial" w:eastAsia="Arial" w:hAnsi="Arial"/>
          <w:sz w:val="18"/>
          <w:szCs w:val="18"/>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INTERESTS OF NAMED EXPERTS AND COUNSEL</w:t>
      </w:r>
    </w:p>
    <w:p>
      <w:pPr>
        <w:spacing w:after="0" w:line="121" w:lineRule="exact"/>
        <w:rPr>
          <w:rFonts w:ascii="Arial" w:cs="Arial" w:eastAsia="Arial" w:hAnsi="Arial"/>
          <w:sz w:val="18"/>
          <w:szCs w:val="18"/>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rFonts w:ascii="Arial" w:cs="Arial" w:eastAsia="Arial" w:hAnsi="Arial"/>
          <w:sz w:val="18"/>
          <w:szCs w:val="18"/>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INDEMNIFICATION OF DIRECTORS AND OFFICERS</w:t>
      </w:r>
    </w:p>
    <w:p>
      <w:pPr>
        <w:spacing w:after="0" w:line="121" w:lineRule="exact"/>
        <w:rPr>
          <w:rFonts w:ascii="Arial" w:cs="Arial" w:eastAsia="Arial" w:hAnsi="Arial"/>
          <w:sz w:val="18"/>
          <w:szCs w:val="18"/>
          <w:color w:val="auto"/>
        </w:rPr>
      </w:pPr>
    </w:p>
    <w:p>
      <w:pPr>
        <w:ind w:right="80" w:firstLine="440"/>
        <w:spacing w:after="0" w:line="273" w:lineRule="auto"/>
        <w:rPr>
          <w:sz w:val="20"/>
          <w:szCs w:val="20"/>
          <w:color w:val="auto"/>
        </w:rPr>
      </w:pPr>
      <w:r>
        <w:rPr>
          <w:rFonts w:ascii="Arial" w:cs="Arial" w:eastAsia="Arial" w:hAnsi="Arial"/>
          <w:sz w:val="17"/>
          <w:szCs w:val="17"/>
          <w:color w:val="auto"/>
        </w:rPr>
        <w:t>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The Registrant’s amended and restated certificate of incorporation provides that the Registrant will indemnify our directors to the maximum extent permitted by the Delaware General Corporation Law, and the Registrant’s amended and restated bylaws provide that the Registrant will indemnify its directors and permits the Registrant to indemnify its officers, employees and other agents, in each case to the maximum extent permitted by the Delaware General Corporation Law.</w:t>
      </w:r>
    </w:p>
    <w:p>
      <w:pPr>
        <w:sectPr>
          <w:pgSz w:w="11900" w:h="16838" w:orient="portrait"/>
          <w:cols w:equalWidth="0" w:num="1">
            <w:col w:w="11000"/>
          </w:cols>
          <w:pgMar w:left="440" w:top="270" w:right="459" w:bottom="1440" w:gutter="0" w:footer="0" w:header="0"/>
        </w:sectPr>
      </w:pPr>
    </w:p>
    <w:bookmarkStart w:id="4" w:name="page5"/>
    <w:bookmarkEnd w:id="4"/>
    <w:p>
      <w:pPr>
        <w:ind w:firstLine="4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Registrant has entered into indemnification agreements with its directors and officers, whereby it has agreed to indemnify its directors and officers to the fullest extent permitted by law, including indemnification against expenses and liabilities incurred in legal proceedings to which the director or officer was, or is threatened to be made, a party by reason of the fact that such director or officer is or was a director, any action taken or inaction by such director or officer while acting as a director or officer, or the fact that such director or officer is or was serving at the request of the Registrant as a director, trustee, general partner, managing member, officer, employee, agent or fiduciary of any other entity, provided that such director or officer acted in good faith and in a manner that the director or officer reasonably believed to be in, or not opposed to, the best interest of the Registrant and, with respect to any criminal action or proceeding, had no reasonable cause to believe that his or her conduct was unlawful. At present, there is no pending litigation or proceeding involving a director or officer of the Registrant regarding which indemnification is sought, nor is the registrant aware of any threatened litigation that may result in claims for indemnification.</w:t>
      </w:r>
    </w:p>
    <w:p>
      <w:pPr>
        <w:spacing w:after="0" w:line="181"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Registrant maintains insurance policies that indemnify its directors and officers against various liabilities arising under the Securities Act and the Exchange Act that might be incurred by any director or officer in his or her capacity as such.</w:t>
      </w:r>
    </w:p>
    <w:p>
      <w:pPr>
        <w:spacing w:after="0" w:line="170"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Certain of the Registrant’s non-employee directors may, through their relationships with their employers, be insured and/or indemnified against certain liabilities incurred in their capacity as members of the Registrant’s board of directors.</w:t>
      </w:r>
    </w:p>
    <w:p>
      <w:pPr>
        <w:spacing w:after="0" w:line="31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EXEMPTION FROM REGISTRATION CLAIMED.</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0920"/>
          </w:cols>
          <w:pgMar w:left="440" w:top="274" w:right="5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5820" w:type="dxa"/>
            <w:vAlign w:val="bottom"/>
            <w:gridSpan w:val="12"/>
          </w:tcPr>
          <w:p>
            <w:pPr>
              <w:ind w:left="200"/>
              <w:spacing w:after="0"/>
              <w:rPr>
                <w:sz w:val="20"/>
                <w:szCs w:val="20"/>
                <w:color w:val="auto"/>
              </w:rPr>
            </w:pPr>
            <w:r>
              <w:rPr>
                <w:rFonts w:ascii="Arial" w:cs="Arial" w:eastAsia="Arial" w:hAnsi="Arial"/>
                <w:sz w:val="18"/>
                <w:szCs w:val="18"/>
                <w:b w:val="1"/>
                <w:bCs w:val="1"/>
                <w:color w:val="auto"/>
              </w:rPr>
              <w:t>EXHIBITS</w:t>
            </w: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40" w:type="dxa"/>
            <w:vAlign w:val="bottom"/>
            <w:gridSpan w:val="2"/>
          </w:tcPr>
          <w:p>
            <w:pPr>
              <w:ind w:left="140"/>
              <w:spacing w:after="0"/>
              <w:rPr>
                <w:sz w:val="20"/>
                <w:szCs w:val="20"/>
                <w:color w:val="auto"/>
              </w:rPr>
            </w:pPr>
            <w:r>
              <w:rPr>
                <w:rFonts w:ascii="Arial" w:cs="Arial" w:eastAsia="Arial" w:hAnsi="Arial"/>
                <w:sz w:val="14"/>
                <w:szCs w:val="14"/>
                <w:b w:val="1"/>
                <w:bCs w:val="1"/>
                <w:color w:val="auto"/>
                <w:w w:val="94"/>
              </w:rPr>
              <w:t>Incorporated by Reference</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880" w:type="dxa"/>
            <w:vAlign w:val="bottom"/>
          </w:tcPr>
          <w:p>
            <w:pPr>
              <w:ind w:left="20"/>
              <w:spacing w:after="0" w:line="158" w:lineRule="exact"/>
              <w:rPr>
                <w:sz w:val="20"/>
                <w:szCs w:val="20"/>
                <w:color w:val="auto"/>
              </w:rPr>
            </w:pPr>
            <w:r>
              <w:rPr>
                <w:rFonts w:ascii="Arial" w:cs="Arial" w:eastAsia="Arial" w:hAnsi="Arial"/>
                <w:sz w:val="14"/>
                <w:szCs w:val="14"/>
                <w:b w:val="1"/>
                <w:bCs w:val="1"/>
                <w:color w:val="auto"/>
              </w:rPr>
              <w:t>Exhibit</w:t>
            </w: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100" w:type="dxa"/>
            <w:vAlign w:val="bottom"/>
            <w:gridSpan w:val="9"/>
            <w:vMerge w:val="restart"/>
          </w:tcPr>
          <w:p>
            <w:pPr>
              <w:ind w:left="840"/>
              <w:spacing w:after="0"/>
              <w:rPr>
                <w:sz w:val="20"/>
                <w:szCs w:val="20"/>
                <w:color w:val="auto"/>
              </w:rPr>
            </w:pPr>
            <w:r>
              <w:rPr>
                <w:rFonts w:ascii="Arial" w:cs="Arial" w:eastAsia="Arial" w:hAnsi="Arial"/>
                <w:sz w:val="14"/>
                <w:szCs w:val="14"/>
                <w:b w:val="1"/>
                <w:bCs w:val="1"/>
                <w:color w:val="auto"/>
              </w:rPr>
              <w:t>Description</w:t>
            </w:r>
          </w:p>
        </w:tc>
        <w:tc>
          <w:tcPr>
            <w:tcW w:w="880" w:type="dxa"/>
            <w:vAlign w:val="bottom"/>
          </w:tcPr>
          <w:p>
            <w:pPr>
              <w:jc w:val="center"/>
              <w:ind w:left="37"/>
              <w:spacing w:after="0" w:line="158" w:lineRule="exact"/>
              <w:rPr>
                <w:sz w:val="20"/>
                <w:szCs w:val="20"/>
                <w:color w:val="auto"/>
              </w:rPr>
            </w:pPr>
            <w:r>
              <w:rPr>
                <w:rFonts w:ascii="Arial" w:cs="Arial" w:eastAsia="Arial" w:hAnsi="Arial"/>
                <w:sz w:val="14"/>
                <w:szCs w:val="14"/>
                <w:b w:val="1"/>
                <w:bCs w:val="1"/>
                <w:color w:val="auto"/>
                <w:w w:val="89"/>
              </w:rPr>
              <w:t>Schedule</w:t>
            </w:r>
          </w:p>
        </w:tc>
        <w:tc>
          <w:tcPr>
            <w:tcW w:w="10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File</w:t>
            </w:r>
          </w:p>
        </w:tc>
        <w:tc>
          <w:tcPr>
            <w:tcW w:w="760" w:type="dxa"/>
            <w:vAlign w:val="bottom"/>
            <w:vMerge w:val="restart"/>
          </w:tcPr>
          <w:p>
            <w:pPr>
              <w:jc w:val="center"/>
              <w:ind w:right="15"/>
              <w:spacing w:after="0"/>
              <w:rPr>
                <w:sz w:val="20"/>
                <w:szCs w:val="20"/>
                <w:color w:val="auto"/>
              </w:rPr>
            </w:pPr>
            <w:r>
              <w:rPr>
                <w:rFonts w:ascii="Arial" w:cs="Arial" w:eastAsia="Arial" w:hAnsi="Arial"/>
                <w:sz w:val="14"/>
                <w:szCs w:val="14"/>
                <w:b w:val="1"/>
                <w:bCs w:val="1"/>
                <w:color w:val="auto"/>
                <w:w w:val="98"/>
              </w:rPr>
              <w:t>Exhibit</w:t>
            </w:r>
          </w:p>
        </w:tc>
        <w:tc>
          <w:tcPr>
            <w:tcW w:w="76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7"/>
              </w:rPr>
              <w:t>Filing Date</w:t>
            </w:r>
          </w:p>
        </w:tc>
        <w:tc>
          <w:tcPr>
            <w:tcW w:w="0" w:type="dxa"/>
            <w:vAlign w:val="bottom"/>
          </w:tcPr>
          <w:p>
            <w:pPr>
              <w:spacing w:after="0"/>
              <w:rPr>
                <w:sz w:val="1"/>
                <w:szCs w:val="1"/>
                <w:color w:val="auto"/>
              </w:rPr>
            </w:pPr>
          </w:p>
        </w:tc>
      </w:tr>
      <w:tr>
        <w:trPr>
          <w:trHeight w:val="190"/>
        </w:trPr>
        <w:tc>
          <w:tcPr>
            <w:tcW w:w="88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100" w:type="dxa"/>
            <w:vAlign w:val="bottom"/>
            <w:gridSpan w:val="9"/>
            <w:vMerge w:val="continue"/>
          </w:tcPr>
          <w:p>
            <w:pPr>
              <w:spacing w:after="0"/>
              <w:rPr>
                <w:sz w:val="16"/>
                <w:szCs w:val="16"/>
                <w:color w:val="auto"/>
              </w:rPr>
            </w:pPr>
          </w:p>
        </w:tc>
        <w:tc>
          <w:tcPr>
            <w:tcW w:w="880" w:type="dxa"/>
            <w:vAlign w:val="bottom"/>
          </w:tcPr>
          <w:p>
            <w:pPr>
              <w:jc w:val="center"/>
              <w:ind w:left="37"/>
              <w:spacing w:after="0"/>
              <w:rPr>
                <w:sz w:val="20"/>
                <w:szCs w:val="20"/>
                <w:color w:val="auto"/>
              </w:rPr>
            </w:pPr>
            <w:r>
              <w:rPr>
                <w:rFonts w:ascii="Arial" w:cs="Arial" w:eastAsia="Arial" w:hAnsi="Arial"/>
                <w:sz w:val="14"/>
                <w:szCs w:val="14"/>
                <w:b w:val="1"/>
                <w:bCs w:val="1"/>
                <w:color w:val="auto"/>
              </w:rPr>
              <w:t>Form</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8"/>
              </w:rPr>
              <w:t>Number</w:t>
            </w:r>
          </w:p>
        </w:tc>
        <w:tc>
          <w:tcPr>
            <w:tcW w:w="76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880" w:type="dxa"/>
            <w:vAlign w:val="bottom"/>
          </w:tcPr>
          <w:p>
            <w:pPr>
              <w:spacing w:after="0"/>
              <w:rPr>
                <w:sz w:val="20"/>
                <w:szCs w:val="20"/>
                <w:color w:val="auto"/>
              </w:rPr>
            </w:pPr>
            <w:r>
              <w:rPr>
                <w:rFonts w:ascii="Arial" w:cs="Arial" w:eastAsia="Arial" w:hAnsi="Arial"/>
                <w:sz w:val="18"/>
                <w:szCs w:val="18"/>
                <w:color w:val="auto"/>
              </w:rPr>
              <w:t>5.1</w:t>
            </w:r>
          </w:p>
        </w:tc>
        <w:tc>
          <w:tcPr>
            <w:tcW w:w="5820" w:type="dxa"/>
            <w:vAlign w:val="bottom"/>
            <w:gridSpan w:val="12"/>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Opinion of Cooley LLP</w:t>
              </w:r>
            </w:hyperlink>
          </w:p>
        </w:tc>
        <w:tc>
          <w:tcPr>
            <w:tcW w:w="8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23.1</w:t>
            </w:r>
          </w:p>
        </w:tc>
        <w:tc>
          <w:tcPr>
            <w:tcW w:w="5820" w:type="dxa"/>
            <w:vAlign w:val="bottom"/>
            <w:gridSpan w:val="12"/>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Consent of PricewaterhouseCoopers LLP, independent registered public</w:t>
              </w:r>
            </w:hyperlink>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1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3"/>
              </w:rPr>
            </w:pPr>
            <w:hyperlink w:anchor="page12">
              <w:r>
                <w:rPr>
                  <w:rFonts w:ascii="Arial" w:cs="Arial" w:eastAsia="Arial" w:hAnsi="Arial"/>
                  <w:sz w:val="18"/>
                  <w:szCs w:val="18"/>
                  <w:color w:val="0000EE"/>
                  <w:w w:val="93"/>
                </w:rPr>
                <w:t>accounting firm</w:t>
              </w:r>
            </w:hyperlink>
          </w:p>
        </w:tc>
        <w:tc>
          <w:tcPr>
            <w:tcW w:w="4020" w:type="dxa"/>
            <w:vAlign w:val="bottom"/>
            <w:tcBorders>
              <w:top w:val="single" w:sz="8" w:color="0000EE"/>
            </w:tcBorders>
            <w:gridSpan w:val="6"/>
          </w:tcPr>
          <w:p>
            <w:pPr>
              <w:spacing w:after="0"/>
              <w:rPr>
                <w:sz w:val="17"/>
                <w:szCs w:val="17"/>
                <w:color w:val="auto"/>
              </w:rPr>
            </w:pPr>
          </w:p>
        </w:tc>
        <w:tc>
          <w:tcPr>
            <w:tcW w:w="640" w:type="dxa"/>
            <w:vAlign w:val="bottom"/>
            <w:gridSpan w:val="5"/>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23.2</w:t>
            </w:r>
          </w:p>
        </w:tc>
        <w:tc>
          <w:tcPr>
            <w:tcW w:w="354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10">
              <w:r>
                <w:rPr>
                  <w:rFonts w:ascii="Arial" w:cs="Arial" w:eastAsia="Arial" w:hAnsi="Arial"/>
                  <w:sz w:val="18"/>
                  <w:szCs w:val="18"/>
                  <w:color w:val="0000EE"/>
                  <w:w w:val="93"/>
                </w:rPr>
                <w:t>Consent of Cooley LLP (included in Exhibit 5.1)</w:t>
              </w:r>
            </w:hyperlink>
          </w:p>
        </w:tc>
        <w:tc>
          <w:tcPr>
            <w:tcW w:w="2280" w:type="dxa"/>
            <w:vAlign w:val="bottom"/>
            <w:gridSpan w:val="6"/>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24.1</w:t>
            </w:r>
          </w:p>
        </w:tc>
        <w:tc>
          <w:tcPr>
            <w:tcW w:w="536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9">
              <w:r>
                <w:rPr>
                  <w:rFonts w:ascii="Arial" w:cs="Arial" w:eastAsia="Arial" w:hAnsi="Arial"/>
                  <w:sz w:val="18"/>
                  <w:szCs w:val="18"/>
                  <w:color w:val="0000EE"/>
                  <w:w w:val="90"/>
                </w:rPr>
                <w:t>Power of Attorney (included in signature pages of Registration Statement)</w:t>
              </w:r>
            </w:hyperlink>
          </w:p>
        </w:tc>
        <w:tc>
          <w:tcPr>
            <w:tcW w:w="460" w:type="dxa"/>
            <w:vAlign w:val="bottom"/>
            <w:gridSpan w:val="4"/>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5820" w:type="dxa"/>
            <w:vAlign w:val="bottom"/>
            <w:gridSpan w:val="12"/>
          </w:tcPr>
          <w:p>
            <w:pPr>
              <w:spacing w:after="0"/>
              <w:rPr>
                <w:rFonts w:ascii="Arial" w:cs="Arial" w:eastAsia="Arial" w:hAnsi="Arial"/>
                <w:sz w:val="18"/>
                <w:szCs w:val="18"/>
                <w:color w:val="0000EE"/>
                <w:w w:val="95"/>
              </w:rPr>
            </w:pPr>
            <w:hyperlink r:id="rId23">
              <w:r>
                <w:rPr>
                  <w:rFonts w:ascii="Arial" w:cs="Arial" w:eastAsia="Arial" w:hAnsi="Arial"/>
                  <w:sz w:val="18"/>
                  <w:szCs w:val="18"/>
                  <w:color w:val="0000EE"/>
                  <w:w w:val="95"/>
                </w:rPr>
                <w:t>2020 Equity Incentive Plan and Forms of Stock Option Agreement, Notice of</w:t>
              </w:r>
            </w:hyperlink>
          </w:p>
        </w:tc>
        <w:tc>
          <w:tcPr>
            <w:tcW w:w="880" w:type="dxa"/>
            <w:vAlign w:val="bottom"/>
          </w:tcPr>
          <w:p>
            <w:pPr>
              <w:jc w:val="center"/>
              <w:ind w:left="37"/>
              <w:spacing w:after="0"/>
              <w:rPr>
                <w:sz w:val="20"/>
                <w:szCs w:val="20"/>
                <w:color w:val="auto"/>
              </w:rPr>
            </w:pPr>
            <w:r>
              <w:rPr>
                <w:rFonts w:ascii="Arial" w:cs="Arial" w:eastAsia="Arial" w:hAnsi="Arial"/>
                <w:sz w:val="18"/>
                <w:szCs w:val="18"/>
                <w:color w:val="auto"/>
                <w:w w:val="85"/>
              </w:rPr>
              <w:t>S-1</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333-257975</w:t>
            </w:r>
          </w:p>
        </w:tc>
        <w:tc>
          <w:tcPr>
            <w:tcW w:w="760" w:type="dxa"/>
            <w:vAlign w:val="bottom"/>
          </w:tcPr>
          <w:p>
            <w:pPr>
              <w:jc w:val="center"/>
              <w:ind w:right="35"/>
              <w:spacing w:after="0"/>
              <w:rPr>
                <w:sz w:val="20"/>
                <w:szCs w:val="20"/>
                <w:color w:val="auto"/>
              </w:rPr>
            </w:pPr>
            <w:r>
              <w:rPr>
                <w:rFonts w:ascii="Arial" w:cs="Arial" w:eastAsia="Arial" w:hAnsi="Arial"/>
                <w:sz w:val="18"/>
                <w:szCs w:val="18"/>
                <w:color w:val="auto"/>
                <w:w w:val="91"/>
              </w:rPr>
              <w:t>10.1</w:t>
            </w: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July 16,</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55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23">
              <w:r>
                <w:rPr>
                  <w:rFonts w:ascii="Arial" w:cs="Arial" w:eastAsia="Arial" w:hAnsi="Arial"/>
                  <w:sz w:val="18"/>
                  <w:szCs w:val="18"/>
                  <w:color w:val="0000EE"/>
                </w:rPr>
                <w:t>Stock Option Grant and Notice of Exercise</w:t>
              </w:r>
            </w:hyperlink>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jc w:val="center"/>
              <w:spacing w:after="0" w:line="196" w:lineRule="exact"/>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99.2</w:t>
            </w:r>
          </w:p>
        </w:tc>
        <w:tc>
          <w:tcPr>
            <w:tcW w:w="5460" w:type="dxa"/>
            <w:vAlign w:val="bottom"/>
            <w:tcBorders>
              <w:bottom w:val="single" w:sz="8" w:color="0000EE"/>
            </w:tcBorders>
            <w:gridSpan w:val="10"/>
          </w:tcPr>
          <w:p>
            <w:pPr>
              <w:spacing w:after="0"/>
              <w:rPr>
                <w:rFonts w:ascii="Arial" w:cs="Arial" w:eastAsia="Arial" w:hAnsi="Arial"/>
                <w:sz w:val="18"/>
                <w:szCs w:val="18"/>
                <w:color w:val="0000EE"/>
                <w:w w:val="91"/>
              </w:rPr>
            </w:pPr>
            <w:hyperlink r:id="rId24">
              <w:r>
                <w:rPr>
                  <w:rFonts w:ascii="Arial" w:cs="Arial" w:eastAsia="Arial" w:hAnsi="Arial"/>
                  <w:sz w:val="18"/>
                  <w:szCs w:val="18"/>
                  <w:color w:val="0000EE"/>
                  <w:w w:val="91"/>
                </w:rPr>
                <w:t>2021 Equity Incentive Plan and Forms of Stock Option Grant Notice, Stock</w:t>
              </w:r>
            </w:hyperlink>
          </w:p>
        </w:tc>
        <w:tc>
          <w:tcPr>
            <w:tcW w:w="360" w:type="dxa"/>
            <w:vAlign w:val="bottom"/>
            <w:gridSpan w:val="2"/>
          </w:tcPr>
          <w:p>
            <w:pPr>
              <w:spacing w:after="0"/>
              <w:rPr>
                <w:sz w:val="24"/>
                <w:szCs w:val="24"/>
                <w:color w:val="auto"/>
              </w:rPr>
            </w:pPr>
          </w:p>
        </w:tc>
        <w:tc>
          <w:tcPr>
            <w:tcW w:w="880" w:type="dxa"/>
            <w:vAlign w:val="bottom"/>
          </w:tcPr>
          <w:p>
            <w:pPr>
              <w:jc w:val="center"/>
              <w:ind w:left="37"/>
              <w:spacing w:after="0"/>
              <w:rPr>
                <w:sz w:val="20"/>
                <w:szCs w:val="20"/>
                <w:color w:val="auto"/>
              </w:rPr>
            </w:pPr>
            <w:r>
              <w:rPr>
                <w:rFonts w:ascii="Arial" w:cs="Arial" w:eastAsia="Arial" w:hAnsi="Arial"/>
                <w:sz w:val="18"/>
                <w:szCs w:val="18"/>
                <w:color w:val="auto"/>
                <w:w w:val="97"/>
              </w:rPr>
              <w:t>S-1/A</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333-257975</w:t>
            </w:r>
          </w:p>
        </w:tc>
        <w:tc>
          <w:tcPr>
            <w:tcW w:w="760" w:type="dxa"/>
            <w:vAlign w:val="bottom"/>
          </w:tcPr>
          <w:p>
            <w:pPr>
              <w:jc w:val="center"/>
              <w:ind w:right="35"/>
              <w:spacing w:after="0"/>
              <w:rPr>
                <w:sz w:val="20"/>
                <w:szCs w:val="20"/>
                <w:color w:val="auto"/>
              </w:rPr>
            </w:pPr>
            <w:r>
              <w:rPr>
                <w:rFonts w:ascii="Arial" w:cs="Arial" w:eastAsia="Arial" w:hAnsi="Arial"/>
                <w:sz w:val="18"/>
                <w:szCs w:val="18"/>
                <w:color w:val="auto"/>
                <w:w w:val="91"/>
              </w:rPr>
              <w:t>10.2</w:t>
            </w: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August 2,</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542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24">
              <w:r>
                <w:rPr>
                  <w:rFonts w:ascii="Arial" w:cs="Arial" w:eastAsia="Arial" w:hAnsi="Arial"/>
                  <w:sz w:val="18"/>
                  <w:szCs w:val="18"/>
                  <w:color w:val="0000EE"/>
                  <w:w w:val="91"/>
                </w:rPr>
                <w:t>Option Agreement, Notice of Exercise, RSU Award Grant Notice and RSU</w:t>
              </w:r>
            </w:hyperlink>
          </w:p>
        </w:tc>
        <w:tc>
          <w:tcPr>
            <w:tcW w:w="400" w:type="dxa"/>
            <w:vAlign w:val="bottom"/>
            <w:gridSpan w:val="3"/>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jc w:val="center"/>
              <w:spacing w:after="0" w:line="196" w:lineRule="exact"/>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5820" w:type="dxa"/>
            <w:vAlign w:val="bottom"/>
            <w:gridSpan w:val="12"/>
          </w:tcPr>
          <w:p>
            <w:pPr>
              <w:spacing w:after="0" w:line="196" w:lineRule="exact"/>
              <w:rPr>
                <w:rFonts w:ascii="Arial" w:cs="Arial" w:eastAsia="Arial" w:hAnsi="Arial"/>
                <w:sz w:val="18"/>
                <w:szCs w:val="18"/>
                <w:color w:val="0000EE"/>
              </w:rPr>
            </w:pPr>
            <w:hyperlink r:id="rId24">
              <w:r>
                <w:rPr>
                  <w:rFonts w:ascii="Arial" w:cs="Arial" w:eastAsia="Arial" w:hAnsi="Arial"/>
                  <w:sz w:val="18"/>
                  <w:szCs w:val="18"/>
                  <w:color w:val="0000EE"/>
                </w:rPr>
                <w:t>Award Agreement</w:t>
              </w:r>
            </w:hyperlink>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160" w:type="dxa"/>
            <w:vAlign w:val="bottom"/>
            <w:gridSpan w:val="8"/>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99.3</w:t>
            </w:r>
          </w:p>
        </w:tc>
        <w:tc>
          <w:tcPr>
            <w:tcW w:w="5820" w:type="dxa"/>
            <w:vAlign w:val="bottom"/>
            <w:gridSpan w:val="12"/>
          </w:tcPr>
          <w:p>
            <w:pPr>
              <w:spacing w:after="0"/>
              <w:rPr>
                <w:rFonts w:ascii="Arial" w:cs="Arial" w:eastAsia="Arial" w:hAnsi="Arial"/>
                <w:sz w:val="18"/>
                <w:szCs w:val="18"/>
                <w:color w:val="0000EE"/>
              </w:rPr>
            </w:pPr>
            <w:hyperlink r:id="rId25">
              <w:r>
                <w:rPr>
                  <w:rFonts w:ascii="Arial" w:cs="Arial" w:eastAsia="Arial" w:hAnsi="Arial"/>
                  <w:sz w:val="18"/>
                  <w:szCs w:val="18"/>
                  <w:color w:val="0000EE"/>
                </w:rPr>
                <w:t>2021 Employee Stock Purchase Plan</w:t>
              </w:r>
            </w:hyperlink>
          </w:p>
        </w:tc>
        <w:tc>
          <w:tcPr>
            <w:tcW w:w="880" w:type="dxa"/>
            <w:vAlign w:val="bottom"/>
          </w:tcPr>
          <w:p>
            <w:pPr>
              <w:jc w:val="center"/>
              <w:ind w:left="37"/>
              <w:spacing w:after="0"/>
              <w:rPr>
                <w:sz w:val="20"/>
                <w:szCs w:val="20"/>
                <w:color w:val="auto"/>
              </w:rPr>
            </w:pPr>
            <w:r>
              <w:rPr>
                <w:rFonts w:ascii="Arial" w:cs="Arial" w:eastAsia="Arial" w:hAnsi="Arial"/>
                <w:sz w:val="18"/>
                <w:szCs w:val="18"/>
                <w:color w:val="auto"/>
                <w:w w:val="97"/>
              </w:rPr>
              <w:t>S-1/A</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333-257975</w:t>
            </w:r>
          </w:p>
        </w:tc>
        <w:tc>
          <w:tcPr>
            <w:tcW w:w="760" w:type="dxa"/>
            <w:vAlign w:val="bottom"/>
          </w:tcPr>
          <w:p>
            <w:pPr>
              <w:jc w:val="center"/>
              <w:ind w:right="35"/>
              <w:spacing w:after="0"/>
              <w:rPr>
                <w:sz w:val="20"/>
                <w:szCs w:val="20"/>
                <w:color w:val="auto"/>
              </w:rPr>
            </w:pPr>
            <w:r>
              <w:rPr>
                <w:rFonts w:ascii="Arial" w:cs="Arial" w:eastAsia="Arial" w:hAnsi="Arial"/>
                <w:sz w:val="18"/>
                <w:szCs w:val="18"/>
                <w:color w:val="auto"/>
                <w:w w:val="91"/>
              </w:rPr>
              <w:t>10.3</w:t>
            </w: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August 2,</w:t>
            </w: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116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940" w:type="dxa"/>
            <w:vAlign w:val="bottom"/>
            <w:tcBorders>
              <w:top w:val="single" w:sz="8" w:color="0000EE"/>
            </w:tcBorders>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br w:type="column"/>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Filed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Herewith</w:t>
      </w:r>
    </w:p>
    <w:p>
      <w:pPr>
        <w:spacing w:after="0" w:line="9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10180" w:space="260"/>
            <w:col w:w="560"/>
          </w:cols>
          <w:pgMar w:left="440" w:top="270" w:right="459" w:bottom="1440" w:gutter="0" w:footer="0" w:header="0"/>
        </w:sectPr>
      </w:pPr>
    </w:p>
    <w:bookmarkStart w:id="6" w:name="page7"/>
    <w:bookmarkEnd w:id="6"/>
    <w:p>
      <w:pPr>
        <w:ind w:left="4"/>
        <w:spacing w:after="0"/>
        <w:tabs>
          <w:tab w:leader="none" w:pos="10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9.</w:t>
      </w:r>
      <w:r>
        <w:rPr>
          <w:sz w:val="20"/>
          <w:szCs w:val="20"/>
          <w:color w:val="auto"/>
        </w:rPr>
        <w:tab/>
      </w:r>
      <w:r>
        <w:rPr>
          <w:rFonts w:ascii="Arial" w:cs="Arial" w:eastAsia="Arial" w:hAnsi="Arial"/>
          <w:sz w:val="18"/>
          <w:szCs w:val="18"/>
          <w:b w:val="1"/>
          <w:bCs w:val="1"/>
          <w:color w:val="auto"/>
        </w:rPr>
        <w:t>UNDERTAKINGS</w:t>
      </w:r>
    </w:p>
    <w:p>
      <w:pPr>
        <w:spacing w:after="0" w:line="135" w:lineRule="exact"/>
        <w:rPr>
          <w:sz w:val="20"/>
          <w:szCs w:val="20"/>
          <w:color w:val="auto"/>
        </w:rPr>
      </w:pPr>
    </w:p>
    <w:p>
      <w:pPr>
        <w:ind w:left="424" w:hanging="424"/>
        <w:spacing w:after="0"/>
        <w:tabs>
          <w:tab w:leader="none" w:pos="424"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undersigned registrant hereby undertakes:</w:t>
      </w:r>
    </w:p>
    <w:p>
      <w:pPr>
        <w:spacing w:after="0" w:line="130" w:lineRule="exact"/>
        <w:rPr>
          <w:rFonts w:ascii="Arial" w:cs="Arial" w:eastAsia="Arial" w:hAnsi="Arial"/>
          <w:sz w:val="18"/>
          <w:szCs w:val="18"/>
          <w:b w:val="1"/>
          <w:bCs w:val="1"/>
          <w:color w:val="auto"/>
        </w:rPr>
      </w:pPr>
    </w:p>
    <w:p>
      <w:pPr>
        <w:ind w:left="964" w:hanging="532"/>
        <w:spacing w:after="0"/>
        <w:tabs>
          <w:tab w:leader="none" w:pos="964" w:val="left"/>
        </w:tabs>
        <w:numPr>
          <w:ilvl w:val="1"/>
          <w:numId w:val="3"/>
        </w:numPr>
        <w:rPr>
          <w:rFonts w:ascii="Arial" w:cs="Arial" w:eastAsia="Arial" w:hAnsi="Arial"/>
          <w:sz w:val="18"/>
          <w:szCs w:val="18"/>
          <w:b w:val="1"/>
          <w:bCs w:val="1"/>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30" w:lineRule="exact"/>
        <w:rPr>
          <w:rFonts w:ascii="Arial" w:cs="Arial" w:eastAsia="Arial" w:hAnsi="Arial"/>
          <w:sz w:val="18"/>
          <w:szCs w:val="18"/>
          <w:b w:val="1"/>
          <w:bCs w:val="1"/>
          <w:color w:val="auto"/>
        </w:rPr>
      </w:pPr>
    </w:p>
    <w:p>
      <w:pPr>
        <w:ind w:left="1424" w:hanging="439"/>
        <w:spacing w:after="0"/>
        <w:tabs>
          <w:tab w:leader="none" w:pos="1424" w:val="left"/>
        </w:tabs>
        <w:numPr>
          <w:ilvl w:val="2"/>
          <w:numId w:val="3"/>
        </w:numPr>
        <w:rPr>
          <w:rFonts w:ascii="Arial" w:cs="Arial" w:eastAsia="Arial" w:hAnsi="Arial"/>
          <w:sz w:val="18"/>
          <w:szCs w:val="18"/>
          <w:b w:val="1"/>
          <w:bCs w:val="1"/>
          <w:color w:val="auto"/>
        </w:rPr>
      </w:pPr>
      <w:r>
        <w:rPr>
          <w:rFonts w:ascii="Arial" w:cs="Arial" w:eastAsia="Arial" w:hAnsi="Arial"/>
          <w:sz w:val="18"/>
          <w:szCs w:val="18"/>
          <w:color w:val="auto"/>
        </w:rPr>
        <w:t>To include any prospectus required by Section 10(a)(3) of the Securities Act;</w:t>
      </w:r>
    </w:p>
    <w:p>
      <w:pPr>
        <w:spacing w:after="0" w:line="130" w:lineRule="exact"/>
        <w:rPr>
          <w:rFonts w:ascii="Arial" w:cs="Arial" w:eastAsia="Arial" w:hAnsi="Arial"/>
          <w:sz w:val="18"/>
          <w:szCs w:val="18"/>
          <w:b w:val="1"/>
          <w:bCs w:val="1"/>
          <w:color w:val="auto"/>
        </w:rPr>
      </w:pPr>
    </w:p>
    <w:p>
      <w:pPr>
        <w:ind w:left="1424" w:right="60" w:hanging="439"/>
        <w:spacing w:after="0" w:line="291" w:lineRule="auto"/>
        <w:tabs>
          <w:tab w:leader="none" w:pos="1424" w:val="left"/>
        </w:tabs>
        <w:numPr>
          <w:ilvl w:val="2"/>
          <w:numId w:val="3"/>
        </w:numPr>
        <w:rPr>
          <w:rFonts w:ascii="Arial" w:cs="Arial" w:eastAsia="Arial" w:hAnsi="Arial"/>
          <w:sz w:val="16"/>
          <w:szCs w:val="16"/>
          <w:b w:val="1"/>
          <w:bCs w:val="1"/>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71" w:lineRule="exact"/>
        <w:rPr>
          <w:rFonts w:ascii="Arial" w:cs="Arial" w:eastAsia="Arial" w:hAnsi="Arial"/>
          <w:sz w:val="16"/>
          <w:szCs w:val="16"/>
          <w:b w:val="1"/>
          <w:bCs w:val="1"/>
          <w:color w:val="auto"/>
        </w:rPr>
      </w:pPr>
    </w:p>
    <w:p>
      <w:pPr>
        <w:ind w:left="1424" w:right="160" w:hanging="439"/>
        <w:spacing w:after="0" w:line="277" w:lineRule="auto"/>
        <w:tabs>
          <w:tab w:leader="none" w:pos="1424" w:val="left"/>
        </w:tabs>
        <w:numPr>
          <w:ilvl w:val="2"/>
          <w:numId w:val="3"/>
        </w:numPr>
        <w:rPr>
          <w:rFonts w:ascii="Arial" w:cs="Arial" w:eastAsia="Arial" w:hAnsi="Arial"/>
          <w:sz w:val="18"/>
          <w:szCs w:val="18"/>
          <w:b w:val="1"/>
          <w:bCs w:val="1"/>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left="444"/>
        <w:spacing w:after="0" w:line="263"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and (a)(1)(ii) do not apply if the information required to be included in a post-effective amendment by</w:t>
      </w:r>
      <w:r>
        <w:rPr>
          <w:rFonts w:ascii="Arial" w:cs="Arial" w:eastAsia="Arial" w:hAnsi="Arial"/>
          <w:sz w:val="18"/>
          <w:szCs w:val="18"/>
          <w:i w:val="1"/>
          <w:iCs w:val="1"/>
          <w:color w:val="auto"/>
        </w:rPr>
        <w:t xml:space="preserve"> </w:t>
      </w:r>
      <w:r>
        <w:rPr>
          <w:rFonts w:ascii="Arial" w:cs="Arial" w:eastAsia="Arial" w:hAnsi="Arial"/>
          <w:sz w:val="18"/>
          <w:szCs w:val="18"/>
          <w:color w:val="auto"/>
        </w:rPr>
        <w:t>those paragraphs is contained in reports filed with or furnished to the Commission by the registrant pursuant to section 13 or section 15(d) of the Exchange Act that are incorporated by reference in the registration statement.</w:t>
      </w:r>
    </w:p>
    <w:p>
      <w:pPr>
        <w:spacing w:after="0" w:line="89" w:lineRule="exact"/>
        <w:rPr>
          <w:sz w:val="20"/>
          <w:szCs w:val="20"/>
          <w:color w:val="auto"/>
        </w:rPr>
      </w:pPr>
    </w:p>
    <w:p>
      <w:pPr>
        <w:ind w:left="964" w:right="60" w:hanging="532"/>
        <w:spacing w:after="0" w:line="263" w:lineRule="auto"/>
        <w:tabs>
          <w:tab w:leader="none" w:pos="964" w:val="left"/>
        </w:tabs>
        <w:numPr>
          <w:ilvl w:val="1"/>
          <w:numId w:val="4"/>
        </w:numPr>
        <w:rPr>
          <w:rFonts w:ascii="Arial" w:cs="Arial" w:eastAsia="Arial" w:hAnsi="Arial"/>
          <w:sz w:val="18"/>
          <w:szCs w:val="18"/>
          <w:b w:val="1"/>
          <w:bCs w:val="1"/>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herein, and the offering of such securities at that time shall be deemed to be the initial bona fide offering thereof.</w:t>
      </w:r>
    </w:p>
    <w:p>
      <w:pPr>
        <w:spacing w:after="0" w:line="89" w:lineRule="exact"/>
        <w:rPr>
          <w:rFonts w:ascii="Arial" w:cs="Arial" w:eastAsia="Arial" w:hAnsi="Arial"/>
          <w:sz w:val="18"/>
          <w:szCs w:val="18"/>
          <w:b w:val="1"/>
          <w:bCs w:val="1"/>
          <w:color w:val="auto"/>
        </w:rPr>
      </w:pPr>
    </w:p>
    <w:p>
      <w:pPr>
        <w:ind w:left="964" w:right="360" w:hanging="532"/>
        <w:spacing w:after="0" w:line="277" w:lineRule="auto"/>
        <w:tabs>
          <w:tab w:leader="none" w:pos="964" w:val="left"/>
        </w:tabs>
        <w:numPr>
          <w:ilvl w:val="1"/>
          <w:numId w:val="4"/>
        </w:numPr>
        <w:rPr>
          <w:rFonts w:ascii="Arial" w:cs="Arial" w:eastAsia="Arial" w:hAnsi="Arial"/>
          <w:sz w:val="18"/>
          <w:szCs w:val="18"/>
          <w:b w:val="1"/>
          <w:bCs w:val="1"/>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b w:val="1"/>
          <w:bCs w:val="1"/>
          <w:color w:val="auto"/>
        </w:rPr>
      </w:pPr>
    </w:p>
    <w:p>
      <w:pPr>
        <w:ind w:left="424" w:hanging="424"/>
        <w:spacing w:after="0" w:line="257" w:lineRule="auto"/>
        <w:tabs>
          <w:tab w:leader="none" w:pos="424"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herein, and the offering of such securities at that time shall be deemed to be the initial bona fide offering thereof.</w:t>
      </w:r>
    </w:p>
    <w:p>
      <w:pPr>
        <w:spacing w:after="0" w:line="93" w:lineRule="exact"/>
        <w:rPr>
          <w:rFonts w:ascii="Arial" w:cs="Arial" w:eastAsia="Arial" w:hAnsi="Arial"/>
          <w:sz w:val="18"/>
          <w:szCs w:val="18"/>
          <w:b w:val="1"/>
          <w:bCs w:val="1"/>
          <w:color w:val="auto"/>
        </w:rPr>
      </w:pPr>
    </w:p>
    <w:p>
      <w:pPr>
        <w:ind w:left="424" w:right="320" w:hanging="424"/>
        <w:spacing w:after="0" w:line="263" w:lineRule="auto"/>
        <w:tabs>
          <w:tab w:leader="none" w:pos="424"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w:t>
      </w:r>
    </w:p>
    <w:p>
      <w:pPr>
        <w:sectPr>
          <w:pgSz w:w="11900" w:h="16838" w:orient="portrait"/>
          <w:cols w:equalWidth="0" w:num="1">
            <w:col w:w="11004"/>
          </w:cols>
          <w:pgMar w:left="436" w:top="270" w:right="459" w:bottom="1440" w:gutter="0" w:footer="0" w:header="0"/>
        </w:sectPr>
      </w:pPr>
    </w:p>
    <w:bookmarkStart w:id="7" w:name="page8"/>
    <w:bookmarkEnd w:id="7"/>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500"/>
          </w:cols>
          <w:pgMar w:left="860" w:top="274" w:right="5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40" w:firstLine="991"/>
        <w:spacing w:after="0" w:line="286" w:lineRule="auto"/>
        <w:rPr>
          <w:sz w:val="20"/>
          <w:szCs w:val="20"/>
          <w:color w:val="auto"/>
        </w:rPr>
      </w:pPr>
      <w:r>
        <w:rPr>
          <w:rFonts w:ascii="Arial" w:cs="Arial" w:eastAsia="Arial" w:hAnsi="Arial"/>
          <w:sz w:val="17"/>
          <w:szCs w:val="17"/>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Waltham, Commonwealth of Massachusetts, on this 23rd day of August, 2021.</w:t>
      </w:r>
    </w:p>
    <w:p>
      <w:pPr>
        <w:spacing w:after="0" w:line="18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Adagio Therapeutics,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Tillman U. Gerngross,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4411980</wp:posOffset>
            </wp:positionH>
            <wp:positionV relativeFrom="paragraph">
              <wp:posOffset>14605</wp:posOffset>
            </wp:positionV>
            <wp:extent cx="25800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16"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Name: Tillman U. Gerngross, Ph.D.</w:t>
      </w:r>
    </w:p>
    <w:p>
      <w:pPr>
        <w:spacing w:after="0" w:line="23" w:lineRule="exact"/>
        <w:rPr>
          <w:sz w:val="20"/>
          <w:szCs w:val="20"/>
          <w:color w:val="auto"/>
        </w:rPr>
      </w:pPr>
    </w:p>
    <w:p>
      <w:pPr>
        <w:ind w:left="6940"/>
        <w:spacing w:after="0"/>
        <w:rPr>
          <w:sz w:val="20"/>
          <w:szCs w:val="20"/>
          <w:color w:val="auto"/>
        </w:rPr>
      </w:pPr>
      <w:r>
        <w:rPr>
          <w:rFonts w:ascii="Arial" w:cs="Arial" w:eastAsia="Arial" w:hAnsi="Arial"/>
          <w:sz w:val="16"/>
          <w:szCs w:val="16"/>
          <w:color w:val="auto"/>
        </w:rPr>
        <w:t>Title: Co-Founder, Chief Executive Officer and Director</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40" w:firstLine="440"/>
        <w:spacing w:after="0" w:line="288" w:lineRule="auto"/>
        <w:rPr>
          <w:sz w:val="20"/>
          <w:szCs w:val="20"/>
          <w:color w:val="auto"/>
        </w:rPr>
      </w:pPr>
      <w:r>
        <w:rPr>
          <w:rFonts w:ascii="Arial" w:cs="Arial" w:eastAsia="Arial" w:hAnsi="Arial"/>
          <w:sz w:val="16"/>
          <w:szCs w:val="16"/>
          <w:color w:val="auto"/>
        </w:rPr>
        <w:t>KNOW ALL BY THESE PRESENTS, that each person whose signature appears below hereby constitutes and appoints Tillman U. Gerngross, Ph.D., and Jane Pritchett Henderson, and each of them, as his or her true and lawful agents, proxies and attorneys-in-fact, with full power of substitution and resubstitution, for him or her and in his or her name, place and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of 1933, as amended, and (iv) take any and all actions which may be necessary or appropriate to be done, as fully for all intents and purposes as he might or could do in person, hereby approving, ratifying and confirming all that such agent, proxy and attorney-in-fact or any of his substitutes may lawfully do or cause to be done by virtue thereof.</w:t>
      </w:r>
    </w:p>
    <w:p>
      <w:pPr>
        <w:spacing w:after="0" w:line="168"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80" w:type="dxa"/>
            <w:vAlign w:val="bottom"/>
            <w:tcBorders>
              <w:bottom w:val="single" w:sz="8" w:color="auto"/>
            </w:tcBorders>
          </w:tcPr>
          <w:p>
            <w:pPr>
              <w:ind w:left="180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4840" w:type="dxa"/>
            <w:vAlign w:val="bottom"/>
            <w:tcBorders>
              <w:bottom w:val="single" w:sz="8" w:color="auto"/>
            </w:tcBorders>
          </w:tcPr>
          <w:p>
            <w:pPr>
              <w:ind w:left="2280"/>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6"/>
                <w:szCs w:val="16"/>
                <w:color w:val="auto"/>
              </w:rPr>
            </w:pPr>
          </w:p>
        </w:tc>
        <w:tc>
          <w:tcPr>
            <w:tcW w:w="176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Date</w:t>
            </w:r>
          </w:p>
        </w:tc>
      </w:tr>
      <w:tr>
        <w:trPr>
          <w:trHeight w:val="412"/>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Tillman U. Gerngross, Ph.D.</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Co-Founder, Chief Executive Officer and Director</w:t>
            </w:r>
          </w:p>
        </w:tc>
        <w:tc>
          <w:tcPr>
            <w:tcW w:w="1760" w:type="dxa"/>
            <w:vAlign w:val="bottom"/>
          </w:tcPr>
          <w:p>
            <w:pPr>
              <w:spacing w:after="0"/>
              <w:rPr>
                <w:sz w:val="20"/>
                <w:szCs w:val="20"/>
                <w:color w:val="auto"/>
              </w:rPr>
            </w:pPr>
            <w:r>
              <w:rPr>
                <w:rFonts w:ascii="Arial" w:cs="Arial" w:eastAsia="Arial" w:hAnsi="Arial"/>
                <w:sz w:val="18"/>
                <w:szCs w:val="18"/>
                <w:color w:val="auto"/>
              </w:rPr>
              <w:t>August 23, 2021</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Tillman U. Gerngross, Ph.D.</w:t>
            </w:r>
          </w:p>
        </w:tc>
        <w:tc>
          <w:tcPr>
            <w:tcW w:w="5080" w:type="dxa"/>
            <w:vAlign w:val="bottom"/>
            <w:gridSpan w:val="3"/>
          </w:tcPr>
          <w:p>
            <w:pPr>
              <w:ind w:left="120"/>
              <w:spacing w:after="0"/>
              <w:rPr>
                <w:sz w:val="20"/>
                <w:szCs w:val="20"/>
                <w:color w:val="auto"/>
              </w:rPr>
            </w:pPr>
            <w:r>
              <w:rPr>
                <w:rFonts w:ascii="Arial" w:cs="Arial" w:eastAsia="Arial" w:hAnsi="Arial"/>
                <w:sz w:val="18"/>
                <w:szCs w:val="18"/>
                <w:i w:val="1"/>
                <w:iCs w:val="1"/>
                <w:color w:val="auto"/>
              </w:rPr>
              <w:t>(Principal Executive Officer)</w:t>
            </w: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Jane Pritchett Henderson</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w:t>
            </w:r>
          </w:p>
        </w:tc>
        <w:tc>
          <w:tcPr>
            <w:tcW w:w="1760" w:type="dxa"/>
            <w:vAlign w:val="bottom"/>
          </w:tcPr>
          <w:p>
            <w:pPr>
              <w:spacing w:after="0"/>
              <w:rPr>
                <w:sz w:val="20"/>
                <w:szCs w:val="20"/>
                <w:color w:val="auto"/>
              </w:rPr>
            </w:pPr>
            <w:r>
              <w:rPr>
                <w:rFonts w:ascii="Arial" w:cs="Arial" w:eastAsia="Arial" w:hAnsi="Arial"/>
                <w:sz w:val="18"/>
                <w:szCs w:val="18"/>
                <w:color w:val="auto"/>
              </w:rPr>
              <w:t>August 23, 2021</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Jane Pritchett Henderson</w:t>
            </w:r>
          </w:p>
        </w:tc>
        <w:tc>
          <w:tcPr>
            <w:tcW w:w="5080" w:type="dxa"/>
            <w:vAlign w:val="bottom"/>
            <w:gridSpan w:val="3"/>
          </w:tcPr>
          <w:p>
            <w:pPr>
              <w:ind w:left="120"/>
              <w:spacing w:after="0"/>
              <w:rPr>
                <w:sz w:val="20"/>
                <w:szCs w:val="20"/>
                <w:color w:val="auto"/>
              </w:rPr>
            </w:pPr>
            <w:r>
              <w:rPr>
                <w:rFonts w:ascii="Arial" w:cs="Arial" w:eastAsia="Arial" w:hAnsi="Arial"/>
                <w:sz w:val="18"/>
                <w:szCs w:val="18"/>
                <w:i w:val="1"/>
                <w:iCs w:val="1"/>
                <w:color w:val="auto"/>
              </w:rPr>
              <w:t>(Principal Financial and Accounting Officer)</w:t>
            </w: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René Russo, Pharm.D.</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Co-Founder, Director and Chair of the Board</w:t>
            </w:r>
          </w:p>
        </w:tc>
        <w:tc>
          <w:tcPr>
            <w:tcW w:w="1760" w:type="dxa"/>
            <w:vAlign w:val="bottom"/>
          </w:tcPr>
          <w:p>
            <w:pPr>
              <w:spacing w:after="0"/>
              <w:rPr>
                <w:sz w:val="20"/>
                <w:szCs w:val="20"/>
                <w:color w:val="auto"/>
              </w:rPr>
            </w:pPr>
            <w:r>
              <w:rPr>
                <w:rFonts w:ascii="Arial" w:cs="Arial" w:eastAsia="Arial" w:hAnsi="Arial"/>
                <w:sz w:val="18"/>
                <w:szCs w:val="18"/>
                <w:color w:val="auto"/>
              </w:rPr>
              <w:t>August 23, 2021</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René Russo, Pharm.D.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Terrance McGuire</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60" w:type="dxa"/>
            <w:vAlign w:val="bottom"/>
          </w:tcPr>
          <w:p>
            <w:pPr>
              <w:spacing w:after="0"/>
              <w:rPr>
                <w:sz w:val="20"/>
                <w:szCs w:val="20"/>
                <w:color w:val="auto"/>
              </w:rPr>
            </w:pPr>
            <w:r>
              <w:rPr>
                <w:rFonts w:ascii="Arial" w:cs="Arial" w:eastAsia="Arial" w:hAnsi="Arial"/>
                <w:sz w:val="18"/>
                <w:szCs w:val="18"/>
                <w:color w:val="auto"/>
              </w:rPr>
              <w:t>August 23, 2021</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Terrance McGuire</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Ajay Royan</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60" w:type="dxa"/>
            <w:vAlign w:val="bottom"/>
          </w:tcPr>
          <w:p>
            <w:pPr>
              <w:spacing w:after="0"/>
              <w:rPr>
                <w:sz w:val="20"/>
                <w:szCs w:val="20"/>
                <w:color w:val="auto"/>
              </w:rPr>
            </w:pPr>
            <w:r>
              <w:rPr>
                <w:rFonts w:ascii="Arial" w:cs="Arial" w:eastAsia="Arial" w:hAnsi="Arial"/>
                <w:sz w:val="18"/>
                <w:szCs w:val="18"/>
                <w:color w:val="auto"/>
              </w:rPr>
              <w:t>August 23, 2021</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Ajay Royan</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Howard Mayer, M.D.</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60" w:type="dxa"/>
            <w:vAlign w:val="bottom"/>
          </w:tcPr>
          <w:p>
            <w:pPr>
              <w:spacing w:after="0"/>
              <w:rPr>
                <w:sz w:val="20"/>
                <w:szCs w:val="20"/>
                <w:color w:val="auto"/>
              </w:rPr>
            </w:pPr>
            <w:r>
              <w:rPr>
                <w:rFonts w:ascii="Arial" w:cs="Arial" w:eastAsia="Arial" w:hAnsi="Arial"/>
                <w:sz w:val="18"/>
                <w:szCs w:val="18"/>
                <w:color w:val="auto"/>
              </w:rPr>
              <w:t>August 23, 2021</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Howard Mayer, M.D.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Anand Shah, M.D.</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60" w:type="dxa"/>
            <w:vAlign w:val="bottom"/>
          </w:tcPr>
          <w:p>
            <w:pPr>
              <w:spacing w:after="0"/>
              <w:rPr>
                <w:sz w:val="20"/>
                <w:szCs w:val="20"/>
                <w:color w:val="auto"/>
              </w:rPr>
            </w:pPr>
            <w:r>
              <w:rPr>
                <w:rFonts w:ascii="Arial" w:cs="Arial" w:eastAsia="Arial" w:hAnsi="Arial"/>
                <w:sz w:val="18"/>
                <w:szCs w:val="18"/>
                <w:color w:val="auto"/>
              </w:rPr>
              <w:t>August 23, 2021</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Anand Shah, M.D.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Tom Heyman</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60" w:type="dxa"/>
            <w:vAlign w:val="bottom"/>
          </w:tcPr>
          <w:p>
            <w:pPr>
              <w:spacing w:after="0"/>
              <w:rPr>
                <w:sz w:val="20"/>
                <w:szCs w:val="20"/>
                <w:color w:val="auto"/>
              </w:rPr>
            </w:pPr>
            <w:r>
              <w:rPr>
                <w:rFonts w:ascii="Arial" w:cs="Arial" w:eastAsia="Arial" w:hAnsi="Arial"/>
                <w:sz w:val="18"/>
                <w:szCs w:val="18"/>
                <w:color w:val="auto"/>
              </w:rPr>
              <w:t>August 23, 2021</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Tom Heyman</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Wyzga</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60" w:type="dxa"/>
            <w:vAlign w:val="bottom"/>
          </w:tcPr>
          <w:p>
            <w:pPr>
              <w:spacing w:after="0"/>
              <w:rPr>
                <w:sz w:val="20"/>
                <w:szCs w:val="20"/>
                <w:color w:val="auto"/>
              </w:rPr>
            </w:pPr>
            <w:r>
              <w:rPr>
                <w:rFonts w:ascii="Arial" w:cs="Arial" w:eastAsia="Arial" w:hAnsi="Arial"/>
                <w:sz w:val="18"/>
                <w:szCs w:val="18"/>
                <w:color w:val="auto"/>
              </w:rPr>
              <w:t>August 23, 2021</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Michael Wyzga</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bl>
    <w:p>
      <w:pPr>
        <w:sectPr>
          <w:pgSz w:w="11900" w:h="16838" w:orient="portrait"/>
          <w:cols w:equalWidth="0" w:num="1">
            <w:col w:w="11020"/>
          </w:cols>
          <w:pgMar w:left="440" w:top="270" w:right="4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1379855" cy="4889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37985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
        <w:spacing w:after="0"/>
        <w:rPr>
          <w:sz w:val="20"/>
          <w:szCs w:val="20"/>
          <w:color w:val="auto"/>
        </w:rPr>
      </w:pPr>
      <w:r>
        <w:rPr>
          <w:rFonts w:ascii="Arial" w:cs="Arial" w:eastAsia="Arial" w:hAnsi="Arial"/>
          <w:sz w:val="18"/>
          <w:szCs w:val="18"/>
          <w:color w:val="auto"/>
        </w:rPr>
        <w:t>Divakar Gupta</w:t>
      </w:r>
    </w:p>
    <w:p>
      <w:pPr>
        <w:spacing w:after="0" w:line="23" w:lineRule="exact"/>
        <w:rPr>
          <w:sz w:val="20"/>
          <w:szCs w:val="20"/>
          <w:color w:val="auto"/>
        </w:rPr>
      </w:pPr>
    </w:p>
    <w:p>
      <w:pPr>
        <w:jc w:val="both"/>
        <w:ind w:left="4" w:right="9540" w:hanging="4"/>
        <w:spacing w:after="0" w:line="323" w:lineRule="auto"/>
        <w:tabs>
          <w:tab w:leader="none" w:pos="200" w:val="left"/>
        </w:tabs>
        <w:numPr>
          <w:ilvl w:val="0"/>
          <w:numId w:val="6"/>
        </w:numPr>
        <w:rPr>
          <w:rFonts w:ascii="Arial" w:cs="Arial" w:eastAsia="Arial" w:hAnsi="Arial"/>
          <w:sz w:val="16"/>
          <w:szCs w:val="16"/>
          <w:color w:val="auto"/>
        </w:rPr>
      </w:pPr>
      <w:r>
        <w:rPr>
          <w:rFonts w:ascii="Arial" w:cs="Arial" w:eastAsia="Arial" w:hAnsi="Arial"/>
          <w:sz w:val="16"/>
          <w:szCs w:val="16"/>
          <w:color w:val="auto"/>
        </w:rPr>
        <w:t>+1 212 479 6474 dgupta@cooley.com</w:t>
      </w:r>
    </w:p>
    <w:p>
      <w:pPr>
        <w:spacing w:after="0" w:line="138" w:lineRule="exact"/>
        <w:rPr>
          <w:sz w:val="20"/>
          <w:szCs w:val="20"/>
          <w:color w:val="auto"/>
        </w:rPr>
      </w:pPr>
    </w:p>
    <w:p>
      <w:pPr>
        <w:ind w:left="4"/>
        <w:spacing w:after="0"/>
        <w:rPr>
          <w:sz w:val="20"/>
          <w:szCs w:val="20"/>
          <w:color w:val="auto"/>
        </w:rPr>
      </w:pPr>
      <w:r>
        <w:rPr>
          <w:rFonts w:ascii="Arial" w:cs="Arial" w:eastAsia="Arial" w:hAnsi="Arial"/>
          <w:sz w:val="18"/>
          <w:szCs w:val="18"/>
          <w:color w:val="auto"/>
        </w:rPr>
        <w:t>August 23, 2021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Adagio Therapeutics, Inc.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303 Wyman Street, Suite 300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Waltham, MA 02451</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4" w:right="60"/>
        <w:spacing w:after="0" w:line="293" w:lineRule="auto"/>
        <w:rPr>
          <w:sz w:val="20"/>
          <w:szCs w:val="20"/>
          <w:color w:val="auto"/>
        </w:rPr>
      </w:pPr>
      <w:r>
        <w:rPr>
          <w:rFonts w:ascii="Arial" w:cs="Arial" w:eastAsia="Arial" w:hAnsi="Arial"/>
          <w:sz w:val="16"/>
          <w:szCs w:val="16"/>
          <w:color w:val="auto"/>
        </w:rPr>
        <w:t>We have represented Adagio Therapeutics,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in connection with the filing by the Company of a Registration Statement on Form S-8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with the Securities and Exchange Commission covering the offering of up to 36,417,895 shares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of the Company’s Common Stock, par value $0.0001 per share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consisting of (i) 16,793,090 shares of Common Stock issuable pursuant to the Company’s 2020 Equity Incentive Plan, as amended (the “</w:t>
      </w:r>
      <w:r>
        <w:rPr>
          <w:rFonts w:ascii="Arial" w:cs="Arial" w:eastAsia="Arial" w:hAnsi="Arial"/>
          <w:sz w:val="16"/>
          <w:szCs w:val="16"/>
          <w:b w:val="1"/>
          <w:bCs w:val="1"/>
          <w:i w:val="1"/>
          <w:iCs w:val="1"/>
          <w:color w:val="auto"/>
        </w:rPr>
        <w:t>Existing Plan</w:t>
      </w:r>
      <w:r>
        <w:rPr>
          <w:rFonts w:ascii="Arial" w:cs="Arial" w:eastAsia="Arial" w:hAnsi="Arial"/>
          <w:sz w:val="16"/>
          <w:szCs w:val="16"/>
          <w:color w:val="auto"/>
        </w:rPr>
        <w:t>”), (ii) 18,282,032 shares of Common Stock issuable pursuant to the Company’s 2021 Equity Incentive Plan (the “</w:t>
      </w:r>
      <w:r>
        <w:rPr>
          <w:rFonts w:ascii="Arial" w:cs="Arial" w:eastAsia="Arial" w:hAnsi="Arial"/>
          <w:sz w:val="16"/>
          <w:szCs w:val="16"/>
          <w:b w:val="1"/>
          <w:bCs w:val="1"/>
          <w:i w:val="1"/>
          <w:iCs w:val="1"/>
          <w:color w:val="auto"/>
        </w:rPr>
        <w:t>New Plan</w:t>
      </w:r>
      <w:r>
        <w:rPr>
          <w:rFonts w:ascii="Arial" w:cs="Arial" w:eastAsia="Arial" w:hAnsi="Arial"/>
          <w:sz w:val="16"/>
          <w:szCs w:val="16"/>
          <w:color w:val="auto"/>
        </w:rPr>
        <w:t>”), and (iii) 1,342,773 shares of Common Stock issuable pursuant to the Company’s 2021 Employee Stock Purchase Plan (together with the Existing Plan and the New Plan, the “</w:t>
      </w:r>
      <w:r>
        <w:rPr>
          <w:rFonts w:ascii="Arial" w:cs="Arial" w:eastAsia="Arial" w:hAnsi="Arial"/>
          <w:sz w:val="16"/>
          <w:szCs w:val="16"/>
          <w:b w:val="1"/>
          <w:bCs w:val="1"/>
          <w:i w:val="1"/>
          <w:iCs w:val="1"/>
          <w:color w:val="auto"/>
        </w:rPr>
        <w:t>Plans</w:t>
      </w:r>
      <w:r>
        <w:rPr>
          <w:rFonts w:ascii="Arial" w:cs="Arial" w:eastAsia="Arial" w:hAnsi="Arial"/>
          <w:sz w:val="16"/>
          <w:szCs w:val="16"/>
          <w:color w:val="auto"/>
        </w:rPr>
        <w:t>”).</w:t>
      </w:r>
    </w:p>
    <w:p>
      <w:pPr>
        <w:spacing w:after="0" w:line="164" w:lineRule="exact"/>
        <w:rPr>
          <w:sz w:val="20"/>
          <w:szCs w:val="20"/>
          <w:color w:val="auto"/>
        </w:rPr>
      </w:pPr>
    </w:p>
    <w:p>
      <w:pPr>
        <w:ind w:left="4" w:right="160"/>
        <w:spacing w:after="0" w:line="271" w:lineRule="auto"/>
        <w:rPr>
          <w:sz w:val="20"/>
          <w:szCs w:val="20"/>
          <w:color w:val="auto"/>
        </w:rPr>
      </w:pPr>
      <w:r>
        <w:rPr>
          <w:rFonts w:ascii="Arial" w:cs="Arial" w:eastAsia="Arial" w:hAnsi="Arial"/>
          <w:sz w:val="17"/>
          <w:szCs w:val="17"/>
          <w:color w:val="auto"/>
        </w:rPr>
        <w:t>In connection with this opinion, we have examined and relied upon (a) the Registration Statement and the related prospectuses, (b) the Company’s Amended and Restated Certificate of Incorporation and Amended and Restated Bylaws, each as currently in effect, (c) the Plans, and (d) originals or copies certified to our satisfaction of such records, documents, certificates, memoranda and other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thereof, the accuracy, completeness and authenticity of certificates of public officials, and the due authorization, execution and delivery of all documents by all persons other than the Company where authorization, execution and delivery are prerequisites to the effectiveness thereof. As to certain factual matters, we have relied upon a certificate of an officer of the Company and have not independently verified such matters.</w:t>
      </w:r>
    </w:p>
    <w:p>
      <w:pPr>
        <w:spacing w:after="0" w:line="178" w:lineRule="exact"/>
        <w:rPr>
          <w:sz w:val="20"/>
          <w:szCs w:val="20"/>
          <w:color w:val="auto"/>
        </w:rPr>
      </w:pPr>
    </w:p>
    <w:p>
      <w:pPr>
        <w:ind w:left="4" w:right="120"/>
        <w:spacing w:after="0" w:line="263" w:lineRule="auto"/>
        <w:rPr>
          <w:sz w:val="20"/>
          <w:szCs w:val="20"/>
          <w:color w:val="auto"/>
        </w:rPr>
      </w:pPr>
      <w:r>
        <w:rPr>
          <w:rFonts w:ascii="Arial" w:cs="Arial" w:eastAsia="Arial" w:hAnsi="Arial"/>
          <w:sz w:val="18"/>
          <w:szCs w:val="18"/>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84" w:lineRule="exact"/>
        <w:rPr>
          <w:sz w:val="20"/>
          <w:szCs w:val="20"/>
          <w:color w:val="auto"/>
        </w:rPr>
      </w:pPr>
    </w:p>
    <w:p>
      <w:pPr>
        <w:ind w:left="4" w:right="220"/>
        <w:spacing w:after="0" w:line="311" w:lineRule="auto"/>
        <w:rPr>
          <w:sz w:val="20"/>
          <w:szCs w:val="20"/>
          <w:color w:val="auto"/>
        </w:rPr>
      </w:pPr>
      <w:r>
        <w:rPr>
          <w:rFonts w:ascii="Arial" w:cs="Arial" w:eastAsia="Arial" w:hAnsi="Arial"/>
          <w:sz w:val="16"/>
          <w:szCs w:val="16"/>
          <w:color w:val="auto"/>
        </w:rPr>
        <w:t>On the basis of the foregoing, and in reliance thereon, we are of the opinion that the Shares, when sold and issued in accordance with the Plans, the Registration Statement and the related prospectuses, will be validly issued, fully paid and nonassessable (except as to shares issued pursuant to certain deferred payment arrangements, which will be fully paid and nonassessable when such deferred payments are made in full).</w:t>
      </w:r>
    </w:p>
    <w:p>
      <w:pPr>
        <w:spacing w:after="0" w:line="25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Cooley LLP 55 Hudson Yards, NY 10001</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Phone: (212) 479-6000 Fax: (212) 479-6275 Cooley.com</w:t>
      </w:r>
    </w:p>
    <w:p>
      <w:pPr>
        <w:sectPr>
          <w:pgSz w:w="11900" w:h="16838" w:orient="portrait"/>
          <w:cols w:equalWidth="0" w:num="1">
            <w:col w:w="11024"/>
          </w:cols>
          <w:pgMar w:left="436" w:top="121" w:right="4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379855" cy="4889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379855" cy="488950"/>
                    </a:xfrm>
                    <a:prstGeom prst="rect">
                      <a:avLst/>
                    </a:prstGeom>
                    <a:noFill/>
                  </pic:spPr>
                </pic:pic>
              </a:graphicData>
            </a:graphic>
          </wp:anchor>
        </w:drawing>
        <w:t>Adagio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23,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Two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filing of this opinion as an exhibit to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Cooley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Divakar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Divakar Gupta</w:t>
      </w:r>
    </w:p>
    <w:p>
      <w:pPr>
        <w:spacing w:after="0" w:line="333"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Cooley LLP 55 Hudson Yards, NY 10001</w:t>
      </w:r>
    </w:p>
    <w:p>
      <w:pPr>
        <w:spacing w:after="0" w:line="23" w:lineRule="exact"/>
        <w:rPr>
          <w:sz w:val="20"/>
          <w:szCs w:val="20"/>
          <w:color w:val="auto"/>
        </w:rPr>
      </w:pPr>
    </w:p>
    <w:p>
      <w:pPr>
        <w:jc w:val="center"/>
        <w:ind w:right="-980"/>
        <w:spacing w:after="0"/>
        <w:rPr>
          <w:sz w:val="20"/>
          <w:szCs w:val="20"/>
          <w:color w:val="auto"/>
        </w:rPr>
      </w:pPr>
      <w:r>
        <w:rPr>
          <w:rFonts w:ascii="Arial" w:cs="Arial" w:eastAsia="Arial" w:hAnsi="Arial"/>
          <w:sz w:val="16"/>
          <w:szCs w:val="16"/>
          <w:color w:val="auto"/>
        </w:rPr>
        <w:t>Phone: (212) 479-6000 Fax: (212) 479-6275 Cooley.com</w:t>
      </w:r>
    </w:p>
    <w:p>
      <w:pPr>
        <w:sectPr>
          <w:pgSz w:w="11900" w:h="16838" w:orient="portrait"/>
          <w:cols w:equalWidth="0" w:num="1">
            <w:col w:w="10019"/>
          </w:cols>
          <w:pgMar w:left="440" w:top="1151" w:right="1440"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We hereby consent to the incorporation by reference in this Registration Statement on Form S-8 of Adagio Therapeutics, Inc. of our report dated May 21, 2021, except for the effects of the stock split discussed in Note 15 to the consolidated financial statements, as to which the date is August 2, 2021, relating to the financial statements of Adagio Therapeutics, Inc., which appears in Adagio Therapeutics, Inc.’s Amendment No. 1 to the Registration Statement on Form S-1 (No. 333-257975).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23, 2021</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46E87CCD"/>
    <w:multiLevelType w:val="hybridMultilevel"/>
    <w:lvl w:ilvl="0">
      <w:lvlJc w:val="left"/>
      <w:lvlText w:val="%1"/>
      <w:numFmt w:val="lowerLetter"/>
      <w:start w:val="1"/>
    </w:lvl>
    <w:lvl w:ilvl="1">
      <w:lvlJc w:val="left"/>
      <w:lvlText w:val="(%2)"/>
      <w:numFmt w:val="decimal"/>
      <w:start w:val="2"/>
    </w:lvl>
  </w:abstractNum>
  <w:abstractNum w:abstractNumId="4">
    <w:nsid w:val="3D1B58BA"/>
    <w:multiLevelType w:val="hybridMultilevel"/>
    <w:lvl w:ilvl="0">
      <w:lvlJc w:val="left"/>
      <w:lvlText w:val="(%1)"/>
      <w:numFmt w:val="lowerLetter"/>
      <w:start w:val="2"/>
    </w:lvl>
    <w:lvl w:ilvl="1">
      <w:lvlJc w:val="left"/>
      <w:lvlText w:val="%2"/>
      <w:numFmt w:val="decimal"/>
      <w:start w:val="1"/>
    </w:lvl>
  </w:abstractNum>
  <w:abstractNum w:abstractNumId="5">
    <w:nsid w:val="507ED7AB"/>
    <w:multiLevelType w:val="hybridMultilevel"/>
    <w:lvl w:ilvl="0">
      <w:lvlJc w:val="left"/>
      <w:lvlText w:val="%1:"/>
      <w:numFmt w:val="upperLetter"/>
      <w:start w:val="20"/>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2"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jpeg"/><Relationship Id="rId32" Type="http://schemas.openxmlformats.org/officeDocument/2006/relationships/image" Target="media/image19.png"/><Relationship Id="rId33" Type="http://schemas.openxmlformats.org/officeDocument/2006/relationships/image" Target="media/image20.jpeg"/><Relationship Id="rId34" Type="http://schemas.openxmlformats.org/officeDocument/2006/relationships/image" Target="media/image21.png"/><Relationship Id="rId19" Type="http://schemas.openxmlformats.org/officeDocument/2006/relationships/hyperlink" Target="http://www.sec.gov/Archives/edgar/data/0001832038/000119312521239375/d549501d424b4.htm" TargetMode="External"/><Relationship Id="rId20" Type="http://schemas.openxmlformats.org/officeDocument/2006/relationships/hyperlink" Target="http://www.sec.gov/Archives/edgar/data/0001832038/000119312521242044/d211424d8k.htm" TargetMode="External"/><Relationship Id="rId21" Type="http://schemas.openxmlformats.org/officeDocument/2006/relationships/hyperlink" Target="http://www.sec.gov/Archives/edgar/data/0001832038/000119312521233921/d109461d8a12b.htm" TargetMode="External"/><Relationship Id="rId23" Type="http://schemas.openxmlformats.org/officeDocument/2006/relationships/hyperlink" Target="http://www.sec.gov/Archives/edgar/data/1832038/000119312521217506/d549501dex101.htm" TargetMode="External"/><Relationship Id="rId24" Type="http://schemas.openxmlformats.org/officeDocument/2006/relationships/hyperlink" Target="http://www.sec.gov/Archives/edgar/data/1832038/000119312521232137/d549501dex102.htm" TargetMode="External"/><Relationship Id="rId25" Type="http://schemas.openxmlformats.org/officeDocument/2006/relationships/hyperlink" Target="http://www.sec.gov/Archives/edgar/data/1832038/000119312521232137/d549501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2021-08-23T15:41:43Z</dcterms:created>
  <dcterms:modified xsi:type="dcterms:W3CDTF">2021-08-23T15:41:43Z</dcterms:modified>
</cp:coreProperties>
</file>