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2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Heyman Tomas J.</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Invivyd,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IVVD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05/23/2023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INVIVYD,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7"/>
          </w:tcPr>
          <w:p>
            <w:pPr>
              <w:ind w:left="20"/>
              <w:spacing w:after="0" w:line="183" w:lineRule="exact"/>
              <w:rPr>
                <w:sz w:val="20"/>
                <w:szCs w:val="20"/>
                <w:color w:val="auto"/>
              </w:rPr>
            </w:pPr>
            <w:r>
              <w:rPr>
                <w:rFonts w:ascii="Arial" w:cs="Arial" w:eastAsia="Arial" w:hAnsi="Arial"/>
                <w:sz w:val="17"/>
                <w:szCs w:val="17"/>
                <w:color w:val="0000FF"/>
              </w:rPr>
              <w:t>1601 TRAPELO ROAD, SUITE 178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WALTHAM</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02451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300" w:type="dxa"/>
            <w:vAlign w:val="bottom"/>
            <w:tcBorders>
              <w:bottom w:val="single" w:sz="8" w:color="2C2C2C"/>
            </w:tcBorders>
            <w:gridSpan w:val="5"/>
          </w:tcPr>
          <w:p>
            <w:pPr>
              <w:spacing w:after="0"/>
              <w:rPr>
                <w:sz w:val="6"/>
                <w:szCs w:val="6"/>
                <w:color w:val="auto"/>
              </w:rPr>
            </w:pPr>
          </w:p>
        </w:tc>
        <w:tc>
          <w:tcPr>
            <w:tcW w:w="1060" w:type="dxa"/>
            <w:vAlign w:val="bottom"/>
            <w:tcBorders>
              <w:bottom w:val="single" w:sz="8" w:color="2C2C2C"/>
            </w:tcBorders>
            <w:gridSpan w:val="6"/>
          </w:tcPr>
          <w:p>
            <w:pPr>
              <w:spacing w:after="0"/>
              <w:rPr>
                <w:sz w:val="6"/>
                <w:szCs w:val="6"/>
                <w:color w:val="auto"/>
              </w:rPr>
            </w:pPr>
          </w:p>
        </w:tc>
        <w:tc>
          <w:tcPr>
            <w:tcW w:w="420" w:type="dxa"/>
            <w:vAlign w:val="bottom"/>
            <w:tcBorders>
              <w:bottom w:val="single" w:sz="8" w:color="2C2C2C"/>
            </w:tcBorders>
            <w:gridSpan w:val="2"/>
          </w:tcPr>
          <w:p>
            <w:pPr>
              <w:spacing w:after="0"/>
              <w:rPr>
                <w:sz w:val="6"/>
                <w:szCs w:val="6"/>
                <w:color w:val="auto"/>
              </w:rPr>
            </w:pPr>
          </w:p>
        </w:tc>
        <w:tc>
          <w:tcPr>
            <w:tcW w:w="258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100" w:type="dxa"/>
            <w:vAlign w:val="bottom"/>
            <w:tcBorders>
              <w:top w:val="single" w:sz="8" w:color="2C2C2C"/>
            </w:tcBorders>
            <w:gridSpan w:val="2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05/23/2023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520" w:type="dxa"/>
            <w:vAlign w:val="bottom"/>
            <w:gridSpan w:val="2"/>
          </w:tcPr>
          <w:p>
            <w:pPr>
              <w:ind w:left="60"/>
              <w:spacing w:after="0"/>
              <w:rPr>
                <w:sz w:val="20"/>
                <w:szCs w:val="20"/>
                <w:color w:val="auto"/>
              </w:rPr>
            </w:pPr>
            <w:r>
              <w:rPr>
                <w:rFonts w:ascii="Arial" w:cs="Arial" w:eastAsia="Arial" w:hAnsi="Arial"/>
                <w:sz w:val="13"/>
                <w:szCs w:val="13"/>
                <w:color w:val="0000FF"/>
              </w:rPr>
              <w:t>50,000</w:t>
            </w:r>
          </w:p>
        </w:tc>
        <w:tc>
          <w:tcPr>
            <w:tcW w:w="300" w:type="dxa"/>
            <w:vAlign w:val="bottom"/>
          </w:tcPr>
          <w:p>
            <w:pPr>
              <w:spacing w:after="0"/>
              <w:rPr>
                <w:sz w:val="17"/>
                <w:szCs w:val="17"/>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05/22/2033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50,000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50,000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62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May 23, 2023 and vests in full upon the earlier of (i) May 23, 2024 or (ii) the date of the Issuer's 2024 Annual Meeting of Stockholders, subject to the Reporting Person's continuous service through such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24.1: Power of Attorney</w:t>
      </w:r>
    </w:p>
    <w:p>
      <w:pPr>
        <w:spacing w:after="0" w:line="5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7"/>
              </w:rPr>
              <w:t>/s/ Jill Andersen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05/25/2023</w:t>
            </w:r>
          </w:p>
        </w:tc>
        <w:tc>
          <w:tcPr>
            <w:tcW w:w="0" w:type="dxa"/>
            <w:vAlign w:val="bottom"/>
          </w:tcPr>
          <w:p>
            <w:pPr>
              <w:spacing w:after="0"/>
              <w:rPr>
                <w:sz w:val="1"/>
                <w:szCs w:val="1"/>
                <w:color w:val="auto"/>
              </w:rPr>
            </w:pPr>
          </w:p>
        </w:tc>
      </w:tr>
      <w:tr>
        <w:trPr>
          <w:trHeight w:val="84"/>
        </w:trPr>
        <w:tc>
          <w:tcPr>
            <w:tcW w:w="1940" w:type="dxa"/>
            <w:vAlign w:val="bottom"/>
            <w:tcBorders>
              <w:top w:val="single" w:sz="8" w:color="auto"/>
            </w:tcBorders>
            <w:gridSpan w:val="2"/>
            <w:vMerge w:val="restart"/>
          </w:tcPr>
          <w:p>
            <w:pPr>
              <w:spacing w:after="0" w:line="189" w:lineRule="exact"/>
              <w:rPr>
                <w:sz w:val="20"/>
                <w:szCs w:val="20"/>
                <w:color w:val="auto"/>
              </w:rPr>
            </w:pPr>
            <w:r>
              <w:rPr>
                <w:rFonts w:ascii="Arial" w:cs="Arial" w:eastAsia="Arial" w:hAnsi="Arial"/>
                <w:sz w:val="17"/>
                <w:szCs w:val="17"/>
                <w:color w:val="0000FF"/>
                <w:w w:val="98"/>
              </w:rPr>
              <w:t>fact for Tomas J. Heyman</w:t>
            </w: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jc w:val="right"/>
        <w:ind w:right="1919"/>
        <w:spacing w:after="0"/>
        <w:rPr>
          <w:sz w:val="20"/>
          <w:szCs w:val="20"/>
          <w:color w:val="auto"/>
        </w:rPr>
      </w:pPr>
      <w:r>
        <w:rPr>
          <w:rFonts w:ascii="Courier New" w:cs="Courier New" w:eastAsia="Courier New" w:hAnsi="Courier New"/>
          <w:sz w:val="17"/>
          <w:szCs w:val="17"/>
          <w:color w:val="auto"/>
        </w:rPr>
        <w:t>Exhibit 24.1</w:t>
      </w:r>
    </w:p>
    <w:p>
      <w:pPr>
        <w:spacing w:after="0" w:line="199"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LIMITED POWER OF ATTORNEY</w:t>
      </w:r>
    </w:p>
    <w:p>
      <w:pPr>
        <w:spacing w:after="0" w:line="19"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83" w:lineRule="exact"/>
        <w:rPr>
          <w:sz w:val="20"/>
          <w:szCs w:val="20"/>
          <w:color w:val="auto"/>
        </w:rPr>
      </w:pPr>
    </w:p>
    <w:p>
      <w:pPr>
        <w:ind w:right="1919" w:firstLine="818"/>
        <w:spacing w:after="0" w:line="257"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David Hering, Jill Andersen, Katherine Fisher, Stephen Nicolai, Steve Abrams and Amanda Brown, signing singly and each acting individually, as the undersigned's true and lawful attorney-in-fact with full power and authority as hereinafter described to:</w:t>
      </w:r>
    </w:p>
    <w:p>
      <w:pPr>
        <w:spacing w:after="0" w:line="144" w:lineRule="exact"/>
        <w:rPr>
          <w:sz w:val="20"/>
          <w:szCs w:val="20"/>
          <w:color w:val="auto"/>
        </w:rPr>
      </w:pPr>
    </w:p>
    <w:p>
      <w:pPr>
        <w:ind w:right="2019" w:firstLine="822"/>
        <w:spacing w:after="0" w:line="257" w:lineRule="auto"/>
        <w:tabs>
          <w:tab w:leader="none" w:pos="153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144" w:lineRule="exact"/>
        <w:rPr>
          <w:rFonts w:ascii="Courier New" w:cs="Courier New" w:eastAsia="Courier New" w:hAnsi="Courier New"/>
          <w:sz w:val="17"/>
          <w:szCs w:val="17"/>
          <w:color w:val="auto"/>
        </w:rPr>
      </w:pPr>
    </w:p>
    <w:p>
      <w:pPr>
        <w:ind w:right="1919" w:firstLine="822"/>
        <w:spacing w:after="0" w:line="250" w:lineRule="auto"/>
        <w:tabs>
          <w:tab w:leader="none" w:pos="153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53" w:lineRule="exact"/>
        <w:rPr>
          <w:rFonts w:ascii="Courier New" w:cs="Courier New" w:eastAsia="Courier New" w:hAnsi="Courier New"/>
          <w:sz w:val="17"/>
          <w:szCs w:val="17"/>
          <w:color w:val="auto"/>
        </w:rPr>
      </w:pPr>
    </w:p>
    <w:p>
      <w:pPr>
        <w:ind w:right="2119" w:firstLine="822"/>
        <w:spacing w:after="0" w:line="254" w:lineRule="auto"/>
        <w:tabs>
          <w:tab w:leader="none" w:pos="153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48" w:lineRule="exact"/>
        <w:rPr>
          <w:rFonts w:ascii="Courier New" w:cs="Courier New" w:eastAsia="Courier New" w:hAnsi="Courier New"/>
          <w:sz w:val="17"/>
          <w:szCs w:val="17"/>
          <w:color w:val="auto"/>
        </w:rPr>
      </w:pPr>
    </w:p>
    <w:p>
      <w:pPr>
        <w:ind w:right="1919" w:firstLine="822"/>
        <w:spacing w:after="0" w:line="253" w:lineRule="auto"/>
        <w:tabs>
          <w:tab w:leader="none" w:pos="153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46" w:lineRule="exact"/>
        <w:rPr>
          <w:sz w:val="20"/>
          <w:szCs w:val="20"/>
          <w:color w:val="auto"/>
        </w:rPr>
      </w:pPr>
    </w:p>
    <w:p>
      <w:pPr>
        <w:ind w:right="1919" w:firstLine="818"/>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55" w:lineRule="exact"/>
        <w:rPr>
          <w:sz w:val="20"/>
          <w:szCs w:val="20"/>
          <w:color w:val="auto"/>
        </w:rPr>
      </w:pPr>
    </w:p>
    <w:p>
      <w:pPr>
        <w:ind w:right="2319" w:firstLine="818"/>
        <w:spacing w:after="0" w:line="297" w:lineRule="auto"/>
        <w:rPr>
          <w:sz w:val="20"/>
          <w:szCs w:val="20"/>
          <w:color w:val="auto"/>
        </w:rPr>
      </w:pPr>
      <w:r>
        <w:rPr>
          <w:rFonts w:ascii="Courier New" w:cs="Courier New" w:eastAsia="Courier New" w:hAnsi="Courier New"/>
          <w:sz w:val="17"/>
          <w:szCs w:val="17"/>
          <w:color w:val="auto"/>
        </w:rPr>
        <w:t>This Power of Attorney revokes all previous Powers of Attorney with respect to the matters expressed herein.</w:t>
      </w:r>
    </w:p>
    <w:p>
      <w:pPr>
        <w:spacing w:after="0" w:line="111" w:lineRule="exact"/>
        <w:rPr>
          <w:sz w:val="20"/>
          <w:szCs w:val="20"/>
          <w:color w:val="auto"/>
        </w:rPr>
      </w:pPr>
    </w:p>
    <w:p>
      <w:pPr>
        <w:ind w:right="1919" w:firstLine="818"/>
        <w:spacing w:after="0" w:line="250"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filed with the SEC or delivered to the foregoing attorneys-in-fact or the Company, or (c) as to any attorney-in-fact individually, until such attorney-in-fact is (x) no longer employed by the Company or (y) no longer an attorney representing the Company with respect to matters related to this Power of Attorney.</w:t>
      </w:r>
    </w:p>
    <w:p>
      <w:pPr>
        <w:spacing w:after="0" w:line="154" w:lineRule="exact"/>
        <w:rPr>
          <w:sz w:val="20"/>
          <w:szCs w:val="20"/>
          <w:color w:val="auto"/>
        </w:rPr>
      </w:pPr>
    </w:p>
    <w:p>
      <w:pPr>
        <w:ind w:right="2119" w:firstLine="818"/>
        <w:spacing w:after="0" w:line="29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25th day of May, 2023.</w:t>
      </w:r>
    </w:p>
    <w:p>
      <w:pPr>
        <w:spacing w:after="0" w:line="11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 Tomas J. Heyman</w:t>
      </w:r>
    </w:p>
    <w:p>
      <w:pPr>
        <w:spacing w:after="0" w:line="19"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Tomas J. Heyman</w:t>
      </w:r>
    </w:p>
    <w:sectPr>
      <w:pgSz w:w="11900" w:h="16838" w:orient="portrait"/>
      <w:cols w:equalWidth="0" w:num="1">
        <w:col w:w="9999"/>
      </w:cols>
      <w:pgMar w:left="460" w:top="292" w:right="1440" w:bottom="29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14673" TargetMode="External"/><Relationship Id="rId9"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2023-05-25T17:52:24Z</dcterms:created>
  <dcterms:modified xsi:type="dcterms:W3CDTF">2023-05-25T17:52:24Z</dcterms:modified>
</cp:coreProperties>
</file>