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Maverick Capital,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TEXAS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10,229,118.00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10,229,118.00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10,229,118.00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Maverick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10,229,118.00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10,229,118.00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10,229,118.00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Lee S. Ainslie III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10,229,118.00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10,229,118.00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10,229,118.00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39"/>
        <w:spacing w:after="0"/>
        <w:rPr>
          <w:sz w:val="20"/>
          <w:szCs w:val="20"/>
          <w:color w:val="auto"/>
        </w:rPr>
      </w:pPr>
      <w:r>
        <w:rPr>
          <w:rFonts w:ascii="Times New Roman" w:cs="Times New Roman" w:eastAsia="Times New Roman" w:hAnsi="Times New Roman"/>
          <w:sz w:val="22"/>
          <w:szCs w:val="22"/>
          <w:color w:val="auto"/>
        </w:rPr>
        <w:t>1601 Trapelo Rd., Suite 178, Waltham, MA, 02451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This Schedule 13G (the "Schedule 13G") is being filed on behalf of each of the following persons (each, a "Reporting Person"): (i) Maverick Capital, Ltd. ("Maverick"); (ii) Maverick Capital Management, LLC ("Maverick Capital Management"); and (iii) Lee S. Ainslie III ("Mr. Ainslie"). This Schedule 13G relates to Shares (as defined herein) held for the accounts of Maverick's clients.</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jc w:val="both"/>
        <w:ind w:left="920" w:right="46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address of the principal business office of (i) Maverick and Maverick Capital Management is 1900 N. Pearl Street, 20th Floor, Dallas, Texas 75201, and (ii) Mr. Ainslie is 360 South Rosemary Ave., Suite 1440, West Palm Beach, Florida 33401.</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 Maverick is a Texas limited partnership; (ii) Maverick Capital Management is a Texas limited liability company; and (iii) Mr. Ainslie is a United States citizen.</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Ownership as of June 30, 2025 is incorporated by reference to items (5) - (9) and (11) of the cover page of each of the</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Reporting Persons. The ownership percentages are based on 119,961,445 outstanding shares of Common Stock,</w:t>
      </w:r>
    </w:p>
    <w:p>
      <w:pPr>
        <w:ind w:left="920"/>
        <w:spacing w:after="0"/>
        <w:rPr>
          <w:sz w:val="20"/>
          <w:szCs w:val="20"/>
          <w:color w:val="auto"/>
        </w:rPr>
      </w:pPr>
      <w:r>
        <w:rPr>
          <w:rFonts w:ascii="Times New Roman" w:cs="Times New Roman" w:eastAsia="Times New Roman" w:hAnsi="Times New Roman"/>
          <w:sz w:val="21"/>
          <w:szCs w:val="21"/>
          <w:color w:val="auto"/>
        </w:rPr>
        <w:t>$0.0001 par value per share (the "Shares") of Invivyd, Inc. (the "Issuer") as of May 1, 2025, as reported in the Issuer's</w:t>
      </w:r>
    </w:p>
    <w:p>
      <w:pPr>
        <w:ind w:left="920"/>
        <w:spacing w:after="0" w:line="231" w:lineRule="auto"/>
        <w:rPr>
          <w:sz w:val="20"/>
          <w:szCs w:val="20"/>
          <w:color w:val="auto"/>
        </w:rPr>
      </w:pPr>
      <w:r>
        <w:rPr>
          <w:rFonts w:ascii="Times New Roman" w:cs="Times New Roman" w:eastAsia="Times New Roman" w:hAnsi="Times New Roman"/>
          <w:sz w:val="22"/>
          <w:szCs w:val="22"/>
          <w:color w:val="auto"/>
        </w:rPr>
        <w:t>Quarterly Report on Form 10-Q filed with the Securities and Exchange Commission on May 15, 2025. Maverick is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investment advisor of (i) Maverick Fund USA, Ltd, a Texas limited partnership, which holds 2,253,369 shares of</w:t>
      </w:r>
    </w:p>
    <w:p>
      <w:pPr>
        <w:spacing w:after="0" w:line="2" w:lineRule="exact"/>
        <w:rPr>
          <w:sz w:val="20"/>
          <w:szCs w:val="20"/>
          <w:color w:val="auto"/>
        </w:rPr>
      </w:pPr>
    </w:p>
    <w:p>
      <w:pPr>
        <w:ind w:left="920" w:right="140" w:hanging="912"/>
        <w:spacing w:after="0" w:line="209"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(ii) Maverick Fund II, Ltd., a Cayman exempt corporation, which holds 2,210,410 shares of Common Stock, (iii) Maverick Long Enhanced Fund, Ltd, a Cayman exempt corporation, which holds 2,419,202 shares of Common Stock, (iv) Maverick HP, L.P., a Delaware limited partnership, which holds 2,139,246 shares of Common Stock, and (v) Maverick Long Fund, Ltd., a Cayman exempt corporation, which holds 1,206,891 shares of Common Stock. Maverick Capital, Ltd. is an investment adviser registered under Section 203 of the Investment Advisers Act of 1940 and, as such, may be deemed to have beneficial ownership of the Shares which are the subject of this filing through the investment discretion it exercises over its clients' accounts. Maverick Capital Management, LLC is the General Partner of Maverick Capital, Ltd. Mr. Ainslie is the manager of Maverick Capital Management, LLC.</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1180" w:hanging="254"/>
        <w:spacing w:after="0"/>
        <w:tabs>
          <w:tab w:leader="none" w:pos="118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Maverick: 8.5% (ii) Maverick Capital Management: 8.5% (iii) Mr. Ainslie: 8.5%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 Maverick: 0 (ii) Maverick Capital Management: 0 (iii) Mr. Ainslie: 0</w:t>
      </w:r>
    </w:p>
    <w:p>
      <w:pPr>
        <w:sectPr>
          <w:pgSz w:w="11900" w:h="16838" w:orient="portrait"/>
          <w:cols w:equalWidth="0" w:num="1">
            <w:col w:w="11120"/>
          </w:cols>
          <w:pgMar w:left="360" w:top="112"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Maverick: 10,229,118 (ii) Maverick Capital Management: 10,229,118 (iii) Mr. Ainslie: 10,229,118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Maverick: 0 (ii) Maverick Capital Management: 0 (iii) Mr. Ainslie: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420" w:firstLine="6"/>
        <w:spacing w:after="0" w:line="537"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Maverick: 10,229,118 (ii) Maverick Capital Management: 10,229,118 (iii) Mr. Ainslie: 10,229,118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409" w:right="399" w:bottom="1440"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Maverick Capital,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Trevor Wiessmann*</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Maverick Capital Management,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Lee S. Ainslie III, Manager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Maverick Capital Management, LLC</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Trevor Wiessmann*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Lee S. Ainslie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Lee S. Ainslie III</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Trevor Wiessmann*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Lee S. Ainslie III, Manager</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Under Power of Attorney, dated March 15, 2018</w:t>
      </w:r>
    </w:p>
    <w:sectPr>
      <w:pgSz w:w="11900" w:h="16838" w:orient="portrait"/>
      <w:cols w:equalWidth="0" w:num="1">
        <w:col w:w="11180"/>
      </w:cols>
      <w:pgMar w:left="32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Letter"/>
      <w:start w:val="9"/>
    </w:lvl>
  </w:abstractNum>
  <w:abstractNum w:abstractNumId="7">
    <w:nsid w:val="515F007C"/>
    <w:multiLevelType w:val="hybridMultilevel"/>
    <w:lvl w:ilvl="0">
      <w:lvlJc w:val="left"/>
      <w:lvlText w:val="(%1)"/>
      <w:numFmt w:val="lowerLetter"/>
      <w:start w:val="3"/>
    </w:lvl>
    <w:lvl w:ilvl="1">
      <w:lvlJc w:val="left"/>
      <w:lvlText w:val="(%2)"/>
      <w:numFmt w:val="lowerLetter"/>
      <w:start w:val="9"/>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2025-08-14T07:07:56Z</dcterms:created>
  <dcterms:modified xsi:type="dcterms:W3CDTF">2025-08-14T07:07:56Z</dcterms:modified>
</cp:coreProperties>
</file>