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Duke William 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INVIVYD,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205 CHURCH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HAVEN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06510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Invivyd, Inc.</w:t>
              </w:r>
            </w:hyperlink>
            <w:r>
              <w:rPr/>
              <w:t xml:space="preserve"> [ </w:t>
            </w:r>
            <w:r>
              <w:rPr>
                <w:rFonts w:ascii="Times;serif" w:hAnsi="Times;serif"/>
                <w:color w:val="0000FF"/>
                <w:sz w:val="24"/>
                <w:shd w:fill="FFFFFF" w:val="clear"/>
              </w:rPr>
              <w:t>IVVD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24"/>
        <w:gridCol w:w="903"/>
        <w:gridCol w:w="774"/>
        <w:gridCol w:w="600"/>
        <w:gridCol w:w="343"/>
        <w:gridCol w:w="1006"/>
        <w:gridCol w:w="439"/>
        <w:gridCol w:w="881"/>
        <w:gridCol w:w="1138"/>
        <w:gridCol w:w="980"/>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2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2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2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08/15/2026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102,000</w:t>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209,717</w:t>
            </w:r>
          </w:p>
        </w:tc>
        <w:tc>
          <w:tcPr>
            <w:tcW w:w="9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22,355</w:t>
            </w:r>
            <w:r>
              <w:rPr>
                <w:rFonts w:ascii="Times;serif" w:hAnsi="Times;serif"/>
                <w:color w:val="008000"/>
                <w:position w:val="7"/>
                <w:sz w:val="16"/>
                <w:sz w:val="20"/>
                <w:shd w:fill="FFFFFF" w:val="clear"/>
              </w:rPr>
              <w:t>(2)</w:t>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0.722</w:t>
            </w:r>
            <w:r>
              <w:rPr>
                <w:rFonts w:ascii="Times;serif" w:hAnsi="Times;serif"/>
                <w:color w:val="008000"/>
                <w:position w:val="7"/>
                <w:sz w:val="16"/>
                <w:sz w:val="20"/>
                <w:shd w:fill="FFFFFF" w:val="clear"/>
              </w:rPr>
              <w:t>(3)</w:t>
            </w:r>
          </w:p>
        </w:tc>
        <w:tc>
          <w:tcPr>
            <w:tcW w:w="11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187,362</w:t>
            </w:r>
          </w:p>
        </w:tc>
        <w:tc>
          <w:tcPr>
            <w:tcW w:w="9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2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18,425</w:t>
            </w:r>
            <w:r>
              <w:rPr>
                <w:rFonts w:ascii="Times;serif" w:hAnsi="Times;serif"/>
                <w:color w:val="008000"/>
                <w:position w:val="7"/>
                <w:sz w:val="16"/>
                <w:sz w:val="20"/>
                <w:shd w:fill="FFFFFF" w:val="clear"/>
              </w:rPr>
              <w:t>(2)</w:t>
            </w:r>
          </w:p>
        </w:tc>
        <w:tc>
          <w:tcPr>
            <w:tcW w:w="4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0.8429</w:t>
            </w:r>
            <w:r>
              <w:rPr>
                <w:rFonts w:ascii="Times;serif" w:hAnsi="Times;serif"/>
                <w:color w:val="008000"/>
                <w:position w:val="7"/>
                <w:sz w:val="16"/>
                <w:sz w:val="20"/>
                <w:shd w:fill="FFFFFF" w:val="clear"/>
              </w:rPr>
              <w:t>(4)</w:t>
            </w:r>
          </w:p>
        </w:tc>
        <w:tc>
          <w:tcPr>
            <w:tcW w:w="11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168,937</w:t>
            </w:r>
          </w:p>
        </w:tc>
        <w:tc>
          <w:tcPr>
            <w:tcW w:w="98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41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816"/>
        <w:gridCol w:w="906"/>
        <w:gridCol w:w="801"/>
        <w:gridCol w:w="891"/>
        <w:gridCol w:w="921"/>
        <w:gridCol w:w="801"/>
        <w:gridCol w:w="936"/>
        <w:gridCol w:w="831"/>
        <w:gridCol w:w="846"/>
      </w:tblGrid>
      <w:tr>
        <w:trPr>
          <w:tblHeader w:val="true"/>
        </w:trPr>
        <w:tc>
          <w:tcPr>
            <w:tcW w:w="1241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102,000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one share of common stock of Invivyd, Inc. (the "Company").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sales reported on this Form 4 represent shares sold to satisfy the Reporting Person's tax withholding obligations upon vesting of an RSU award in non-discretionary "sell-to-cover" transactions pursuant to a Rule 10b5-1 plan adopted by the Reporting Person on February 20,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 shares were sold in multiple transactions at prices ranging from $0.682 to $0.830, inclusive. The Reporting Person undertakes to provide to the Company, any security holder of the Company, or the staff of the U.S. Securities and Exchange Commission (the "SEC"), upon request, full information regarding the number of shares sold at each separate price within the ranges set forth in this footnote (3)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 shares were sold in multiple transactions at prices ranging from $0.760 to $0.872, inclusive. The Reporting Person undertakes to provide to the Company, any security holder of the Company, or the staff of the SEC, upon request, full information regarding the number of shares sold at each separate price within the ranges set forth in this footnote (4)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This RSU award vests over an eighteen-month period, with one-third of the RSUs vesting every six months following the grant date of February 15, 2025, subject to the Reporting Person's continuous service as of each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Jill Andersen attorney-in-fact for William E. Duke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636135" TargetMode="External"/><Relationship Id="rId5" Type="http://schemas.openxmlformats.org/officeDocument/2006/relationships/hyperlink" Target="http://www.sec.gov/cgi-bin/browse-edgar?action=getcompany&amp;CIK=000183203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862</Words>
  <Characters>4577</Characters>
  <CharactersWithSpaces>5339</CharactersWithSpaces>
  <Paragraphs>128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