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13G/A</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Invivyd,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par value $0.0001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00534A102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4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200660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4"/>
          </w:cols>
          <w:pgMar w:left="436" w:top="511"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00534A102</w:t>
      </w:r>
    </w:p>
    <w:p>
      <w:pPr>
        <w:spacing w:after="0" w:line="266"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Ltd.</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Texas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00" w:type="dxa"/>
            <w:vAlign w:val="bottom"/>
          </w:tcPr>
          <w:p>
            <w:pPr>
              <w:spacing w:after="0"/>
              <w:rPr>
                <w:sz w:val="18"/>
                <w:szCs w:val="18"/>
                <w:color w:val="auto"/>
              </w:rPr>
            </w:pP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11,765,787</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2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hanging="81"/>
        <w:spacing w:after="0"/>
        <w:tabs>
          <w:tab w:leader="none" w:pos="1980"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11,765,787</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11,765,787</w:t>
      </w:r>
    </w:p>
    <w:p>
      <w:pPr>
        <w:spacing w:after="0" w:line="36" w:lineRule="exact"/>
        <w:rPr>
          <w:sz w:val="20"/>
          <w:szCs w:val="20"/>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00534A102</w:t>
      </w:r>
    </w:p>
    <w:p>
      <w:pPr>
        <w:spacing w:after="0" w:line="266" w:lineRule="exact"/>
        <w:rPr>
          <w:sz w:val="20"/>
          <w:szCs w:val="20"/>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Management, LLC</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Texas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3"/>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00" w:type="dxa"/>
            <w:vAlign w:val="bottom"/>
          </w:tcPr>
          <w:p>
            <w:pPr>
              <w:spacing w:after="0"/>
              <w:rPr>
                <w:sz w:val="18"/>
                <w:szCs w:val="18"/>
                <w:color w:val="auto"/>
              </w:rPr>
            </w:pP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11,765,787</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2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hanging="81"/>
        <w:spacing w:after="0"/>
        <w:tabs>
          <w:tab w:leader="none" w:pos="1980" w:val="left"/>
        </w:tabs>
        <w:numPr>
          <w:ilvl w:val="2"/>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11,765,787</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11,765,787</w:t>
      </w:r>
    </w:p>
    <w:p>
      <w:pPr>
        <w:spacing w:after="0" w:line="36" w:lineRule="exact"/>
        <w:rPr>
          <w:sz w:val="20"/>
          <w:szCs w:val="20"/>
          <w:color w:val="auto"/>
        </w:rPr>
      </w:pPr>
    </w:p>
    <w:p>
      <w:pPr>
        <w:ind w:left="520" w:hanging="367"/>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00534A102</w:t>
      </w:r>
    </w:p>
    <w:p>
      <w:pPr>
        <w:spacing w:after="0" w:line="266" w:lineRule="exact"/>
        <w:rPr>
          <w:sz w:val="20"/>
          <w:szCs w:val="20"/>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Lee S. Ainslie III</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United States of America</w:t>
      </w:r>
    </w:p>
    <w:p>
      <w:pPr>
        <w:spacing w:after="0" w:line="36" w:lineRule="exact"/>
        <w:rPr>
          <w:sz w:val="20"/>
          <w:szCs w:val="20"/>
          <w:color w:val="auto"/>
        </w:rPr>
      </w:pPr>
    </w:p>
    <w:p>
      <w:pPr>
        <w:ind w:left="1900" w:hanging="311"/>
        <w:spacing w:after="0"/>
        <w:tabs>
          <w:tab w:leader="none" w:pos="1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232"/>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 BENEFICIALLY</w:t>
            </w:r>
          </w:p>
        </w:tc>
        <w:tc>
          <w:tcPr>
            <w:tcW w:w="300" w:type="dxa"/>
            <w:vAlign w:val="bottom"/>
          </w:tcPr>
          <w:p>
            <w:pPr>
              <w:spacing w:after="0"/>
              <w:rPr>
                <w:sz w:val="18"/>
                <w:szCs w:val="18"/>
                <w:color w:val="auto"/>
              </w:rPr>
            </w:pP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11,765,787</w:t>
            </w:r>
          </w:p>
        </w:tc>
        <w:tc>
          <w:tcPr>
            <w:tcW w:w="0" w:type="dxa"/>
            <w:vAlign w:val="bottom"/>
          </w:tcPr>
          <w:p>
            <w:pPr>
              <w:spacing w:after="0"/>
              <w:rPr>
                <w:sz w:val="1"/>
                <w:szCs w:val="1"/>
                <w:color w:val="auto"/>
              </w:rPr>
            </w:pPr>
          </w:p>
        </w:tc>
      </w:tr>
      <w:tr>
        <w:trPr>
          <w:trHeight w:val="234"/>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2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00" w:type="dxa"/>
            <w:vAlign w:val="bottom"/>
            <w:tcBorders>
              <w:bottom w:val="single" w:sz="8" w:color="auto"/>
            </w:tcBorders>
          </w:tcPr>
          <w:p>
            <w:pPr>
              <w:spacing w:after="0"/>
              <w:rPr>
                <w:sz w:val="5"/>
                <w:szCs w:val="5"/>
                <w:color w:val="auto"/>
              </w:rPr>
            </w:pPr>
          </w:p>
        </w:tc>
        <w:tc>
          <w:tcPr>
            <w:tcW w:w="9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2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32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80" w:hanging="81"/>
        <w:spacing w:after="0"/>
        <w:tabs>
          <w:tab w:leader="none" w:pos="1980" w:val="left"/>
        </w:tabs>
        <w:numPr>
          <w:ilvl w:val="2"/>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11,765,787</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11,765,787</w:t>
      </w:r>
    </w:p>
    <w:p>
      <w:pPr>
        <w:spacing w:after="0" w:line="36" w:lineRule="exact"/>
        <w:rPr>
          <w:sz w:val="20"/>
          <w:szCs w:val="20"/>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ectPr>
          <w:pgSz w:w="11900" w:h="16838" w:orient="portrait"/>
          <w:cols w:equalWidth="0" w:num="1">
            <w:col w:w="10900"/>
          </w:cols>
          <w:pgMar w:left="440" w:top="270" w:right="559" w:bottom="1440" w:gutter="0" w:footer="0" w:header="0"/>
        </w:sectPr>
      </w:pPr>
    </w:p>
    <w:bookmarkStart w:id="4" w:name="page5"/>
    <w:bookmarkEnd w:id="4"/>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u w:val="single" w:color="auto"/>
          <w:color w:val="auto"/>
        </w:rPr>
        <w:t>Name of Issuer</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Invivyd, Inc.</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Address of Issuer’s Principal Executive Offices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1601 Trapelo Rd. Suite 178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Waltham, MA 02451</w:t>
      </w:r>
    </w:p>
    <w:p>
      <w:pPr>
        <w:spacing w:after="0" w:line="35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u w:val="single" w:color="auto"/>
          <w:color w:val="auto"/>
        </w:rPr>
        <w:t>Names of Persons Filing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Schedule 13G (the “Schedule 13G”) is being filed on behalf of each of the following persons (each, a “Reporting Person”):</w:t>
      </w:r>
    </w:p>
    <w:p>
      <w:pPr>
        <w:spacing w:after="0" w:line="117" w:lineRule="exact"/>
        <w:rPr>
          <w:sz w:val="20"/>
          <w:szCs w:val="20"/>
          <w:color w:val="auto"/>
        </w:rPr>
      </w:pPr>
    </w:p>
    <w:p>
      <w:pPr>
        <w:ind w:left="440" w:hanging="224"/>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Ltd.;</w:t>
      </w:r>
    </w:p>
    <w:p>
      <w:pPr>
        <w:spacing w:after="0" w:line="117" w:lineRule="exact"/>
        <w:rPr>
          <w:rFonts w:ascii="Times New Roman" w:cs="Times New Roman" w:eastAsia="Times New Roman" w:hAnsi="Times New Roman"/>
          <w:sz w:val="18"/>
          <w:szCs w:val="18"/>
          <w:color w:val="auto"/>
        </w:rPr>
      </w:pPr>
    </w:p>
    <w:p>
      <w:pPr>
        <w:ind w:left="480" w:hanging="264"/>
        <w:spacing w:after="0"/>
        <w:tabs>
          <w:tab w:leader="none" w:pos="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Management, LLC; and</w:t>
      </w:r>
    </w:p>
    <w:p>
      <w:pPr>
        <w:spacing w:after="0" w:line="117" w:lineRule="exact"/>
        <w:rPr>
          <w:rFonts w:ascii="Times New Roman" w:cs="Times New Roman" w:eastAsia="Times New Roman" w:hAnsi="Times New Roman"/>
          <w:sz w:val="18"/>
          <w:szCs w:val="18"/>
          <w:color w:val="auto"/>
        </w:rPr>
      </w:pPr>
    </w:p>
    <w:p>
      <w:pPr>
        <w:ind w:left="540" w:hanging="324"/>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Lee S. Ainslie III (“Mr. Ainslie”).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13G relates to Shares (as defined herein) held for the accounts of Maverick Capital, Ltd.’s clients.</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u w:val="single" w:color="auto"/>
          <w:color w:val="auto"/>
        </w:rPr>
        <w:t>Address of Principal Business Office or, if None, Residence</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(i) Maverick Capital, Ltd. and Maverick Capital Management, LLC is 1900 N. Pearl Street, 20th Floor, Dallas, Texas 75201, and (ii) Mr. Ainslie is 360 South Rosemary Ave., Suite 1440, West Palm Beach, Florida 33401.</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u w:val="single" w:color="auto"/>
          <w:color w:val="auto"/>
        </w:rPr>
        <w:t>Citizenship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0" w:hanging="224"/>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Ltd. is a Texas limited partnership;</w:t>
      </w:r>
    </w:p>
    <w:p>
      <w:pPr>
        <w:spacing w:after="0" w:line="117" w:lineRule="exact"/>
        <w:rPr>
          <w:rFonts w:ascii="Times New Roman" w:cs="Times New Roman" w:eastAsia="Times New Roman" w:hAnsi="Times New Roman"/>
          <w:sz w:val="18"/>
          <w:szCs w:val="18"/>
          <w:color w:val="auto"/>
        </w:rPr>
      </w:pPr>
    </w:p>
    <w:p>
      <w:pPr>
        <w:ind w:left="480" w:hanging="264"/>
        <w:spacing w:after="0"/>
        <w:tabs>
          <w:tab w:leader="none" w:pos="4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Maverick Capital Management, LLC is a Texas limited liability company; and</w:t>
      </w:r>
    </w:p>
    <w:p>
      <w:pPr>
        <w:spacing w:after="0" w:line="117" w:lineRule="exact"/>
        <w:rPr>
          <w:rFonts w:ascii="Times New Roman" w:cs="Times New Roman" w:eastAsia="Times New Roman" w:hAnsi="Times New Roman"/>
          <w:sz w:val="18"/>
          <w:szCs w:val="18"/>
          <w:color w:val="auto"/>
        </w:rPr>
      </w:pPr>
    </w:p>
    <w:p>
      <w:pPr>
        <w:ind w:left="540" w:hanging="3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Ainslie is a citizen of the United States.</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u w:val="single" w:color="auto"/>
          <w:color w:val="auto"/>
        </w:rPr>
        <w:t>Title of Class of Securities</w:t>
      </w:r>
      <w:r>
        <w:rPr>
          <w:rFonts w:ascii="Times New Roman" w:cs="Times New Roman" w:eastAsia="Times New Roman" w:hAnsi="Times New Roman"/>
          <w:sz w:val="17"/>
          <w:szCs w:val="17"/>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$0.0001 per share (the “Shares”).</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b w:val="1"/>
          <w:bCs w:val="1"/>
          <w:u w:val="single" w:color="auto"/>
          <w:color w:val="auto"/>
        </w:rPr>
        <w:t>CUSIP Number</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00534A102</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u w:val="single" w:color="auto"/>
          <w:color w:val="auto"/>
        </w:rPr>
        <w:t>If this statement is filed pursuant to §§ 240.13d-1(b) or 240.13d-2(b) or (c), check whether the person filing is a:</w:t>
      </w:r>
    </w:p>
    <w:p>
      <w:pPr>
        <w:sectPr>
          <w:pgSz w:w="11900" w:h="16838" w:orient="portrait"/>
          <w:cols w:equalWidth="0" w:num="1">
            <w:col w:w="10780"/>
          </w:cols>
          <w:pgMar w:left="440" w:top="266" w:right="679" w:bottom="1440" w:gutter="0" w:footer="0" w:header="0"/>
        </w:sectPr>
      </w:pPr>
    </w:p>
    <w:bookmarkStart w:id="5" w:name="page6"/>
    <w:bookmarkEnd w:id="5"/>
    <w:p>
      <w:pPr>
        <w:ind w:left="344" w:hanging="344"/>
        <w:spacing w:after="0" w:line="207" w:lineRule="exact"/>
        <w:tabs>
          <w:tab w:leader="none" w:pos="344"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advisor in accordance with §240.13d-1(b)(1)(ii)(E).</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664" w:right="100" w:hanging="664"/>
        <w:spacing w:after="0" w:line="245" w:lineRule="exact"/>
        <w:tabs>
          <w:tab w:leader="none" w:pos="34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50"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344" w:hanging="344"/>
        <w:spacing w:after="0" w:line="207" w:lineRule="exact"/>
        <w:tabs>
          <w:tab w:leader="none" w:pos="344"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w:t>
      </w:r>
    </w:p>
    <w:p>
      <w:pPr>
        <w:spacing w:after="0" w:line="200" w:lineRule="exact"/>
        <w:rPr>
          <w:sz w:val="20"/>
          <w:szCs w:val="20"/>
          <w:color w:val="auto"/>
        </w:rPr>
      </w:pPr>
    </w:p>
    <w:p>
      <w:pPr>
        <w:spacing w:after="0" w:line="21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u w:val="single" w:color="auto"/>
          <w:color w:val="auto"/>
        </w:rPr>
        <w:t>Ownership</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Ownership as of September 30, 2024 is incorporated by reference to items (5) – (9) and (11) of the cover page of the Reporting Person. The ownership percentages are based on 119,442,635 outstanding Shares as reported in the Issuer’s Quarterly Report on Form 10-Q filed with the Securities and Exchange Commission on August 14, 2024.</w:t>
      </w:r>
    </w:p>
    <w:p>
      <w:pPr>
        <w:spacing w:after="0" w:line="176"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Maverick Capital, Ltd. is an investment adviser registered under Section 203 of the Investment Advisers Act of 1940 and, as such, may be deemed to have beneficial ownership of the Shares which are the subject of this filing through the investment discretion it exercises over its clients’ accounts. Maverick Capital Management, LLC is the General Partner of Maverick Capital, Ltd. Mr. Ainslie is the manager of Maverick Capital Management, LLC.</w:t>
      </w:r>
    </w:p>
    <w:p>
      <w:pPr>
        <w:spacing w:after="0" w:line="324"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u w:val="single" w:color="auto"/>
          <w:color w:val="auto"/>
        </w:rPr>
        <w:t>Ownership of Five Percent or Less of a Class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0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20"/>
        </w:trPr>
        <w:tc>
          <w:tcPr>
            <w:tcW w:w="10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345"/>
        </w:trPr>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93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Identification and Classification of the Subsidiary Which Acquired the Security Being Reported on by the Parent Holding</w:t>
            </w:r>
          </w:p>
        </w:tc>
      </w:tr>
      <w:tr>
        <w:trPr>
          <w:trHeight w:val="196"/>
        </w:trPr>
        <w:tc>
          <w:tcPr>
            <w:tcW w:w="1080" w:type="dxa"/>
            <w:vAlign w:val="bottom"/>
          </w:tcPr>
          <w:p>
            <w:pPr>
              <w:spacing w:after="0"/>
              <w:rPr>
                <w:sz w:val="17"/>
                <w:szCs w:val="17"/>
                <w:color w:val="auto"/>
              </w:rPr>
            </w:pPr>
          </w:p>
        </w:tc>
        <w:tc>
          <w:tcPr>
            <w:tcW w:w="93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20"/>
        </w:trPr>
        <w:tc>
          <w:tcPr>
            <w:tcW w:w="10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r>
      <w:tr>
        <w:trPr>
          <w:trHeight w:val="345"/>
        </w:trPr>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9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20"/>
        </w:trPr>
        <w:tc>
          <w:tcPr>
            <w:tcW w:w="1080" w:type="dxa"/>
            <w:vAlign w:val="bottom"/>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r>
      <w:tr>
        <w:trPr>
          <w:trHeight w:val="345"/>
        </w:trPr>
        <w:tc>
          <w:tcPr>
            <w:tcW w:w="104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540"/>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9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20"/>
        </w:trPr>
        <w:tc>
          <w:tcPr>
            <w:tcW w:w="108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bl>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944"/>
          </w:cols>
          <w:pgMar w:left="436" w:top="229" w:right="519" w:bottom="1440" w:gutter="0" w:footer="0" w:header="0"/>
        </w:sectPr>
      </w:pPr>
    </w:p>
    <w:bookmarkStart w:id="6" w:name="page7"/>
    <w:bookmarkEnd w:id="6"/>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10.</w:t>
      </w:r>
      <w:r>
        <w:rPr>
          <w:sz w:val="20"/>
          <w:szCs w:val="20"/>
          <w:color w:val="auto"/>
        </w:rPr>
        <w:tab/>
      </w:r>
      <w:r>
        <w:rPr>
          <w:rFonts w:ascii="Times New Roman" w:cs="Times New Roman" w:eastAsia="Times New Roman" w:hAnsi="Times New Roman"/>
          <w:sz w:val="18"/>
          <w:szCs w:val="18"/>
          <w:b w:val="1"/>
          <w:bCs w:val="1"/>
          <w:u w:val="single" w:color="auto"/>
          <w:color w:val="auto"/>
        </w:rPr>
        <w:t>Certification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By signing below each of the Reporting Persons certifies that, to the best of such person’s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740"/>
          </w:cols>
          <w:pgMar w:left="440" w:top="266" w:right="719" w:bottom="1440" w:gutter="0" w:footer="0" w:header="0"/>
        </w:sectPr>
      </w:pPr>
    </w:p>
    <w:bookmarkStart w:id="7" w:name="page8"/>
    <w:bookmarkEnd w:id="7"/>
    <w:p>
      <w:pPr>
        <w:jc w:val="center"/>
        <w:ind w:right="-6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Maverick Capital Management, LLC, its General</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Trevor Wiessmann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Trevor Wiessmann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MAVERICK CAPITAL MANAGEMENT,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 S. Ainslie III, Manager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Trevor Wiessmann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Trevor Wiessmann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 S. AINSLIE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Trevor Wiessmann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Trevor Wiessmann</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Under Power of Attorney dated March 15, 2018</w:t>
      </w:r>
    </w:p>
    <w:sectPr>
      <w:pgSz w:w="11900" w:h="16838" w:orient="portrait"/>
      <w:cols w:equalWidth="0" w:num="1">
        <w:col w:w="10320"/>
      </w:cols>
      <w:pgMar w:left="440" w:top="270"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
      <w:numFmt w:val="bullet"/>
      <w:start w:val="1"/>
    </w:lvl>
    <w:lvl w:ilvl="1">
      <w:lvlJc w:val="left"/>
      <w:lvlText w:val=" "/>
      <w:numFmt w:val="bullet"/>
      <w:start w:val="1"/>
    </w:lvl>
  </w:abstractNum>
  <w:abstractNum w:abstractNumId="4">
    <w:nsid w:val="66EF438D"/>
    <w:multiLevelType w:val="hybridMultilevel"/>
    <w:lvl w:ilvl="0">
      <w:lvlJc w:val="left"/>
      <w:lvlText w:val=" "/>
      <w:numFmt w:val="bullet"/>
      <w:start w:val="1"/>
    </w:lvl>
  </w:abstractNum>
  <w:abstractNum w:abstractNumId="5">
    <w:nsid w:val="140E0F76"/>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3352255A"/>
    <w:multiLevelType w:val="hybridMultilevel"/>
    <w:lvl w:ilvl="0">
      <w:lvlJc w:val="left"/>
      <w:lvlText w:val="%1"/>
      <w:numFmt w:val="decimal"/>
      <w:start w:val="10"/>
    </w:lvl>
    <w:lvl w:ilvl="1">
      <w:lvlJc w:val="left"/>
      <w:lvlText w:val=" "/>
      <w:numFmt w:val="bullet"/>
      <w:start w:val="1"/>
    </w:lvl>
  </w:abstractNum>
  <w:abstractNum w:abstractNumId="7">
    <w:nsid w:val="109CF92E"/>
    <w:multiLevelType w:val="hybridMultilevel"/>
    <w:lvl w:ilvl="0">
      <w:lvlJc w:val="left"/>
      <w:lvlText w:val=" "/>
      <w:numFmt w:val="bullet"/>
      <w:start w:val="1"/>
    </w:lvl>
    <w:lvl w:ilvl="1">
      <w:lvlJc w:val="left"/>
      <w:lvlText w:val=" "/>
      <w:numFmt w:val="bullet"/>
      <w:start w:val="1"/>
    </w:lvl>
  </w:abstractNum>
  <w:abstractNum w:abstractNumId="8">
    <w:nsid w:val="DED7263"/>
    <w:multiLevelType w:val="hybridMultilevel"/>
    <w:lvl w:ilvl="0">
      <w:lvlJc w:val="left"/>
      <w:lvlText w:val=" "/>
      <w:numFmt w:val="bullet"/>
      <w:start w:val="1"/>
    </w:lvl>
  </w:abstractNum>
  <w:abstractNum w:abstractNumId="9">
    <w:nsid w:val="7FDCC23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0">
    <w:nsid w:val="1BEFD79F"/>
    <w:multiLevelType w:val="hybridMultilevel"/>
    <w:lvl w:ilvl="0">
      <w:lvlJc w:val="left"/>
      <w:lvlText w:val="%1"/>
      <w:numFmt w:val="decimal"/>
      <w:start w:val="10"/>
    </w:lvl>
    <w:lvl w:ilvl="1">
      <w:lvlJc w:val="left"/>
      <w:lvlText w:val=" "/>
      <w:numFmt w:val="bullet"/>
      <w:start w:val="1"/>
    </w:lvl>
  </w:abstractNum>
  <w:abstractNum w:abstractNumId="11">
    <w:nsid w:val="41A7C4C9"/>
    <w:multiLevelType w:val="hybridMultilevel"/>
    <w:lvl w:ilvl="0">
      <w:lvlJc w:val="left"/>
      <w:lvlText w:val=" "/>
      <w:numFmt w:val="bullet"/>
      <w:start w:val="1"/>
    </w:lvl>
    <w:lvl w:ilvl="1">
      <w:lvlJc w:val="left"/>
      <w:lvlText w:val=" "/>
      <w:numFmt w:val="bullet"/>
      <w:start w:val="1"/>
    </w:lvl>
  </w:abstractNum>
  <w:abstractNum w:abstractNumId="12">
    <w:nsid w:val="6B68079A"/>
    <w:multiLevelType w:val="hybridMultilevel"/>
    <w:lvl w:ilvl="0">
      <w:lvlJc w:val="left"/>
      <w:lvlText w:val=" "/>
      <w:numFmt w:val="bullet"/>
      <w:start w:val="1"/>
    </w:lvl>
  </w:abstractNum>
  <w:abstractNum w:abstractNumId="13">
    <w:nsid w:val="4E6AFB66"/>
    <w:multiLevelType w:val="hybridMultilevel"/>
    <w:lvl w:ilvl="0">
      <w:lvlJc w:val="left"/>
      <w:lvlText w:val="5"/>
      <w:numFmt w:val="bullet"/>
      <w:start w:val="1"/>
    </w:lvl>
  </w:abstractNum>
  <w:abstractNum w:abstractNumId="14">
    <w:nsid w:val="25E45D3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519B500D"/>
    <w:multiLevelType w:val="hybridMultilevel"/>
    <w:lvl w:ilvl="0">
      <w:lvlJc w:val="left"/>
      <w:lvlText w:val="%1"/>
      <w:numFmt w:val="decimal"/>
      <w:start w:val="10"/>
    </w:lvl>
    <w:lvl w:ilvl="1">
      <w:lvlJc w:val="left"/>
      <w:lvlText w:val=" "/>
      <w:numFmt w:val="bullet"/>
      <w:start w:val="1"/>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lowerRoman"/>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2024-11-14T15:54:06Z</dcterms:created>
  <dcterms:modified xsi:type="dcterms:W3CDTF">2024-11-14T15:54:06Z</dcterms:modified>
</cp:coreProperties>
</file>