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18, 2025</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9"/>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7"/>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19"/>
                <w:szCs w:val="19"/>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18, 2025 (the “Closing Date”), Invivyd, Inc. (the “Company”), entered into a Loan and Security Agreement (the “Loan Agreement”), between the Company, as borrower, and Silicon Valley Bank, a Division of First-Citizens Bank &amp; Trust Company, as lender (the “Lender”). The Loan Agreement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 achievement of certain net product revenue milestones and ending on June 30, 2027. The proceeds of the Term Facility may be used for working capital and general business purposes.</w:t>
      </w:r>
    </w:p>
    <w:p>
      <w:pPr>
        <w:spacing w:after="0" w:line="12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loans under the Term Facility (i) are due and payable on March 1, 2029 (the “Maturity Date”) and (ii)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6.00%. Commencing on April 1, 2027 (which date may be extended to April 1, 2028 upon the achievement of certain net product revenue milestones (the “Interest-Only Period Extension”)), the Company is required to repay the principal of the Term Facility in 24 consecutive equal monthly installments (or, in the case of the Interest-Only Period Extension, 12 consecutive equal monthly installments). At maturity, or if earlier prepaid, the Company will also be required to pay a final payment fee equal to 4.50% of the aggregate principal amount of the loans advanced under the Term Facility. The Loan Agreement provides for an unused term loan commitment fee equal to 1.00% of the Term Facility upon the earliest to occur of (1) July 1, 2027, (2) the occurrence of an event of default under the Loan Agreement and (3) the termination of the Loan Agreement; provided, that such fee will be waived by the Lender in the event that the Company has requested and the Lender has funded any loans under the Term Facility prior to such date.</w:t>
      </w:r>
    </w:p>
    <w:p>
      <w:pPr>
        <w:spacing w:after="0" w:line="107"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18"/>
          <w:szCs w:val="18"/>
          <w:color w:val="auto"/>
        </w:rPr>
        <w:t>The Company may make a voluntary prepayment of loans under the Term Facility, in whole but not in part, at any time. All prepayments of the Term Facility (including as a result of the acceleration of the Term Facility following an event of default under the Loan Agreement) are subject to the payment of prepayment premiums as follows: (i) if prepayment occurs on or prior to the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anniversary of the Closing Date, an amount equal to 3.0% of the aggregate outstanding principal amount of the Term Facility being prepaid, (ii) if prepayment occurs after the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anniversary of the Closing Date and on or prior to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anniversary of the Closing Date, 2.0% of the aggregate outstanding principal amount of the Term Facility being prepaid, (iii) if prepayment occurs after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anniversary of the Closing Date and on or prior to the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anniversary of the Closing Date, 1.0% of the aggregate outstanding principal amount of the Term Facility being prepaid and (iv) if prepayment occurs after the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anniversary of the Closing Date, an amount equal to 0.0% of the aggregate outstanding principal amount of the Term Facility being prepaid.</w:t>
      </w:r>
    </w:p>
    <w:p>
      <w:pPr>
        <w:spacing w:after="0" w:line="13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obligations of the Company under the Loan Agreement are secured by a pledge of substantially all of the Company’s assets, excluding intellectual property. Certain of the Company’s future subsidiaries, if any, will be required to become co-borrowers under the Loan Agreement or guarantee the obligations of the Company under the Loan Agreement. In addition, such subsidiaries will be required to pledge substantially all of their assets, excluding intellectual property, to secure the obligations of the Company under the Loan Agreement. None of the Company’s subsidiaries in existence as of the Closing Date were required to be co-borrowers or guarantors or to so pledge their assets.</w:t>
      </w:r>
    </w:p>
    <w:p>
      <w:pPr>
        <w:spacing w:after="0" w:line="1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Loan Agreement contains affirmative and negative covenants customary for financings of this type, including limitations on the Company’s and its subsidiaries’ abilities, among other things, to incur additional debt, grant or permit additional liens, make investments and acquisitions, merge or consolidate with others, dispose of assets, pay dividends and distributions, enter into affiliate transactions and change its line of business, in each case, subject to certain exceptions. In addition, the Loan Agreement contains quarterly financial covenants requiring the Company to maintain (a) commencing at the end of the quarter following the advance of any loans under the Term Facility,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1152525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certain amount of minimum net product revenue and (b) commencing with the quarter ending December 31, 2025 (or, if earlier, commencing at the end of the quarter following the advance of greater than $15 million of loans under the Term Facility), either (i) a certain amount of minimum EBITDA or (ii) minimum unrestricted cash and cash equivalents in an amount equal to or greater than the greater of (x) an amount equal to the sum of the Company’s six-month Cash Burn (as defined in the Loan Agreement) and the aggregate amount of loans outstanding under the Term Facility and (y) the aggregate amount of loans outstanding under the Term Facility multiplied by two (the “Minimum Cash Threshold”). In addition, if the Company no longer maintains active sales of a product in the U.S., it will be required to maintain the Minimum Cash Threshold at all times.</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Loan Agreement also contains representations and warranties of the Company customary for financings of this type. Such representations and warranties (i) are intended not as statements of fact, but rather as a way of allocating the risk between the parties to the Loan Agreement, (ii) have been qualified by reference to confidential disclosures made by the parties in connection with the Loan Agreement and (iii) may apply standards of materiality in a way that is different from what may be viewed as material by stockholders of, or other investors in, the Company. Accordingly, the Loan Agreement is included with this filing only to provide investors with information regarding the terms of the transaction, and not to provide stockholders or other investors with any other factual information regarding the Company. Stockholders should not rely on the representations, warranties and covenants or any descriptions thereof as characterizations of the actual state of facts or condition of the Company or any of its subsidiaries or affiliates. Moreover, information concerning the subject matter of the representations and warranties may change after the date of the Loan Agreement, which subsequent information may or may not be fully reflected in public disclosures.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Loan Agreement also includes events of default customary for financings of this type, in certain cases subject to customary periods to cure, following which the Lender may accelerate all amounts outstanding under the Term Facility.</w:t>
      </w:r>
    </w:p>
    <w:p>
      <w:pPr>
        <w:spacing w:after="0" w:line="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Loan Agreement does not purport to be complete and is qualified in its entirety by reference to the full text of the Loan Agreement, a copy of which is filed as Exhibit 10.1 to this Current Report on Form 8-K and is incorporated by reference into this Item 1.01.</w:t>
      </w:r>
    </w:p>
    <w:p>
      <w:pPr>
        <w:spacing w:after="0" w:line="7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information regarding the transactions contemplated by the Loan Agreement on the Closing Date set forth under Item 1.01 of this Current Report on Form 8-K is incorporated by reference into this Item 2.03.</w:t>
      </w:r>
    </w:p>
    <w:p>
      <w:pPr>
        <w:spacing w:after="0" w:line="7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April 21, 2025, the Company issued a press release announcing entry into the Loan Agreement. A copy of the press release is furnished as Exhibit 99.1 to this Current Report on Form 8-K and is incorporated by reference into this Item 7.01.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4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05"/>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0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4"/>
                <w:szCs w:val="14"/>
                <w:color w:val="auto"/>
              </w:rPr>
            </w:pPr>
          </w:p>
        </w:tc>
        <w:tc>
          <w:tcPr>
            <w:tcW w:w="9880" w:type="dxa"/>
            <w:vAlign w:val="bottom"/>
            <w:tcBorders>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Loan and Security Agreement, dated April 18, 2025, between Invivyd, Inc. and Silicon Valley Bank, a Division of First-Citizens Bank &amp;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Trust Company</w:t>
            </w:r>
          </w:p>
        </w:tc>
        <w:tc>
          <w:tcPr>
            <w:tcW w:w="20" w:type="dxa"/>
            <w:vAlign w:val="bottom"/>
            <w:tcBorders>
              <w:bottom w:val="single" w:sz="8" w:color="0000EE"/>
            </w:tcBorders>
          </w:tcPr>
          <w:p>
            <w:pPr>
              <w:spacing w:after="0"/>
              <w:rPr>
                <w:sz w:val="17"/>
                <w:szCs w:val="17"/>
                <w:color w:val="auto"/>
              </w:rPr>
            </w:pPr>
          </w:p>
        </w:tc>
        <w:tc>
          <w:tcPr>
            <w:tcW w:w="87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17"/>
                <w:szCs w:val="17"/>
                <w:color w:val="auto"/>
              </w:rPr>
            </w:pPr>
          </w:p>
        </w:tc>
        <w:tc>
          <w:tcPr>
            <w:tcW w:w="25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April 21, 2025</w:t>
            </w:r>
          </w:p>
        </w:tc>
        <w:tc>
          <w:tcPr>
            <w:tcW w:w="20" w:type="dxa"/>
            <w:vAlign w:val="bottom"/>
            <w:tcBorders>
              <w:bottom w:val="single" w:sz="8" w:color="0000EE"/>
            </w:tcBorders>
          </w:tcPr>
          <w:p>
            <w:pPr>
              <w:spacing w:after="0"/>
              <w:rPr>
                <w:sz w:val="17"/>
                <w:szCs w:val="17"/>
                <w:color w:val="auto"/>
              </w:rPr>
            </w:pPr>
          </w:p>
        </w:tc>
        <w:tc>
          <w:tcPr>
            <w:tcW w:w="7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340" w:hanging="1319"/>
        <w:spacing w:after="0"/>
        <w:tabs>
          <w:tab w:leader="none" w:pos="13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asterisks) have been omitted pursuant to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1179195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21, 2025</w:t>
            </w:r>
          </w:p>
        </w:tc>
        <w:tc>
          <w:tcPr>
            <w:tcW w:w="77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5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072"/>
        </w:trPr>
        <w:tc>
          <w:tcPr>
            <w:tcW w:w="35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CERTAIN CONFIDENTIAL INFORMATION IN THIS DOCUMENT, MARKED BY “[***]”, HAS BEEN OMITTED BECAUSE IT IS BOTH</w:t>
      </w:r>
    </w:p>
    <w:p>
      <w:pPr>
        <w:spacing w:after="0" w:line="31" w:lineRule="exact"/>
        <w:rPr>
          <w:sz w:val="20"/>
          <w:szCs w:val="20"/>
          <w:color w:val="auto"/>
        </w:rPr>
      </w:pPr>
    </w:p>
    <w:p>
      <w:pPr>
        <w:jc w:val="center"/>
        <w:ind w:left="4040" w:right="880" w:hanging="3155"/>
        <w:spacing w:after="0" w:line="487" w:lineRule="auto"/>
        <w:tabs>
          <w:tab w:leader="none" w:pos="111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 MATERIAL AND (II) IS THE TYPE THAT THE REGISTRANT TREATS AS PRIVATE OR CONFIDENTIAL. LOAN AND SECURITY AGREEMENT</w:t>
      </w:r>
    </w:p>
    <w:p>
      <w:pPr>
        <w:spacing w:after="0" w:line="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LOAN AND SECURITY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the Effective Date between</w:t>
      </w:r>
      <w:r>
        <w:rPr>
          <w:rFonts w:ascii="Times New Roman" w:cs="Times New Roman" w:eastAsia="Times New Roman" w:hAnsi="Times New Roman"/>
          <w:sz w:val="18"/>
          <w:szCs w:val="18"/>
          <w:b w:val="1"/>
          <w:bCs w:val="1"/>
          <w:color w:val="auto"/>
        </w:rPr>
        <w:t xml:space="preserve"> SILICON VALLEY BANK, A DIVISION OF FIRST-CITIZENS BANK &amp; TRUST COMPANY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INVIVYD,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71" w:lineRule="exact"/>
        <w:rPr>
          <w:sz w:val="20"/>
          <w:szCs w:val="20"/>
          <w:color w:val="auto"/>
        </w:rPr>
      </w:pPr>
    </w:p>
    <w:p>
      <w:pPr>
        <w:ind w:left="760" w:right="7320" w:hanging="3"/>
        <w:spacing w:after="0" w:line="503" w:lineRule="auto"/>
        <w:tabs>
          <w:tab w:leader="none" w:pos="102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LOAN AND TERMS OF PAYMENT </w:t>
      </w:r>
      <w:r>
        <w:rPr>
          <w:rFonts w:ascii="Times New Roman" w:cs="Times New Roman" w:eastAsia="Times New Roman" w:hAnsi="Times New Roman"/>
          <w:sz w:val="18"/>
          <w:szCs w:val="18"/>
          <w:b w:val="1"/>
          <w:bCs w:val="1"/>
          <w:color w:val="auto"/>
        </w:rPr>
        <w:t>1.1 Term Loan.</w:t>
      </w:r>
    </w:p>
    <w:p>
      <w:pPr>
        <w:jc w:val="both"/>
        <w:ind w:firstLine="1505"/>
        <w:spacing w:after="0" w:line="254" w:lineRule="auto"/>
        <w:tabs>
          <w:tab w:leader="none" w:pos="20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Subject to the terms and conditions of this Agreement, upon Borrower’s request, during Draw Period A, Bank shall make term loan advances in an aggregate principal amount not to exceed the Term A Loan Availability Amount (each, a “</w:t>
      </w:r>
      <w:r>
        <w:rPr>
          <w:rFonts w:ascii="Times New Roman" w:cs="Times New Roman" w:eastAsia="Times New Roman" w:hAnsi="Times New Roman"/>
          <w:sz w:val="18"/>
          <w:szCs w:val="18"/>
          <w:b w:val="1"/>
          <w:bCs w:val="1"/>
          <w:color w:val="auto"/>
        </w:rPr>
        <w:t>Term A Loan Advance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Term A Loan Advances</w:t>
      </w:r>
      <w:r>
        <w:rPr>
          <w:rFonts w:ascii="Times New Roman" w:cs="Times New Roman" w:eastAsia="Times New Roman" w:hAnsi="Times New Roman"/>
          <w:sz w:val="18"/>
          <w:szCs w:val="18"/>
          <w:color w:val="auto"/>
        </w:rPr>
        <w:t>”). Subject to the terms and conditions of this Agreement, upon Borrower’s request, during Draw Period B, Bank shall make term loan advances in an aggregate principal amount not to exceed the Term B Loan Availability Amount (each, a “</w:t>
      </w:r>
      <w:r>
        <w:rPr>
          <w:rFonts w:ascii="Times New Roman" w:cs="Times New Roman" w:eastAsia="Times New Roman" w:hAnsi="Times New Roman"/>
          <w:sz w:val="18"/>
          <w:szCs w:val="18"/>
          <w:b w:val="1"/>
          <w:bCs w:val="1"/>
          <w:color w:val="auto"/>
        </w:rPr>
        <w:t>Term B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Advance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Term B Loan Advances</w:t>
      </w:r>
      <w:r>
        <w:rPr>
          <w:rFonts w:ascii="Times New Roman" w:cs="Times New Roman" w:eastAsia="Times New Roman" w:hAnsi="Times New Roman"/>
          <w:sz w:val="18"/>
          <w:szCs w:val="18"/>
          <w:color w:val="auto"/>
        </w:rPr>
        <w:t>”). Subject to the terms and conditions of this Agreement, upon Borrower’s request, during Draw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C, Bank shall make term loan advances in an aggregate principal amount not to exceed the Term C Loan Availability Amount (each, a “</w:t>
      </w:r>
      <w:r>
        <w:rPr>
          <w:rFonts w:ascii="Times New Roman" w:cs="Times New Roman" w:eastAsia="Times New Roman" w:hAnsi="Times New Roman"/>
          <w:sz w:val="18"/>
          <w:szCs w:val="18"/>
          <w:b w:val="1"/>
          <w:bCs w:val="1"/>
          <w:color w:val="auto"/>
        </w:rPr>
        <w:t>Term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 Advance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Term C Loan Advances</w:t>
      </w:r>
      <w:r>
        <w:rPr>
          <w:rFonts w:ascii="Times New Roman" w:cs="Times New Roman" w:eastAsia="Times New Roman" w:hAnsi="Times New Roman"/>
          <w:sz w:val="18"/>
          <w:szCs w:val="18"/>
          <w:color w:val="auto"/>
        </w:rPr>
        <w:t>”). The Term A Loan Advances, Term B Loan Advances and Term C Loan Advances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referred to herein as a “</w:t>
      </w:r>
      <w:r>
        <w:rPr>
          <w:rFonts w:ascii="Times New Roman" w:cs="Times New Roman" w:eastAsia="Times New Roman" w:hAnsi="Times New Roman"/>
          <w:sz w:val="18"/>
          <w:szCs w:val="18"/>
          <w:b w:val="1"/>
          <w:bCs w:val="1"/>
          <w:color w:val="auto"/>
        </w:rPr>
        <w:t>Term Loan Advance</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Loan Advances</w:t>
      </w:r>
      <w:r>
        <w:rPr>
          <w:rFonts w:ascii="Times New Roman" w:cs="Times New Roman" w:eastAsia="Times New Roman" w:hAnsi="Times New Roman"/>
          <w:sz w:val="18"/>
          <w:szCs w:val="18"/>
          <w:color w:val="auto"/>
        </w:rPr>
        <w:t>”. Borrower may request Term Loan Advances as set forth on Schedule I hereto.</w:t>
      </w:r>
    </w:p>
    <w:p>
      <w:pPr>
        <w:spacing w:after="0" w:line="188"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Borrower shall repay each Term Loan Advance as set forth in Schedule I hereto. All outstanding principal and accrued and unpaid interest under each Term Loan Advance, and all other outstanding Obligations with respect to such Term Loan Advance, are due and payable in full on the Term Loan Maturity Date.</w:t>
      </w:r>
    </w:p>
    <w:p>
      <w:pPr>
        <w:spacing w:after="0" w:line="175"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Prepayment</w:t>
      </w:r>
      <w:r>
        <w:rPr>
          <w:rFonts w:ascii="Times New Roman" w:cs="Times New Roman" w:eastAsia="Times New Roman" w:hAnsi="Times New Roman"/>
          <w:sz w:val="18"/>
          <w:szCs w:val="18"/>
          <w:color w:val="auto"/>
        </w:rPr>
        <w:t>. Borrower shall have the option to prepay all, but not less than all, of the Term Loan Advances, provided Borrower (i) delivers written notice to Bank of its election to prepay the Term Loan Advances at least five (5) Business Days prior to such prepayment (provided, that such written notice may state that it is conditioned upon the effectiveness of other credit facilities or other transactions, in which case such notice may be revoked by the Borrower (by written notice to Bank on or prior to the specified effective date) if such condition is not satisfied), and (ii) pays, on the date of such prepayment (A) the outstanding principal plus accrued and unpaid interest with respect to the Term Loan Advances, (B) the Prepayment Fee, (C) the Final Payment and (D) all other sums, if any, that shall have become due and payable with respect to the Term Loan Advances, including interest at the Default Rate with respect to any past due amounts.</w:t>
      </w:r>
    </w:p>
    <w:p>
      <w:pPr>
        <w:spacing w:after="0" w:line="188"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 Upon an Acceleration</w:t>
      </w:r>
      <w:r>
        <w:rPr>
          <w:rFonts w:ascii="Times New Roman" w:cs="Times New Roman" w:eastAsia="Times New Roman" w:hAnsi="Times New Roman"/>
          <w:sz w:val="18"/>
          <w:szCs w:val="18"/>
          <w:color w:val="auto"/>
        </w:rPr>
        <w:t>. If the Term Loan Advances are accelerated by Bank following the occurrence and during the continuance of an Event of Default, Borrower shall immediately pay to Bank an amount equal to the sum of (i) all outstanding principal plus accrued and unpaid interest with respect to the Term Loan Advances, (ii) the Prepayment Fee, (iii) the Final Payment, (iv) the Unused Term Loan Commitment Fee and (v) all other sums, if any, that shall have become due and payable with respect to the Term Loan Advances, including interest at the Default Rate with respect to any past due amounts.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1.2 Payment of Interest on the Credit Extensions.</w:t>
      </w:r>
    </w:p>
    <w:p>
      <w:pPr>
        <w:spacing w:after="0" w:line="229" w:lineRule="exact"/>
        <w:rPr>
          <w:sz w:val="20"/>
          <w:szCs w:val="20"/>
          <w:color w:val="auto"/>
        </w:rPr>
      </w:pPr>
    </w:p>
    <w:p>
      <w:pPr>
        <w:ind w:left="2040" w:hanging="535"/>
        <w:spacing w:after="0"/>
        <w:tabs>
          <w:tab w:leader="none" w:pos="2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Payments</w:t>
      </w:r>
      <w:r>
        <w:rPr>
          <w:rFonts w:ascii="Times New Roman" w:cs="Times New Roman" w:eastAsia="Times New Roman" w:hAnsi="Times New Roman"/>
          <w:sz w:val="18"/>
          <w:szCs w:val="18"/>
          <w:color w:val="auto"/>
        </w:rPr>
        <w:t>. Interest on the principal amount of each Term Loan Advance is payable as set forth on Schedule I hereto.</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2260" w:firstLine="743"/>
        <w:spacing w:after="0" w:line="282" w:lineRule="auto"/>
        <w:tabs>
          <w:tab w:leader="none" w:pos="35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Advances</w:t>
      </w:r>
      <w:r>
        <w:rPr>
          <w:rFonts w:ascii="Times New Roman" w:cs="Times New Roman" w:eastAsia="Times New Roman" w:hAnsi="Times New Roman"/>
          <w:sz w:val="18"/>
          <w:szCs w:val="18"/>
          <w:color w:val="auto"/>
        </w:rPr>
        <w:t>. Subject to Section 1.2(c), the outstanding principal amount of any Term Loan Advance shall accrue interest as set forth on Schedule I hereto.</w:t>
      </w:r>
    </w:p>
    <w:p>
      <w:pPr>
        <w:spacing w:after="0" w:line="161" w:lineRule="exact"/>
        <w:rPr>
          <w:rFonts w:ascii="Times New Roman" w:cs="Times New Roman" w:eastAsia="Times New Roman" w:hAnsi="Times New Roman"/>
          <w:sz w:val="18"/>
          <w:szCs w:val="18"/>
          <w:color w:val="auto"/>
        </w:rPr>
      </w:pPr>
    </w:p>
    <w:p>
      <w:pPr>
        <w:jc w:val="both"/>
        <w:ind w:left="2260" w:firstLine="743"/>
        <w:spacing w:after="0" w:line="266" w:lineRule="auto"/>
        <w:tabs>
          <w:tab w:leader="none" w:pos="35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All-In Rate</w:t>
      </w:r>
      <w:r>
        <w:rPr>
          <w:rFonts w:ascii="Times New Roman" w:cs="Times New Roman" w:eastAsia="Times New Roman" w:hAnsi="Times New Roman"/>
          <w:sz w:val="18"/>
          <w:szCs w:val="18"/>
          <w:color w:val="auto"/>
        </w:rPr>
        <w:t>. Notwithstanding any terms in this Agreement to the contrary, if at any time the interest rate applicable to any Obligations is less than zero percent (0.0%), such interest rate shall be deemed to be zero percent (0.0%) for all purposes of this Agreement.</w:t>
      </w:r>
    </w:p>
    <w:p>
      <w:pPr>
        <w:spacing w:after="0" w:line="175"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Immediately upon the occurrence and during the continuance of an Event of Default, the outstanding Obligations shall bear interest at a rate per annum which is three percent (3.0%) above the rate that is otherwise applicable thereto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unless Bank otherwise elects, in its sole discretion, to impose a lesser increase or no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1.2(c) is not a permitted alternative to timely payment and shall not constitute a waiver of any Event of Default or otherwise prejudice or limit any rights or remedies of Bank.</w:t>
      </w:r>
    </w:p>
    <w:p>
      <w:pPr>
        <w:spacing w:after="0" w:line="187"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Interest Rate</w:t>
      </w:r>
      <w:r>
        <w:rPr>
          <w:rFonts w:ascii="Times New Roman" w:cs="Times New Roman" w:eastAsia="Times New Roman" w:hAnsi="Times New Roman"/>
          <w:sz w:val="18"/>
          <w:szCs w:val="18"/>
          <w:color w:val="auto"/>
        </w:rPr>
        <w:t>. Each change in the interest rate applicable to any amounts payable under the Loan Documents based on changes to the Prime Rate shall be effective on the effective date of any change to the Prime Rate and to the extent of such change.</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Computation</w:t>
      </w:r>
      <w:r>
        <w:rPr>
          <w:rFonts w:ascii="Times New Roman" w:cs="Times New Roman" w:eastAsia="Times New Roman" w:hAnsi="Times New Roman"/>
          <w:sz w:val="18"/>
          <w:szCs w:val="18"/>
          <w:color w:val="auto"/>
        </w:rPr>
        <w:t>. Interest shall be computed as set forth on Schedule I hereto. In computing interest,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1.3 Fees. </w:t>
      </w:r>
      <w:r>
        <w:rPr>
          <w:rFonts w:ascii="Times New Roman" w:cs="Times New Roman" w:eastAsia="Times New Roman" w:hAnsi="Times New Roman"/>
          <w:sz w:val="18"/>
          <w:szCs w:val="18"/>
          <w:color w:val="auto"/>
        </w:rPr>
        <w:t>Borrower shall pay to Bank:</w:t>
      </w:r>
    </w:p>
    <w:p>
      <w:pPr>
        <w:spacing w:after="0" w:line="229" w:lineRule="exact"/>
        <w:rPr>
          <w:sz w:val="20"/>
          <w:szCs w:val="20"/>
          <w:color w:val="auto"/>
        </w:rPr>
      </w:pPr>
    </w:p>
    <w:p>
      <w:pPr>
        <w:ind w:left="2040" w:hanging="535"/>
        <w:spacing w:after="0"/>
        <w:tabs>
          <w:tab w:leader="none" w:pos="2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Payment</w:t>
      </w:r>
      <w:r>
        <w:rPr>
          <w:rFonts w:ascii="Times New Roman" w:cs="Times New Roman" w:eastAsia="Times New Roman" w:hAnsi="Times New Roman"/>
          <w:sz w:val="18"/>
          <w:szCs w:val="18"/>
          <w:color w:val="auto"/>
        </w:rPr>
        <w:t>. The Final Payment, when due hereunder, which shall be fully earned and non-refundable as of such date;</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Fee</w:t>
      </w:r>
      <w:r>
        <w:rPr>
          <w:rFonts w:ascii="Times New Roman" w:cs="Times New Roman" w:eastAsia="Times New Roman" w:hAnsi="Times New Roman"/>
          <w:sz w:val="18"/>
          <w:szCs w:val="18"/>
          <w:color w:val="auto"/>
        </w:rPr>
        <w:t>. The Prepayment Fee, when due hereunder, which shall be fully earned and non-refundable as of such date;</w:t>
      </w:r>
    </w:p>
    <w:p>
      <w:pPr>
        <w:spacing w:after="0" w:line="225"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Unused Term Loan Commitment Fee</w:t>
      </w:r>
      <w:r>
        <w:rPr>
          <w:rFonts w:ascii="Times New Roman" w:cs="Times New Roman" w:eastAsia="Times New Roman" w:hAnsi="Times New Roman"/>
          <w:sz w:val="18"/>
          <w:szCs w:val="18"/>
          <w:color w:val="auto"/>
        </w:rPr>
        <w:t>. The Unused Term Loan Commitment Fee, when due hereunder, which shall be fully earned and non-refundable as of such date; and</w:t>
      </w:r>
    </w:p>
    <w:p>
      <w:pPr>
        <w:spacing w:after="0" w:line="161"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Expenses</w:t>
      </w:r>
      <w:r>
        <w:rPr>
          <w:rFonts w:ascii="Times New Roman" w:cs="Times New Roman" w:eastAsia="Times New Roman" w:hAnsi="Times New Roman"/>
          <w:sz w:val="18"/>
          <w:szCs w:val="18"/>
          <w:color w:val="auto"/>
        </w:rPr>
        <w:t>. All Bank Expenses incurred through and after the Effective Date, when due (or, if no stated due date, promptly upon demand by Bank).</w:t>
      </w:r>
    </w:p>
    <w:p>
      <w:pPr>
        <w:spacing w:after="0" w:line="162"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1.3 pursuant to the terms of Section 1.4(c). Bank shall provide Borrower written notice of deductions made pursuant to the terms of the clauses of this Section 1.3.</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1.4 Payments; Application of Payments; Debit of Accounts.</w:t>
      </w:r>
    </w:p>
    <w:p>
      <w:pPr>
        <w:spacing w:after="0" w:line="229" w:lineRule="exact"/>
        <w:rPr>
          <w:sz w:val="20"/>
          <w:szCs w:val="20"/>
          <w:color w:val="auto"/>
        </w:rPr>
      </w:pPr>
    </w:p>
    <w:p>
      <w:pPr>
        <w:jc w:val="both"/>
        <w:ind w:firstLine="1505"/>
        <w:spacing w:after="0" w:line="258" w:lineRule="auto"/>
        <w:tabs>
          <w:tab w:leader="none" w:pos="20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(including prepayments) to be made by Borrower under any Loan Document shall be made in immediately available funds in Dollars, without setoff, counterclaim, or deduction,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83"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has the exclusive right to determine the order and manner in which all payments with respect to the Obligations may be applied. Borrower shall have no right to specify the order or the accounts to which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ind w:right="20"/>
        <w:spacing w:after="0" w:line="282" w:lineRule="auto"/>
        <w:rPr>
          <w:sz w:val="20"/>
          <w:szCs w:val="20"/>
          <w:color w:val="auto"/>
        </w:rPr>
      </w:pPr>
      <w:r>
        <w:rPr>
          <w:rFonts w:ascii="Times New Roman" w:cs="Times New Roman" w:eastAsia="Times New Roman" w:hAnsi="Times New Roman"/>
          <w:sz w:val="18"/>
          <w:szCs w:val="18"/>
          <w:color w:val="auto"/>
        </w:rPr>
        <w:t>Bank shall allocate or apply any payments required to be made by Borrower to Bank or otherwise received by Bank under this Agreement when any such allocation or application is not specified elsewhere in this Agreement.</w:t>
      </w:r>
    </w:p>
    <w:p>
      <w:pPr>
        <w:spacing w:after="0" w:line="162" w:lineRule="exact"/>
        <w:rPr>
          <w:sz w:val="20"/>
          <w:szCs w:val="20"/>
          <w:color w:val="auto"/>
        </w:rPr>
      </w:pPr>
    </w:p>
    <w:p>
      <w:pPr>
        <w:jc w:val="both"/>
        <w:ind w:firstLine="1505"/>
        <w:spacing w:after="0" w:line="275" w:lineRule="auto"/>
        <w:tabs>
          <w:tab w:leader="none" w:pos="20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may debit any of Borrower’s deposit accounts maintained with Bank, including the Designated Deposit Account, for principal and interest payments or any other amounts Borrower owes Bank when due under the Loan Documents. These debits shall not constitute a set-off.</w:t>
      </w:r>
    </w:p>
    <w:p>
      <w:pPr>
        <w:spacing w:after="0" w:line="3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1.5 Change in Circumstances.</w:t>
      </w:r>
    </w:p>
    <w:p>
      <w:pPr>
        <w:spacing w:after="0" w:line="229" w:lineRule="exact"/>
        <w:rPr>
          <w:sz w:val="20"/>
          <w:szCs w:val="20"/>
          <w:color w:val="auto"/>
        </w:rPr>
      </w:pPr>
    </w:p>
    <w:p>
      <w:pPr>
        <w:jc w:val="both"/>
        <w:ind w:firstLine="1505"/>
        <w:spacing w:after="0" w:line="254" w:lineRule="auto"/>
        <w:tabs>
          <w:tab w:leader="none" w:pos="20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If any Change in Law shall: (i) impose, modify or deem applicable any reserve, special deposit, compulsory loan, insurance charge or similar requirement against assets of, deposits with or for the account of, or advances, loans or other credit extended or participated in by, Bank, (ii) subject Bank to any Taxes (other than (A) Indemnified Taxes, (B) Taxes described in clauses (b) through (d) of the definition of Excluded Taxes, and (C) Connection Income Taxes) on its loans, loan principal, letters of credit, commitment, or other obligations, or its deposits, reserves, other liabilities or capital attributable thereto, or (iii) impose on Bank any other condition, cost or expense (other than Taxes) affecting this Agreement or Credit Extensions made by Bank, and the result of any of the foregoing shall be to increase the cost to Bank of making, converting to, continuing or maintaining any Credit Extension (or of maintaining its obligation to make any such Credit Extension), or to reduce the amount of any sum received or receivable by Bank hereunder (whether of principal, interest or any other amount) then, upon written request of Bank, Borrower shall promptly pay to Bank such additional amount or amounts as will compensate Bank for such additional costs incurred or reduction suffered.</w:t>
      </w:r>
    </w:p>
    <w:p>
      <w:pPr>
        <w:spacing w:after="0" w:line="188"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Bank determines that any Change in Law affecting Bank regarding capital or liquidity requirements, has or would have the effect of reducing the rate of return on Bank’s capital as a consequence of this Agreement, any term loan facility, or the Credit Extensions made by Bank to a level below that which Bank could have achieved but for such Change in Law (taking into consideration Bank’s policies with respect to capital adequacy and liquidity), then from time to time upon written request of Bank, Borrower shall promptly pay to Bank such additional amount or amounts as will compensate Bank for any such reduction suffered.</w:t>
      </w:r>
    </w:p>
    <w:p>
      <w:pPr>
        <w:spacing w:after="0" w:line="183"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Failure or delay on the part of Bank to demand compensation pursuant to this Section 1.5 shall not constitute a waiver of Bank’s right to demand such compensation; provided that Borrower shall not be required to compensate Bank pursuant to subsection</w:t>
      </w:r>
    </w:p>
    <w:p>
      <w:pPr>
        <w:jc w:val="both"/>
        <w:ind w:firstLine="8"/>
        <w:spacing w:after="0" w:line="255"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increased costs incurred or reductions suffered more than nine (9) months prior to the date that Bank notifies Borrower of the Change in Law giving rise to such increased costs or reductions and of Bank’s intention to claim compensation therefor (except that if the Change in Law giving rise to such increased costs or reductions is retroactive, then the nine (9) month period shall be extended to include the period of retroactive effect).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 Taxes.</w:t>
      </w:r>
    </w:p>
    <w:p>
      <w:pPr>
        <w:spacing w:after="0" w:line="229" w:lineRule="exact"/>
        <w:rPr>
          <w:sz w:val="20"/>
          <w:szCs w:val="20"/>
          <w:color w:val="auto"/>
        </w:rPr>
      </w:pPr>
    </w:p>
    <w:p>
      <w:pPr>
        <w:jc w:val="both"/>
        <w:ind w:firstLine="1505"/>
        <w:spacing w:after="0" w:line="255" w:lineRule="auto"/>
        <w:tabs>
          <w:tab w:leader="none" w:pos="20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Borrower under any Loan Document shall be made without deduction or withholding for any Taxes, except as required by Applicable Law. If any Applicable Law (as determined in the good faith discretion of Borrower) requires the deduction or withholding of any Tax from any such payment by Borrower, then (i)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 under this Section 1.6) Bank receives an amount equal to the sum it would have received had no such deduction or withholding been made.</w:t>
      </w:r>
    </w:p>
    <w:p>
      <w:pPr>
        <w:spacing w:after="0" w:line="188"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Borrower</w:t>
      </w:r>
      <w:r>
        <w:rPr>
          <w:rFonts w:ascii="Times New Roman" w:cs="Times New Roman" w:eastAsia="Times New Roman" w:hAnsi="Times New Roman"/>
          <w:sz w:val="18"/>
          <w:szCs w:val="18"/>
          <w:color w:val="auto"/>
        </w:rPr>
        <w:t>. Without limiting the provisions of subsection (a) above, Borrower shall timely pay any Other Taxes to the relevant Governmental Authority in accordance with Applicable Law.</w:t>
      </w:r>
    </w:p>
    <w:p>
      <w:pPr>
        <w:spacing w:after="0" w:line="161"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w:t>
      </w:r>
      <w:r>
        <w:rPr>
          <w:rFonts w:ascii="Times New Roman" w:cs="Times New Roman" w:eastAsia="Times New Roman" w:hAnsi="Times New Roman"/>
          <w:sz w:val="18"/>
          <w:szCs w:val="18"/>
          <w:color w:val="auto"/>
        </w:rPr>
        <w:t>. Without limiting the provisions of subsections (a) and (b) above, Borrower shall, and does hereby, indemnify Bank, within ten (10) days after demand therefor, for the full amount of any Indemnified Taxes (including Indemnified Taxes imposed or asserted on or attributable to amounts payable under this Section 1.6) payable or paid by Bank or required to be withheld or deducted from a payment to Bank and any reasonable expenses arising therefrom or with respect thereto, whether or not such Indemnified Taxes were correctly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ind w:right="20"/>
        <w:spacing w:after="0" w:line="282" w:lineRule="auto"/>
        <w:rPr>
          <w:sz w:val="20"/>
          <w:szCs w:val="20"/>
          <w:color w:val="auto"/>
        </w:rPr>
      </w:pPr>
      <w:r>
        <w:rPr>
          <w:rFonts w:ascii="Times New Roman" w:cs="Times New Roman" w:eastAsia="Times New Roman" w:hAnsi="Times New Roman"/>
          <w:sz w:val="18"/>
          <w:szCs w:val="18"/>
          <w:color w:val="auto"/>
        </w:rPr>
        <w:t>or legally imposed or asserted by the relevant Governmental Authority. A certificate as to the amount of such payment or liability delivered to Borrower by Bank shall be conclusive absent manifest error.</w:t>
      </w:r>
    </w:p>
    <w:p>
      <w:pPr>
        <w:spacing w:after="0" w:line="162" w:lineRule="exact"/>
        <w:rPr>
          <w:sz w:val="20"/>
          <w:szCs w:val="20"/>
          <w:color w:val="auto"/>
        </w:rPr>
      </w:pPr>
    </w:p>
    <w:p>
      <w:pPr>
        <w:jc w:val="both"/>
        <w:ind w:firstLine="1505"/>
        <w:spacing w:after="0" w:line="266" w:lineRule="auto"/>
        <w:tabs>
          <w:tab w:leader="none" w:pos="20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Taxes by Borrower to a Governmental Authority pursuant to this Section 1.6, Borrower shall deliver to Bank a certified copy of a receipt issued by such Governmental Authority evidencing such payment, a copy of the return reporting such payment or other evidence of such payment reasonably satisfactory to Bank.</w:t>
      </w:r>
    </w:p>
    <w:p>
      <w:pPr>
        <w:spacing w:after="0" w:line="175" w:lineRule="exact"/>
        <w:rPr>
          <w:rFonts w:ascii="Times New Roman" w:cs="Times New Roman" w:eastAsia="Times New Roman" w:hAnsi="Times New Roman"/>
          <w:sz w:val="18"/>
          <w:szCs w:val="18"/>
          <w:color w:val="auto"/>
        </w:rPr>
      </w:pPr>
    </w:p>
    <w:p>
      <w:pPr>
        <w:jc w:val="both"/>
        <w:ind w:firstLine="1505"/>
        <w:spacing w:after="0" w:line="252" w:lineRule="auto"/>
        <w:tabs>
          <w:tab w:leader="none" w:pos="20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Bank</w:t>
      </w:r>
      <w:r>
        <w:rPr>
          <w:rFonts w:ascii="Times New Roman" w:cs="Times New Roman" w:eastAsia="Times New Roman" w:hAnsi="Times New Roman"/>
          <w:sz w:val="18"/>
          <w:szCs w:val="18"/>
          <w:color w:val="auto"/>
        </w:rPr>
        <w:t>. If Bank (including any assignee or successor) is entitled to an exemption from or reduction of withholding tax with respect to payments made under any Loan Document, it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Without limiting the generality of the foregoing, Bank shall deliver whichever of IRS Form W-9, IRS Form W-8BEN-E, IRS Form W-8ECI or W-8IMY is applicable, as well as any applicable supporting documentation or certifications. If a payment made to Bank under any Loan Document would be subject to U.S. federal withholding Tax imposed by FATCA if Bank were to fail to comply with the applicable reporting requirements of FATCA (including those contained in Section 1471(b) or 1472(b) of the Internal Revenue Code, as applicable), Bank shall deliver to Borrower at the time or times prescribed by law and at such time or times reasonably requested by Borrower such documentation prescribed by Applicable Law (including as prescribed by Section 1471(b)(3)(C)(i) of the Internal Revenue Code) and such additional documentation reasonably requested by Borrower as may be necessary for Borrower to comply with its obligations under FATCA and to determine that Bank has complied with Bank’s obligations under FATCA or to determine the amount, if any, to deduct and withhold from such payment. Solely for purposes of the preceding sentence, “FATCA” shall include any amendments made to FATCA after the date of this Agreement.</w:t>
      </w:r>
    </w:p>
    <w:p>
      <w:pPr>
        <w:spacing w:after="0" w:line="197" w:lineRule="exact"/>
        <w:rPr>
          <w:rFonts w:ascii="Times New Roman" w:cs="Times New Roman" w:eastAsia="Times New Roman" w:hAnsi="Times New Roman"/>
          <w:sz w:val="18"/>
          <w:szCs w:val="18"/>
          <w:color w:val="auto"/>
        </w:rPr>
      </w:pPr>
    </w:p>
    <w:p>
      <w:pPr>
        <w:jc w:val="both"/>
        <w:ind w:firstLine="1505"/>
        <w:spacing w:after="0" w:line="253" w:lineRule="auto"/>
        <w:tabs>
          <w:tab w:leader="none" w:pos="20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Bank determines, in its sole discretion exercised in good faith, that it has received a refund of any Taxes as to which it has been indemnified pursuant to this Section (including by the payment of additional amounts pursuant to this Section), it shall pay to Borrower an amount equal to such refund (but only to the extent of indemnity payments made under this Section with respect to the Taxes giving rise to such refund), net of all out-of-pocket expenses (including Taxes) of Bank and without interest (other than any interest paid by the relevant Governmental Authority with respect to such refund). Borrower, upon the request of Bank, shall repay to Bank the amount paid over pursuant to this paragraph (f) (plus any penalties, interest or other charges imposed by the relevant Governmental Authority) in the event that Bank is required to repay such refund to such Governmental Authority. Notwithstanding anything to the contrary in this paragraph (f), in no event will Bank be required to pay any amount to Borrower pursuant to this paragraph (f) the payment of which would place Bank in a less favorable net after-Tax position than Bank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Bank to make available its Tax returns (or any other information relating to its Taxes that it deems confidential) to Borrower or any other Person.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1.7 Procedures for Borrowing.</w:t>
      </w:r>
    </w:p>
    <w:p>
      <w:pPr>
        <w:spacing w:after="0" w:line="229" w:lineRule="exact"/>
        <w:rPr>
          <w:sz w:val="20"/>
          <w:szCs w:val="20"/>
          <w:color w:val="auto"/>
        </w:rPr>
      </w:pPr>
    </w:p>
    <w:p>
      <w:pPr>
        <w:jc w:val="both"/>
        <w:ind w:firstLine="1505"/>
        <w:spacing w:after="0" w:line="253" w:lineRule="auto"/>
        <w:tabs>
          <w:tab w:leader="none" w:pos="20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satisfaction of all other applicable conditions to the making of a Term Loan Advance set forth in this Agreement (which must be satisfied no later than 12:00 p.m. Pacific time on the applicable Funding Date), to obtain a Term Loan Advance, Borrower shall notify Bank (which notice shall be irrevocable) by 12:00 p.m. Pacific time at least two (2) Business Days prior to the Funding Date of the Term Loan Advance. Such notice shall be made through Bank’s online banking platform by an individual duly authorized by an Administrator, by electronic mail or by telephone. In connection with any such notification, Borrower shall deliver to Bank by electronic mail or through Bank’s online banking platform a completed Payment/Advance Form executed by an Authorized Signer and such other reports and information as Bank may reasonably request. Such Payment/Advance Form and other information (if any) must be received by Bank prior to 12:00 p.m. Pacific time on the requested Funding Date. Bank shall have determined to its satisfaction that any notice of or request for Term Loan Advances has been duly authorized by Borrower. Bank may rely on any notice given by a person whom Bank believes is an Authorized Signer. Borrower will indemnify Bank for any loss Bank suffers due to such belief or reliance.</w:t>
      </w:r>
    </w:p>
    <w:p>
      <w:pPr>
        <w:spacing w:after="0" w:line="194"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shall credit proceeds of a Credit Extension to the Designated Deposit Account. Bank may make Term Loan Advances under this Agreement based on instructions from an Authorized Signer or without instructions if such Term Loan Advances are necessary to meet Obligations which have become due.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ind w:left="1020" w:hanging="263"/>
        <w:spacing w:after="0"/>
        <w:tabs>
          <w:tab w:leader="none" w:pos="10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OF CREDIT EXTENSIONS</w:t>
      </w:r>
    </w:p>
    <w:p>
      <w:pPr>
        <w:spacing w:after="0" w:line="225"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 Conditions Precedent to Initial Credit Extension. </w:t>
      </w:r>
      <w:r>
        <w:rPr>
          <w:rFonts w:ascii="Times New Roman" w:cs="Times New Roman" w:eastAsia="Times New Roman" w:hAnsi="Times New Roman"/>
          <w:sz w:val="18"/>
          <w:szCs w:val="18"/>
          <w:color w:val="auto"/>
        </w:rPr>
        <w:t>The effectiveness of this Agreement and Bank’s obligation to make the initial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shall be subject to the satisfaction or waiver of the following conditions precedent:</w:t>
      </w:r>
    </w:p>
    <w:p>
      <w:pPr>
        <w:spacing w:after="0" w:line="159" w:lineRule="exact"/>
        <w:rPr>
          <w:sz w:val="20"/>
          <w:szCs w:val="20"/>
          <w:color w:val="auto"/>
        </w:rPr>
      </w:pPr>
    </w:p>
    <w:p>
      <w:pPr>
        <w:ind w:left="2040" w:hanging="535"/>
        <w:spacing w:after="0"/>
        <w:tabs>
          <w:tab w:leader="none" w:pos="2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Bank shall have received each of the following, each of which shall be in form and substance reasonably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Bank:</w:t>
      </w:r>
    </w:p>
    <w:p>
      <w:pPr>
        <w:spacing w:after="0" w:line="207" w:lineRule="exact"/>
        <w:rPr>
          <w:sz w:val="20"/>
          <w:szCs w:val="20"/>
          <w:color w:val="auto"/>
        </w:rPr>
      </w:pPr>
    </w:p>
    <w:p>
      <w:pPr>
        <w:ind w:left="2560" w:hanging="306"/>
        <w:spacing w:after="0"/>
        <w:tabs>
          <w:tab w:leader="none" w:pos="25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Loan Documents;</w:t>
      </w:r>
    </w:p>
    <w:p>
      <w:pPr>
        <w:spacing w:after="0" w:line="22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Perfection Certificate of Borrower;</w:t>
      </w:r>
    </w:p>
    <w:p>
      <w:pPr>
        <w:spacing w:after="0" w:line="22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signatures to the Stock Pledge Agreement;</w:t>
      </w:r>
    </w:p>
    <w:p>
      <w:pPr>
        <w:spacing w:after="0" w:line="22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Borrower’s counsel dated as of the Effective Date;</w:t>
      </w:r>
    </w:p>
    <w:p>
      <w:pPr>
        <w:spacing w:after="0" w:line="22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Borrowing Certificates (or equivalent Officers’ Certificates); Certified Operating Documents; Good Standing Certificates</w:t>
      </w:r>
      <w:r>
        <w:rPr>
          <w:rFonts w:ascii="Times New Roman" w:cs="Times New Roman" w:eastAsia="Times New Roman" w:hAnsi="Times New Roman"/>
          <w:sz w:val="18"/>
          <w:szCs w:val="18"/>
          <w:color w:val="auto"/>
        </w:rPr>
        <w:t>. Bank shall have received (i) a certificate duly executed by a Responsible Officer or secretary of Borrower with respect to Borrower attaching:</w:t>
      </w:r>
    </w:p>
    <w:p>
      <w:pPr>
        <w:jc w:val="both"/>
        <w:ind w:firstLine="8"/>
        <w:spacing w:after="0" w:line="255" w:lineRule="auto"/>
        <w:tabs>
          <w:tab w:leader="none" w:pos="3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Documents and (B) Borrowing Resolutions, and (ii) long-form good standing certificates of Borrower certified by the Secretary of State of the State of Delaware and the Secretary of State (or equivalent agency) of each other jurisdiction in which Borrower is qualified to conduct business, in each case as of a date no earlier than 30 days prior to the Effective Date.</w:t>
      </w:r>
    </w:p>
    <w:p>
      <w:pPr>
        <w:spacing w:after="0" w:line="185"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Bank shall have (i) completed a due diligence investigation of the Borrower, and with results, satisfactory to Bank and shall have been given such access to the management, records, books of account, contracts and properties of Borrower and shall have received such financial, business and other information regarding each of the foregoing Persons and businesses as it shall have requested received; (ii) received certified copies, dated as of a recent date, of searches for financing statements filed in the central filing office of the State of Delaware, accompanied by written evidence (including any UCC termination statements) that the Liens indicated in any such financing statements either constitute Permitted Liens or have been or, in connection with the initial Credit Extension, will be terminated or released, and (iii) received all asset appraisals, field audits, and such other reports and certifications, as Bank has reasonably requested.</w:t>
      </w:r>
    </w:p>
    <w:p>
      <w:pPr>
        <w:spacing w:after="0" w:line="18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Bank shall have received evidence satisfactory to Bank that the insurance policies required by Section 5.6 hereof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 full force and effect.</w:t>
      </w:r>
    </w:p>
    <w:p>
      <w:pPr>
        <w:spacing w:after="0" w:line="206"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 etc</w:t>
      </w:r>
      <w:r>
        <w:rPr>
          <w:rFonts w:ascii="Times New Roman" w:cs="Times New Roman" w:eastAsia="Times New Roman" w:hAnsi="Times New Roman"/>
          <w:sz w:val="18"/>
          <w:szCs w:val="18"/>
          <w:color w:val="auto"/>
        </w:rPr>
        <w:t>. Bank shall have received all documentation and other information requested (including beneficial ownership information) in connection with applicable “know your customer” and anti-money-laundering rules and regulations, including the USA Patriot Act, and Borrower shall have satisfied all requirements related thereto.</w:t>
      </w:r>
    </w:p>
    <w:p>
      <w:pPr>
        <w:spacing w:after="0" w:line="1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initial Term Loan Advance, a duly executed Control Agreement with U.S. Bank;</w:t>
      </w:r>
    </w:p>
    <w:p>
      <w:pPr>
        <w:spacing w:after="0" w:line="22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initial Term Loan Advance, evidence, satisfactory to Bank in its sole discretion, that Borrower is in pro forma compliance with the financial covenants set forth in Section 5.8 of this Agreement (regardless of whether Testing Event #1 or Testing Event #2 has occurred) (i) as of the last day of the most recent fiscal quarter ending prior to the Funding Date of the initial Term Loan Advance and (ii) immediately after giving effect to the funding of the initial Term Loan Advance;</w:t>
      </w:r>
    </w:p>
    <w:p>
      <w:pPr>
        <w:spacing w:after="0" w:line="179"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such other documents or certificates, and completion of such other matters, as Bank may reasonably deem necessary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appropriate.</w:t>
      </w:r>
    </w:p>
    <w:p>
      <w:pPr>
        <w:spacing w:after="0" w:line="203"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 Conditions Precedent to all Credit Extensions. </w:t>
      </w:r>
      <w:r>
        <w:rPr>
          <w:rFonts w:ascii="Times New Roman" w:cs="Times New Roman" w:eastAsia="Times New Roman" w:hAnsi="Times New Roman"/>
          <w:sz w:val="18"/>
          <w:szCs w:val="18"/>
          <w:color w:val="auto"/>
        </w:rPr>
        <w:t>Bank’s obligation to make each Credit Extension, including the initial Credit Extension,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following conditions precedent: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ind w:left="2040" w:hanging="535"/>
        <w:spacing w:after="0"/>
        <w:tabs>
          <w:tab w:leader="none" w:pos="2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payment of the fees and Bank Expenses then due as specified in Section 1.3 hereof;</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Borrower’s Credit Extension request and the related materials and documents as required by and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1.7;</w:t>
      </w:r>
    </w:p>
    <w:p>
      <w:pPr>
        <w:spacing w:after="0" w:line="207" w:lineRule="exact"/>
        <w:rPr>
          <w:sz w:val="20"/>
          <w:szCs w:val="20"/>
          <w:color w:val="auto"/>
        </w:rPr>
      </w:pPr>
    </w:p>
    <w:p>
      <w:pPr>
        <w:jc w:val="both"/>
        <w:ind w:firstLine="1505"/>
        <w:spacing w:after="0" w:line="254" w:lineRule="auto"/>
        <w:tabs>
          <w:tab w:leader="none" w:pos="20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in this Agreement shall be true and correct in all material respects as of the date of any Credit Extension request and as of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Default or Event of Default shall have occurred and be continuing or result from the Credit Extension. Each Credit Extension is Borrower’s representation and warranty on that date that the representations and warranties in this Agreement remain true and correct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w:t>
      </w:r>
    </w:p>
    <w:p>
      <w:pPr>
        <w:spacing w:after="0" w:line="191" w:lineRule="exact"/>
        <w:rPr>
          <w:rFonts w:ascii="Times New Roman" w:cs="Times New Roman" w:eastAsia="Times New Roman" w:hAnsi="Times New Roman"/>
          <w:sz w:val="18"/>
          <w:szCs w:val="18"/>
          <w:color w:val="auto"/>
        </w:rPr>
      </w:pPr>
    </w:p>
    <w:p>
      <w:pPr>
        <w:jc w:val="both"/>
        <w:ind w:firstLine="1505"/>
        <w:spacing w:after="0" w:line="257" w:lineRule="auto"/>
        <w:tabs>
          <w:tab w:leader="none" w:pos="20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determines to its satisfaction that there has not been a (i) material impairment in the general affairs, management, results of operation, financial condition, nor any material adverse deviation by Borrower from the business plan of Borrower presented to and accepted by Bank as of the Effective Date (or from a business plan of Borrower presented to and accepted by Bank subsequent to the Effective Date pursuant to Section 5.3), or</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Adverse Change.</w:t>
      </w:r>
    </w:p>
    <w:p>
      <w:pPr>
        <w:spacing w:after="0" w:line="20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2.4 Covenant to Deliver. </w:t>
      </w:r>
      <w:r>
        <w:rPr>
          <w:rFonts w:ascii="Times New Roman" w:cs="Times New Roman" w:eastAsia="Times New Roman" w:hAnsi="Times New Roman"/>
          <w:sz w:val="18"/>
          <w:szCs w:val="18"/>
          <w:color w:val="auto"/>
        </w:rPr>
        <w:t>Borrower shall deliver to Bank each item required to be delivered to Bank under this Agreement as a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precedent to any Credit Extension.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71" w:lineRule="exact"/>
        <w:rPr>
          <w:sz w:val="20"/>
          <w:szCs w:val="20"/>
          <w:color w:val="auto"/>
        </w:rPr>
      </w:pPr>
    </w:p>
    <w:p>
      <w:pPr>
        <w:ind w:left="760" w:right="7020" w:hanging="3"/>
        <w:spacing w:after="0" w:line="503" w:lineRule="auto"/>
        <w:tabs>
          <w:tab w:leader="none" w:pos="1029"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CREATION OF SECURITY INTEREST </w:t>
      </w:r>
      <w:r>
        <w:rPr>
          <w:rFonts w:ascii="Times New Roman" w:cs="Times New Roman" w:eastAsia="Times New Roman" w:hAnsi="Times New Roman"/>
          <w:sz w:val="18"/>
          <w:szCs w:val="18"/>
          <w:b w:val="1"/>
          <w:bCs w:val="1"/>
          <w:color w:val="auto"/>
        </w:rPr>
        <w:t>3.2 Grant of Security Interest.</w:t>
      </w:r>
    </w:p>
    <w:p>
      <w:pPr>
        <w:jc w:val="both"/>
        <w:ind w:firstLine="1505"/>
        <w:spacing w:after="0" w:line="266" w:lineRule="auto"/>
        <w:tabs>
          <w:tab w:leader="none" w:pos="20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spacing w:after="0" w:line="17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acknowledges that it previously has entered, 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to Permitted Liens).</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 Authorization to File Financing Statements. </w:t>
      </w:r>
      <w:r>
        <w:rPr>
          <w:rFonts w:ascii="Times New Roman" w:cs="Times New Roman" w:eastAsia="Times New Roman" w:hAnsi="Times New Roman"/>
          <w:sz w:val="18"/>
          <w:szCs w:val="18"/>
          <w:color w:val="auto"/>
        </w:rPr>
        <w:t>Borrower hereby authorizes Bank to file financing statements, without notice to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all jurisdictions deemed necessary or appropriate by Bank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w:t>
      </w:r>
    </w:p>
    <w:p>
      <w:pPr>
        <w:spacing w:after="0" w:line="17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3.4 Termination</w:t>
      </w:r>
      <w:r>
        <w:rPr>
          <w:rFonts w:ascii="Times New Roman" w:cs="Times New Roman" w:eastAsia="Times New Roman" w:hAnsi="Times New Roman"/>
          <w:sz w:val="18"/>
          <w:szCs w:val="18"/>
          <w:color w:val="auto"/>
        </w:rPr>
        <w:t>. If this Agreement is terminated, Bank’s Lien in the Collateral shall continue until the Obligations (other than inchoate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indemnity obligations or other obligations which by their terms survive termination of this Agreement) are repaid in full in cash. Upon payment in full in cash of the Obligations (other than inchoate indemnity obligations or other obligations which by their terms survive termination of this Agreement) and at such time as Bank’s obligation to make Credit Extensions has terminated, Bank’s Liens on and security interest in the Collateral shall automatically and immediately be terminated and released without further action by either party and all rights therein shall revert to Borrower. Upon any termination or release in accordance with this Section, and from time to time thereafter, Bank shall, at the sole cost and expense of Borrower, execute and deliver such instruments, documents, and filings Borrower reasonably requests to evidence such termination and release. In the event (a) all Obligations (other than inchoate indemnity obligations or other obligations which by their terms survive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termination of this Agreement), except for Bank Services, are satisfied in full, and (b) this Agreement is terminated, Bank shall terminate the security interest granted herein upon Borrower providing cash collateral acceptable to Bank in its sole discretion for Bank Services, if any. In the event such Bank Services consist of outstanding Letters of Credit, Borrower shall provide to Bank cash collateral in an amount equal to at least (x) 105.0% of the face amount of all such Letters of Credit denominated in Dollars and (y) 115.0% of the Dollar Equivalent of the face amount of all such Letters of Credit denominated in a Foreign Currency, plus, in each case, all interest, fees, and costs due or estimated by Bank to become due in connection therewith, to secure all of the Obligations relating to such Letters of Credit.</w:t>
      </w:r>
    </w:p>
    <w:p>
      <w:pPr>
        <w:spacing w:after="0" w:line="183" w:lineRule="exact"/>
        <w:rPr>
          <w:sz w:val="20"/>
          <w:szCs w:val="20"/>
          <w:color w:val="auto"/>
        </w:rPr>
      </w:pPr>
    </w:p>
    <w:p>
      <w:pPr>
        <w:ind w:left="1020" w:hanging="26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Borrower represents and warrants as follows: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4.2 Due Organization, Authorization; Power and Authority.</w:t>
      </w:r>
    </w:p>
    <w:p>
      <w:pPr>
        <w:spacing w:after="0" w:line="229" w:lineRule="exact"/>
        <w:rPr>
          <w:sz w:val="20"/>
          <w:szCs w:val="20"/>
          <w:color w:val="auto"/>
        </w:rPr>
      </w:pPr>
    </w:p>
    <w:p>
      <w:pPr>
        <w:jc w:val="both"/>
        <w:ind w:firstLine="1505"/>
        <w:spacing w:after="0" w:line="261" w:lineRule="auto"/>
        <w:tabs>
          <w:tab w:leader="none" w:pos="20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are each duly existing and in good standing as a Registered Organization in their respective jurisdiction of formation and are qualified and licensed to do business and are in good standing in any jurisdiction in which the conduct of their respective business or their ownership of property requires that they be qualified except where the failure to do so could not reasonably be expected to have a material adverse effect on Borrower’s business or operations.</w:t>
      </w:r>
    </w:p>
    <w:p>
      <w:pPr>
        <w:spacing w:after="0" w:line="179"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set forth on the Perfection Certificate pertaining to Borrower and each of its Subsidiaries is true and correct in all material respects (it being understood and agreed that Borrower may from time to time update certain information in the Perfection Certificate after the Effective Date to the extent permitted by one or more specific provisions in this Agreement and the Perfection Certificate shall be deemed to be updated to the extent such notice is provided to Bank of such permitted update).</w:t>
      </w:r>
    </w:p>
    <w:p>
      <w:pPr>
        <w:spacing w:after="0" w:line="179" w:lineRule="exact"/>
        <w:rPr>
          <w:rFonts w:ascii="Times New Roman" w:cs="Times New Roman" w:eastAsia="Times New Roman" w:hAnsi="Times New Roman"/>
          <w:sz w:val="18"/>
          <w:szCs w:val="18"/>
          <w:color w:val="auto"/>
        </w:rPr>
      </w:pPr>
    </w:p>
    <w:p>
      <w:pPr>
        <w:jc w:val="both"/>
        <w:ind w:firstLine="1505"/>
        <w:spacing w:after="0" w:line="254" w:lineRule="auto"/>
        <w:tabs>
          <w:tab w:leader="none" w:pos="20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Borrower and each of its Subsidiaries of the Loan Documents to which it is a party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or any of its Subsidiaries is bound. Neither Borrower nor any of its Subsidiaries are in default under any agreement to which it is a party or by which it is bound in which the default could reasonably be expected to have a material adverse effect on Borrower’s or any of its Subsidiary’s business or operations.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4.3 Collateral.</w:t>
      </w:r>
    </w:p>
    <w:p>
      <w:pPr>
        <w:spacing w:after="0" w:line="229" w:lineRule="exact"/>
        <w:rPr>
          <w:sz w:val="20"/>
          <w:szCs w:val="20"/>
          <w:color w:val="auto"/>
        </w:rPr>
      </w:pPr>
    </w:p>
    <w:p>
      <w:pPr>
        <w:jc w:val="both"/>
        <w:ind w:firstLine="1505"/>
        <w:spacing w:after="0" w:line="266" w:lineRule="auto"/>
        <w:tabs>
          <w:tab w:leader="none" w:pos="20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 granted herein is and shall at all times continue to be a first priority perfected security interest in the Collateral (subject to Permitted Liens). Borrower has good title to, rights in, and the power to transfer each item of the Collateral upon which it purports to grant a Lien hereunder, free and clear of any and all Liens except Permitted Liens.</w:t>
      </w:r>
    </w:p>
    <w:p>
      <w:pPr>
        <w:spacing w:after="0" w:line="17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Section 5.7(c). The Accounts are bona fide, existing obligations of the Account Debtors.</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is not in the possession of any third party bailee (such as a warehouse) except as otherwise provided in the Perfection Certificate or as permitted pursuant to Section 6.2. None of the components of the Collateral shall be maintained at locations other than as provided in the Perfection Certificate or as permitted pursuant to Section 6.2.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ind w:right="20" w:firstLine="1505"/>
        <w:spacing w:after="0" w:line="282" w:lineRule="auto"/>
        <w:tabs>
          <w:tab w:leader="none" w:pos="20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 is in all material respects of good and marketable quality, free from material defects (other than resulting from any casualty or any taking under power of eminent domain or by condemnation).</w:t>
      </w:r>
    </w:p>
    <w:p>
      <w:pPr>
        <w:spacing w:after="0" w:line="161"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owns, or possesses the right to use to the extent necessary in its business, all Intellectual Property, licenses and other intangible assets that are used in the conduct of its business as now operated, except to the extent that such failure to own or possess the right to use such asset would not reasonably be expected to have a material adverse effect on Borrower’s business or operations, and no such asset, to the best knowledge of Borrower, conflicts with the valid Intellectual Property, license, or intangible asset of any other Person to the extent that such conflict could reasonably be expected to have a material adverse effect on Borrower’s business or operations.</w:t>
      </w:r>
    </w:p>
    <w:p>
      <w:pPr>
        <w:spacing w:after="0" w:line="183"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noted on the Perfection Certificate or for which notice has been given to Bank pursuant to and in accordance with Section 5.9(b), Borrower is not a party to, nor is it bound by, any Restricted License.</w:t>
      </w:r>
    </w:p>
    <w:p>
      <w:pPr>
        <w:spacing w:after="0" w:line="158"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4.4 Litigation. </w:t>
      </w:r>
      <w:r>
        <w:rPr>
          <w:rFonts w:ascii="Times New Roman" w:cs="Times New Roman" w:eastAsia="Times New Roman" w:hAnsi="Times New Roman"/>
          <w:sz w:val="18"/>
          <w:szCs w:val="18"/>
          <w:color w:val="auto"/>
        </w:rPr>
        <w:t>Other than as set forth in the Perfection Certificate or as disclosed to Bank pursuant to Section 5.3(h), there are no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investigations or proceedings pending or, to the knowledge of any Responsible Officer, threatened in writing by or against Borrower or any of its Subsidiaries which would reasonably be expected to result in damages or costs, including settlement payments, to Borrower of more than, individually or in the aggregate, $250,000.00, not covered by independent third party insurance as to which liability has been accepted by the carrier providing such insurance.</w:t>
      </w:r>
    </w:p>
    <w:p>
      <w:pPr>
        <w:spacing w:after="0" w:line="179"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4.5 Financial Statements; Financial Condition. </w:t>
      </w:r>
      <w:r>
        <w:rPr>
          <w:rFonts w:ascii="Times New Roman" w:cs="Times New Roman" w:eastAsia="Times New Roman" w:hAnsi="Times New Roman"/>
          <w:sz w:val="18"/>
          <w:szCs w:val="18"/>
          <w:color w:val="auto"/>
        </w:rPr>
        <w:t>All consolidated financial statements for Borrower and any of its Subsidiaries delivered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by submission to the Financial Statement Repository or otherwise submitted to Bank fairly present in all material respects Borrower’s consolidated financial condition and Borrower’s consolidated results of operations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Bank.</w:t>
      </w:r>
    </w:p>
    <w:p>
      <w:pPr>
        <w:spacing w:after="0" w:line="17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4.6 Solvency. </w:t>
      </w:r>
      <w:r>
        <w:rPr>
          <w:rFonts w:ascii="Times New Roman" w:cs="Times New Roman" w:eastAsia="Times New Roman" w:hAnsi="Times New Roman"/>
          <w:sz w:val="18"/>
          <w:szCs w:val="18"/>
          <w:color w:val="auto"/>
        </w:rPr>
        <w:t>The fair salable value of Borrower’s consolidated assets (including goodwill minus disposition costs) exceeds the fair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liabilities; Borrower is not left with unreasonably small capital after the transactions in this Agreement; and Borrower and each of its Subsidiaries are able to pay their debts (including trade debts) as they mature.</w:t>
      </w:r>
    </w:p>
    <w:p>
      <w:pPr>
        <w:spacing w:after="0" w:line="17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4.7 Regulatory Compliance. </w:t>
      </w:r>
      <w:r>
        <w:rPr>
          <w:rFonts w:ascii="Times New Roman" w:cs="Times New Roman" w:eastAsia="Times New Roman" w:hAnsi="Times New Roman"/>
          <w:sz w:val="18"/>
          <w:szCs w:val="18"/>
          <w:color w:val="auto"/>
        </w:rPr>
        <w:t>Borrower is not an “investment company” or a company “controlled” by an “investment company”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Act of 1940, as amended. Borrower is not engaged as one of its important activities in extending credit for margin stock (under Regulations X, T and U of the Federal Reserve Board of Governors). Borrower and each of its Subsidiaries have complied with all Applicable Law and have not violated any Applicable Law, except where the non-compliance with which or violation of which could not reasonably be expected to have a material adverse effect on Borrower’s business or operations. Borrower and each of its Subsidiaries have 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operations; there have been no outstanding citations, notices or orders of non-compliance issued to Borrower or any of its Subsidiaries or relating to their respective facilities, businesses, assets, property, leaseholds, real property or Equipment under such Environmental Laws, except where the same would not reasonably be expected to have a material adverse effect on Borrower’s business or operations.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200" w:lineRule="exact"/>
        <w:rPr>
          <w:sz w:val="20"/>
          <w:szCs w:val="20"/>
          <w:color w:val="auto"/>
        </w:rPr>
      </w:pPr>
    </w:p>
    <w:p>
      <w:pPr>
        <w:spacing w:after="0" w:line="208"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4.8 Subsidiaries; Investments. </w:t>
      </w:r>
      <w:r>
        <w:rPr>
          <w:rFonts w:ascii="Times New Roman" w:cs="Times New Roman" w:eastAsia="Times New Roman" w:hAnsi="Times New Roman"/>
          <w:sz w:val="18"/>
          <w:szCs w:val="18"/>
          <w:color w:val="auto"/>
        </w:rPr>
        <w:t>Borrower does not own any stock, unit, membership interest, partnership, or other ownership interest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securities except for Permitted Investments.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4.9 Tax Returns and Payments; Pension Contributions.</w:t>
      </w:r>
    </w:p>
    <w:p>
      <w:pPr>
        <w:spacing w:after="0" w:line="229" w:lineRule="exact"/>
        <w:rPr>
          <w:sz w:val="20"/>
          <w:szCs w:val="20"/>
          <w:color w:val="auto"/>
        </w:rPr>
      </w:pPr>
    </w:p>
    <w:p>
      <w:pPr>
        <w:jc w:val="both"/>
        <w:ind w:firstLine="1505"/>
        <w:spacing w:after="0" w:line="261" w:lineRule="auto"/>
        <w:tabs>
          <w:tab w:leader="none" w:pos="20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have timely filed (subject to validly filed extensions), or submitted extensions for, all required tax returns and reports, and Borrower and each of its Subsidiaries have timely paid all foreign, federal, state and local taxes, assessments, deposits and contributions owed by Borrower and each of its Subsidiaries except (a) to the extent such taxes are being contested in good faith by appropriate proceedings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$50,000.00. Borrower is unaware of any claims or adjustments proposed for any of Borrower’s or any of its Subsidiary’s prior tax years which could result in additional taxes becoming due and payable by Borrower or any of its Subsidiaries in excess of $50,000.00 in the aggregate.</w:t>
      </w:r>
    </w:p>
    <w:p>
      <w:pPr>
        <w:spacing w:after="0" w:line="180" w:lineRule="exact"/>
        <w:rPr>
          <w:sz w:val="20"/>
          <w:szCs w:val="20"/>
          <w:color w:val="auto"/>
        </w:rPr>
      </w:pPr>
    </w:p>
    <w:p>
      <w:pPr>
        <w:jc w:val="both"/>
        <w:ind w:firstLine="1505"/>
        <w:spacing w:after="0" w:line="258" w:lineRule="auto"/>
        <w:tabs>
          <w:tab w:leader="none" w:pos="20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 permitted the occurrence of any other event with respect to, any such plan which could reasonably be expected to result in any liability of Borrower or any of its Subsidiaries, including any liability to the Pension Benefit Guaranty Corporation or its successors or any other Governmental Authority.</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4.10Full Disclosure. </w:t>
      </w:r>
      <w:r>
        <w:rPr>
          <w:rFonts w:ascii="Times New Roman" w:cs="Times New Roman" w:eastAsia="Times New Roman" w:hAnsi="Times New Roman"/>
          <w:sz w:val="18"/>
          <w:szCs w:val="18"/>
          <w:color w:val="auto"/>
        </w:rPr>
        <w:t>No written representation, warranty or other statement of Borrower or any of its Subsidiaries in any report, certificate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statement submitted to the Financial Statement Repository or otherwise submitted to Bank, as of the date such representation, warranty, or other statement was made, taken together with all such reports,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in light of the circumstances under which they were made (it being recognized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8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4.11Sanctions</w:t>
      </w:r>
      <w:r>
        <w:rPr>
          <w:rFonts w:ascii="Times New Roman" w:cs="Times New Roman" w:eastAsia="Times New Roman" w:hAnsi="Times New Roman"/>
          <w:sz w:val="18"/>
          <w:szCs w:val="18"/>
          <w:color w:val="auto"/>
        </w:rPr>
        <w:t>. Neither Borrower nor any of its Subsidiaries is: (a) in violation of any Sanctions; or (b) a Sanctioned Person. Neither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any of its Subsidiaries, directors, or officers, or, to the knowledge of Borrower, any of its 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Bank to violate any Sanctions.</w:t>
      </w:r>
    </w:p>
    <w:p>
      <w:pPr>
        <w:spacing w:after="0" w:line="18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4.12Healthcare Permits</w:t>
      </w:r>
      <w:r>
        <w:rPr>
          <w:rFonts w:ascii="Times New Roman" w:cs="Times New Roman" w:eastAsia="Times New Roman" w:hAnsi="Times New Roman"/>
          <w:sz w:val="18"/>
          <w:szCs w:val="18"/>
          <w:color w:val="auto"/>
        </w:rPr>
        <w:t>. (a) Borrower and each of its Subsidiaries have obtained all Healthcare Permits and other rights from, and have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declarations and filings with, all applicable Governmental Authorities, all self-regulatory authorities and all courts and other tribunals necessary to engage in the management and/or operation of their respective businesses; (b) each such Healthcare Permit is valid and in full force and effect, and Borrower and each of its Subsidiaries are in compliance with the terms and conditions of all such Healthcare Permits; and (c) neither Borrower nor any of its Subsidiaries has received notice from any Governmental Authority with respect to the revocation, suspension, restriction, limitation or termination of any Healthcare Permit nor, to the knowledge of Borrower or any of its Subsidiaries, is any such action proposed or threatened in writing.</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4.13Compliance with Healthcare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61" w:lineRule="auto"/>
        <w:tabs>
          <w:tab w:leader="none" w:pos="20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is in compliance with all applicable Healthcare Laws. Without limiting the generality of the foregoing, Borrower has not received written notice by a Governmental Authority of any violation (or of any investigation, audit, or other proceeding involving allegations of any violation) of any Healthcare Laws, and no investigation, inspection, audit or other proceeding involving allegations of any violation is, to the knowledge of Borrower, threatened in writing or contemplated.</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Borrower, Borrower is not in default or violation of any law which is applicable to Borrower or its respective assets or the conduct of its respective businesses and Borrower has not been debarred or excluded from participation under a state or federal health care program, including any state or federal workers compensation program.</w:t>
      </w:r>
    </w:p>
    <w:p>
      <w:pPr>
        <w:spacing w:after="0" w:line="17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is not a party to any corporate integrity agreements, deferred prosecution agreements, monitoring agreements, consent decrees, settlement orders or similar agreements with or imposed by any Governmental Authority.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ind w:left="1020" w:hanging="26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Borrower shall do all of the following:</w:t>
      </w:r>
    </w:p>
    <w:p>
      <w:pPr>
        <w:spacing w:after="0" w:line="22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5.2 Use of Proceeds. </w:t>
      </w:r>
      <w:r>
        <w:rPr>
          <w:rFonts w:ascii="Times New Roman" w:cs="Times New Roman" w:eastAsia="Times New Roman" w:hAnsi="Times New Roman"/>
          <w:sz w:val="18"/>
          <w:szCs w:val="18"/>
          <w:color w:val="auto"/>
        </w:rPr>
        <w:t>Cause the proceeds of the Credit Extensions to be used solely (a) as working capital or (b) to fund its general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and not for personal, family, household or agricultural purposes, and not in furtherance of an offer, payment, promise to pay, or authorization of the payment or giving of money, or anything else of value, to any Person in violation of any applicable anti-corruption law.</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5.3 Government Compliance.</w:t>
      </w:r>
    </w:p>
    <w:p>
      <w:pPr>
        <w:spacing w:after="0" w:line="229" w:lineRule="exact"/>
        <w:rPr>
          <w:sz w:val="20"/>
          <w:szCs w:val="20"/>
          <w:color w:val="auto"/>
        </w:rPr>
      </w:pPr>
    </w:p>
    <w:p>
      <w:pPr>
        <w:jc w:val="both"/>
        <w:ind w:firstLine="1505"/>
        <w:spacing w:after="0" w:line="258" w:lineRule="auto"/>
        <w:tabs>
          <w:tab w:leader="none" w:pos="20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its and all of its Subsidiaries’ legal existence (except as permitted under Section 6.3 with respect to Subsidiaries only) and good standing in their respective jurisdictions of formation and maintain qualification in each jurisdiction in which the failure to so qualify could reasonably be expected to have a material adverse effect on Borrower’s business or operations. Borrower shall comply, and have each Subsidiary comply with all Applicable Law, except where the non-compliance with which could not reasonably be expected to have a material adverse effect on Borrower’s business or operations.</w:t>
      </w:r>
    </w:p>
    <w:p>
      <w:pPr>
        <w:spacing w:after="0" w:line="183"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all of the Governmental Approvals necessary for the performance by Borrower and each of its Subsidiaries of their obligations under the Loan Documents to which it is a party, including any grant of a security interest to Bank. Borrower shall promptly provide copies of any such obtained Governmental Approvals to Bank.</w:t>
      </w:r>
    </w:p>
    <w:p>
      <w:pPr>
        <w:spacing w:after="0" w:line="175"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operations and property of Borrower, and each of its Subsidiaries, to comply with all applicable Healthcare Laws. Without limiting the foregoing, the operations and property of Borrower and each of its Subsidiaries shall comply with HIPAA in all material respects. Borrower has established and maintains a corporate compliance program that (i) addresses the material Applicable Laws, including all applicable Healthcare Laws, of Governmental Authorities having jurisdiction over its business and operations, and (ii) has been structured to account for the guidance issued by the U.S. Department of Health and Human Services regarding characteristics of effective corporate compliance programs. As of the Effective Date, Borrower has delivered to Bank an accurate and complete copy of each material report, study, survey or other document of which Borrower has knowledge that addresses or otherwise relates to the compliance by Borrower and each of its Subsidiaries, with applicable Healthcare Laws.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5.4 Financial Statements, Reports. </w:t>
      </w:r>
      <w:r>
        <w:rPr>
          <w:rFonts w:ascii="Times New Roman" w:cs="Times New Roman" w:eastAsia="Times New Roman" w:hAnsi="Times New Roman"/>
          <w:sz w:val="18"/>
          <w:szCs w:val="18"/>
          <w:color w:val="auto"/>
        </w:rPr>
        <w:t>Deliver to Bank by submitting to the Financial Statement Repository:</w:t>
      </w:r>
    </w:p>
    <w:p>
      <w:pPr>
        <w:spacing w:after="0" w:line="229" w:lineRule="exact"/>
        <w:rPr>
          <w:sz w:val="20"/>
          <w:szCs w:val="20"/>
          <w:color w:val="auto"/>
        </w:rPr>
      </w:pPr>
    </w:p>
    <w:p>
      <w:pPr>
        <w:jc w:val="both"/>
        <w:ind w:firstLine="1505"/>
        <w:spacing w:after="0" w:line="266" w:lineRule="auto"/>
        <w:tabs>
          <w:tab w:leader="none" w:pos="20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10-Q Reports</w:t>
      </w:r>
      <w:r>
        <w:rPr>
          <w:rFonts w:ascii="Times New Roman" w:cs="Times New Roman" w:eastAsia="Times New Roman" w:hAnsi="Times New Roman"/>
          <w:sz w:val="18"/>
          <w:szCs w:val="18"/>
          <w:color w:val="auto"/>
        </w:rPr>
        <w:t>. As soon as available, but no later than 45 days after the last day of the first three (3) fiscal quarters of Borrower month, a company prepared consolidated balance sheet, cash flow statement, and income statement covering Borrower’s consolidated operations for such fiscal quarter, consistent with such quarterly financial statements submitted to the SEC and in a form reasonably acceptable to Bank;</w:t>
      </w:r>
    </w:p>
    <w:p>
      <w:pPr>
        <w:spacing w:after="0" w:line="17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Compliance Statement</w:t>
      </w:r>
      <w:r>
        <w:rPr>
          <w:rFonts w:ascii="Times New Roman" w:cs="Times New Roman" w:eastAsia="Times New Roman" w:hAnsi="Times New Roman"/>
          <w:sz w:val="18"/>
          <w:szCs w:val="18"/>
          <w:color w:val="auto"/>
        </w:rPr>
        <w:t>. Within 30 days after the last day of each month, a duly completed Compliance Statement, confirming that as of the end of such month, Borrower was in full compliance with all of the terms and conditions of this Agreement, and setting forth calculations showing compliance with the financial covenants (if any) set forth in this Agreement and such other information as Bank may reasonably request;</w:t>
      </w:r>
    </w:p>
    <w:p>
      <w:pPr>
        <w:spacing w:after="0" w:line="179"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Operating Budget and Financial Projections</w:t>
      </w:r>
      <w:r>
        <w:rPr>
          <w:rFonts w:ascii="Times New Roman" w:cs="Times New Roman" w:eastAsia="Times New Roman" w:hAnsi="Times New Roman"/>
          <w:sz w:val="18"/>
          <w:szCs w:val="18"/>
          <w:color w:val="auto"/>
        </w:rPr>
        <w:t>. Within 30 days after the end of each fiscal year of Borrower, and contemporaneously with any updates or amendments thereto, (A) annual operating budgets (including income statements, balance sheets and cash flow statements, by quarter) for the upcoming fiscal year of Borrower, and (B) annual financial projections for the following fiscal year (on a quarterly basis), in each case as approved by the Board, together with any related business forecasts used in the preparation of such annual financial projections;</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10-K Reports and Annual Audited Financial Statements</w:t>
      </w:r>
      <w:r>
        <w:rPr>
          <w:rFonts w:ascii="Times New Roman" w:cs="Times New Roman" w:eastAsia="Times New Roman" w:hAnsi="Times New Roman"/>
          <w:sz w:val="18"/>
          <w:szCs w:val="18"/>
          <w:color w:val="auto"/>
        </w:rPr>
        <w:t>. As soon as available, and in any event within 90 days following the end of Borrower’s fiscal year, Borrower’s 10-K report, together with audited consolidated financial statements prepared under GAAP, consistently applied, together with an unqualified opinion (provided that such unqualified opinion may contain a going concern qualification typical for venture backed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companies similar to Borrower) on the financial statements from PwC, any “Big Four” accounting firm or any other independent certified public accounting firm reasonably acceptable to Bank;</w:t>
      </w:r>
    </w:p>
    <w:p>
      <w:pPr>
        <w:spacing w:after="0" w:line="162" w:lineRule="exact"/>
        <w:rPr>
          <w:sz w:val="20"/>
          <w:szCs w:val="20"/>
          <w:color w:val="auto"/>
        </w:rPr>
      </w:pPr>
    </w:p>
    <w:p>
      <w:pPr>
        <w:jc w:val="both"/>
        <w:ind w:firstLine="1505"/>
        <w:spacing w:after="0" w:line="254" w:lineRule="auto"/>
        <w:tabs>
          <w:tab w:leader="none" w:pos="20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In the event that Borrower or any of its Subsidiaries becomes subject to the reporting requirements under the Exchange Act within five (5) days of filing, notification of the filing and copies of all periodic and other reports, proxy statements and other materials filed by Borrower and/or any of its Subsidiaries 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or any of its Subsidiaries posts such documents, or provides a link thereto, on Borrower’s or any of its Subsidiaries’ website on the internet at Borrower’s or any of its Subsidiaries’ website address or are available at www.sec.gov (or any successor site maintained by the SEC for similar purposes); provided, however, Borrower shall promptly notify Bank in writing (which may be by electronic mail) of the posting of any such documents;</w:t>
      </w:r>
    </w:p>
    <w:p>
      <w:pPr>
        <w:spacing w:after="0" w:line="188"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Holder and Subordinated Debt Holder Reports</w:t>
      </w:r>
      <w:r>
        <w:rPr>
          <w:rFonts w:ascii="Times New Roman" w:cs="Times New Roman" w:eastAsia="Times New Roman" w:hAnsi="Times New Roman"/>
          <w:sz w:val="18"/>
          <w:szCs w:val="18"/>
          <w:color w:val="auto"/>
        </w:rPr>
        <w:t>. Within five (5) days of delivery, copies of all material statements, reports and notices made available to Borrower’s security holders or to any holders of Subordinated Debt (solely in their capacities as security holders or holders of Subordinated Debt and not in any other role);</w:t>
      </w:r>
    </w:p>
    <w:p>
      <w:pPr>
        <w:spacing w:after="0" w:line="17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Information</w:t>
      </w:r>
      <w:r>
        <w:rPr>
          <w:rFonts w:ascii="Times New Roman" w:cs="Times New Roman" w:eastAsia="Times New Roman" w:hAnsi="Times New Roman"/>
          <w:sz w:val="18"/>
          <w:szCs w:val="18"/>
          <w:color w:val="auto"/>
        </w:rPr>
        <w:t>. Prompt written notice of any changes to the beneficial ownership information set out in 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Action Notice</w:t>
      </w:r>
      <w:r>
        <w:rPr>
          <w:rFonts w:ascii="Times New Roman" w:cs="Times New Roman" w:eastAsia="Times New Roman" w:hAnsi="Times New Roman"/>
          <w:sz w:val="18"/>
          <w:szCs w:val="18"/>
          <w:color w:val="auto"/>
        </w:rPr>
        <w:t>. Prompt written notice of any legal actions, investigations or proceedings pending or threatened in writing against Borrower or any of its Subsidiaries that could reasonably be expected to result in damages or costs to Borrower or any of its Subsidiaries of, individually or in the aggregate, $250,000.00 or more;</w:t>
      </w:r>
    </w:p>
    <w:p>
      <w:pPr>
        <w:spacing w:after="0" w:line="17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Tort Claim Notice</w:t>
      </w:r>
      <w:r>
        <w:rPr>
          <w:rFonts w:ascii="Times New Roman" w:cs="Times New Roman" w:eastAsia="Times New Roman" w:hAnsi="Times New Roman"/>
          <w:sz w:val="18"/>
          <w:szCs w:val="18"/>
          <w:color w:val="auto"/>
        </w:rPr>
        <w:t>. If Borrower shall acquire a commercial tort claim with a value, individually or in the aggregate, in excess of $250,000.00,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79"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Filings</w:t>
      </w:r>
      <w:r>
        <w:rPr>
          <w:rFonts w:ascii="Times New Roman" w:cs="Times New Roman" w:eastAsia="Times New Roman" w:hAnsi="Times New Roman"/>
          <w:sz w:val="18"/>
          <w:szCs w:val="18"/>
          <w:color w:val="auto"/>
        </w:rPr>
        <w:t>. Within five (5) days after the same are sent or received, copies of all correspondence, reports, documents and other filings by Borrower or any of its Subsidiaries with any Governmental Authority regarding compliance with or maintenance of Governmental Approvals or Applicable Law or that could reasonably be expected to have a material effect on any of the Governmental Approvals or otherwise on the business of Borrower or any of its Subsidiaries;</w:t>
      </w:r>
    </w:p>
    <w:p>
      <w:pPr>
        <w:spacing w:after="0" w:line="179"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Registered Organization</w:t>
      </w:r>
      <w:r>
        <w:rPr>
          <w:rFonts w:ascii="Times New Roman" w:cs="Times New Roman" w:eastAsia="Times New Roman" w:hAnsi="Times New Roman"/>
          <w:sz w:val="18"/>
          <w:szCs w:val="18"/>
          <w:color w:val="auto"/>
        </w:rPr>
        <w:t>. If Borrower is not a Registered Organization as of the Effective Date but later becomes one, promptly notify Bank of such occurrence and provide Bank with Borrower’s organizational identification number;</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Detailed Cash Report</w:t>
      </w:r>
      <w:r>
        <w:rPr>
          <w:rFonts w:ascii="Times New Roman" w:cs="Times New Roman" w:eastAsia="Times New Roman" w:hAnsi="Times New Roman"/>
          <w:sz w:val="18"/>
          <w:szCs w:val="18"/>
          <w:color w:val="auto"/>
        </w:rPr>
        <w:t>. As soon as available, but no later than 30 days after the last day of each month, a detailed cash report, including monthly bank statements, setting forth each of Borrower’s accounts maintained outside of Bank and Bank’s Affiliates, and the balances maintained in such accounts as of the last day of such month, in a form reasonably acceptable to Bank;</w:t>
      </w:r>
    </w:p>
    <w:p>
      <w:pPr>
        <w:spacing w:after="0" w:line="1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Prompt written notice of the occurrence of a Default or Event of Default; and</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Promptly, from time to time, such other information regarding Borrower or any of its Subsidiaries or compliance with the terms of any Loan Documents as reasonably requested by Bank.</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Any submission by Borrower of a Compliance Statement or any other financial statement submitted to the Financial Statement Repository pursuant to this Section 5.3 or otherwise submitted to Bank shall be deemed to be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representation by Borrower that (i) as of the date of such Compliance Statement or other financial statement, the information and calculations set forth therein are true and correct, (ii) as of the end of the compliance period set forth in such submission, Borrower is in complete compliance with all required covenants except as noted in such Compliance Statement or other financial statement, as applicable, (iii) as of the date of such submission, no Events of Default have occurred or are continuing, (iv) all representations and warranties other than any representations or warranties that are made as of a specific date in Section 4 remain true and correct in all material respects as of the date of such submission except as noted in such Compliance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4.8, and (vi) as of the date of such submission, no Liens have been levied or claims made against Borrower or any of its Subsidiaries relating to unpaid employee payroll or benefits of which Borrower has not previously provided written notification to Bank.</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5.5 Taxes; Pensions.</w:t>
      </w:r>
    </w:p>
    <w:p>
      <w:pPr>
        <w:spacing w:after="0" w:line="229" w:lineRule="exact"/>
        <w:rPr>
          <w:sz w:val="20"/>
          <w:szCs w:val="20"/>
          <w:color w:val="auto"/>
        </w:rPr>
      </w:pPr>
    </w:p>
    <w:p>
      <w:pPr>
        <w:jc w:val="both"/>
        <w:ind w:firstLine="1505"/>
        <w:spacing w:after="0" w:line="256" w:lineRule="auto"/>
        <w:tabs>
          <w:tab w:leader="none" w:pos="20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and require each of its Subsidiaries to timely file (in each case, unless subject to a valid extension), all required tax returns and reports and timely pay, and require each of its Subsidiaries to timely pay, all foreign, federal, state and local taxes, assessments, deposits and contributions owed by Borrower and each of its Subsidiaries, except for (i) deferred payment of any taxes contested pursuant to the terms of Section 4.8(a) hereof and (ii) any such taxes, assessments, deposits, and contributions that do not, individually or in the aggregate, exceed $50,000.00, and shall deliver to Bank, on demand, appropriate certificates attesting to such payments, and pay, and require each of its Subsidiaries to pay, all amounts necessary to fund all present pension, profit sharing and deferred compensation plans in accordance with their terms.</w:t>
      </w:r>
    </w:p>
    <w:p>
      <w:pPr>
        <w:spacing w:after="0" w:line="187"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Borrower or any of its Subsidiaries defers payment of any contested taxes,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w:t>
      </w:r>
    </w:p>
    <w:p>
      <w:pPr>
        <w:spacing w:after="0" w:line="17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5.6 Access to Collateral; Books and Records. </w:t>
      </w:r>
      <w:r>
        <w:rPr>
          <w:rFonts w:ascii="Times New Roman" w:cs="Times New Roman" w:eastAsia="Times New Roman" w:hAnsi="Times New Roman"/>
          <w:sz w:val="18"/>
          <w:szCs w:val="18"/>
          <w:color w:val="auto"/>
        </w:rPr>
        <w:t>At reasonable times, on five (5) Business Days’ notice (provided no notice is required if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Default has occurred and is continuing), Bank, or its agents, shall have the right to inspect the Collateral and the right to audit and copy Borrower’s Books. Such inspections and audits shall be conducted no more often than twice every twelve (12) months, unless an Event of Default has occurred and is continuing, in which case such inspections and audits shall occur as often as Bank shall determine is necessary. The foregoing inspections and audits shall be conducted at Borrower’s expense and the charge therefor shall be $1,000.00 per person per day (or such higher amount as shall represent Bank’s then-current standard charge for the same), plus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$2,000.00 plus any out-of-pocket expenses incurred by Bank to compensate Bank for the anticipated costs and expenses of the cancellation or rescheduling.</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5.7 Insurance.</w:t>
      </w:r>
    </w:p>
    <w:p>
      <w:pPr>
        <w:spacing w:after="0" w:line="229" w:lineRule="exact"/>
        <w:rPr>
          <w:sz w:val="20"/>
          <w:szCs w:val="20"/>
          <w:color w:val="auto"/>
        </w:rPr>
      </w:pPr>
    </w:p>
    <w:p>
      <w:pPr>
        <w:jc w:val="both"/>
        <w:ind w:firstLine="1505"/>
        <w:spacing w:after="0" w:line="266" w:lineRule="auto"/>
        <w:tabs>
          <w:tab w:leader="none" w:pos="20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its business and the Collateral insured for risks and in amounts standard for companies of Borrower’s size in Borrower’s industry and location and as Bank may reasonably request. Insurance policies shall be in a form, with financially sound and reputable insurance companies that are not Affiliates of Borrower, and in amounts that are satisfactory to Bank.</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75"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proceeds payable under any property policy are, at Bank’s option, payable to Bank on account of the Obligations. Notwithstanding the foregoing, (i) so long as no Event of Default has occurred and is continuing, Borrower shall have the option of applying the proceeds of any casualty policy up to $250,000.00 with respect to any loss, but not exceeding $500,000.00 in the aggregate for all losses under all casualty policies in any one (1) year, toward the replacement or repair of destroyed or damaged property; provided that any such replaced or repaired property (A) shall be of equal or like value as the replaced or repaired Collateral and (B) shall be deemed Collateral in which Bank has been granted a first priority security interest, and (ii) after the occurrence and during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continuance of an Event of Default, all proceeds payable under such casualty policy shall, at the option of Bank, be payable to Bank on account of the Obligations.</w:t>
      </w:r>
    </w:p>
    <w:p>
      <w:pPr>
        <w:spacing w:after="0" w:line="162" w:lineRule="exact"/>
        <w:rPr>
          <w:sz w:val="20"/>
          <w:szCs w:val="20"/>
          <w:color w:val="auto"/>
        </w:rPr>
      </w:pPr>
    </w:p>
    <w:p>
      <w:pPr>
        <w:jc w:val="both"/>
        <w:ind w:firstLine="1505"/>
        <w:spacing w:after="0" w:line="258" w:lineRule="auto"/>
        <w:tabs>
          <w:tab w:leader="none" w:pos="20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Bank’s request, Borrower shall deliver certified copies of insurance policies and evidence of all premium payments. Each provider of any such insurance required under this Section 5.6 shall agree, by endorsement upon the policy or policies issued by it or by independent instruments furnished to Bank, that it will give Bank 30 days prior written notice before any such policy or policies shall be canceled. If Borrower fails to obtain insurance as required under this Section 5.6 or to pay any amount or furnish any required proof of payment to third persons and Bank, Bank may make all or part of such payment or obtain such insurance policies required in this Section 5.6, and take any action under the policies Bank deems prudent.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5.8 Accounts.</w:t>
      </w:r>
    </w:p>
    <w:p>
      <w:pPr>
        <w:spacing w:after="0" w:line="229" w:lineRule="exact"/>
        <w:rPr>
          <w:sz w:val="20"/>
          <w:szCs w:val="20"/>
          <w:color w:val="auto"/>
        </w:rPr>
      </w:pPr>
    </w:p>
    <w:p>
      <w:pPr>
        <w:jc w:val="both"/>
        <w:ind w:firstLine="1505"/>
        <w:spacing w:after="0" w:line="252" w:lineRule="auto"/>
        <w:tabs>
          <w:tab w:leader="none" w:pos="20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Maintain an operating account with Bank as of the Effective Date and (ii) upon the expiration of the Transition Period, and at all times thereafter, maintain Borrower’s, any of its Subsidiaries’ (other than Securities Corp.), and any Guarantor’s primary operating accounts, depository accounts and excess cash with Bank or Bank’s Affiliates; provided that, subject to the Account Threshold (as defined below), Borrower shall be permitted to maintain accounts with financial institutions other than Bank or Bank’s Affiliates (individually, a “</w:t>
      </w:r>
      <w:r>
        <w:rPr>
          <w:rFonts w:ascii="Times New Roman" w:cs="Times New Roman" w:eastAsia="Times New Roman" w:hAnsi="Times New Roman"/>
          <w:sz w:val="18"/>
          <w:szCs w:val="18"/>
          <w:b w:val="1"/>
          <w:bCs w:val="1"/>
          <w:color w:val="auto"/>
        </w:rPr>
        <w:t>Permitted Account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Permitted Accounts</w:t>
      </w:r>
      <w:r>
        <w:rPr>
          <w:rFonts w:ascii="Times New Roman" w:cs="Times New Roman" w:eastAsia="Times New Roman" w:hAnsi="Times New Roman"/>
          <w:sz w:val="18"/>
          <w:szCs w:val="18"/>
          <w:color w:val="auto"/>
        </w:rPr>
        <w:t>”), so long as (i) account balances in the name of Borrower at Bank and Bank’s Affiliates shall be in an amount equal to at least 80.0% of the Dollar value of Borrower’s, its Subsidiaries’, and any Guarantor’s cash, in the aggregate, wherever located and (ii) each Permitted Account shall be subject to a Control Agreement in favor of Bank pursuant to the terms of Section 5.7(c) hereof. In addition to the foregoing, Borrower shall at all times have unrestricted and unencumbered cash in accounts maintained in the name of Borrower with Bank, in an amount equal to the lesser of (i) 100% of the Dollar value of all account balances of Borrower, its Subsidiaries, and any Guarantor, wherever located, and (ii) 110% of the then-outstanding Obligations of Borrower to Bank (the “</w:t>
      </w:r>
      <w:r>
        <w:rPr>
          <w:rFonts w:ascii="Times New Roman" w:cs="Times New Roman" w:eastAsia="Times New Roman" w:hAnsi="Times New Roman"/>
          <w:sz w:val="18"/>
          <w:szCs w:val="18"/>
          <w:b w:val="1"/>
          <w:bCs w:val="1"/>
          <w:color w:val="auto"/>
        </w:rPr>
        <w:t>Account Threshold</w:t>
      </w:r>
      <w:r>
        <w:rPr>
          <w:rFonts w:ascii="Times New Roman" w:cs="Times New Roman" w:eastAsia="Times New Roman" w:hAnsi="Times New Roman"/>
          <w:sz w:val="18"/>
          <w:szCs w:val="18"/>
          <w:color w:val="auto"/>
        </w:rPr>
        <w:t>”). In addition to the foregoing, subject to compliance with the Account Threshold, (i) Dutch Subsidiary shall be permitted to maintain accounts with financial institutions other than Bank or Bank’s Affiliates (the “</w:t>
      </w:r>
      <w:r>
        <w:rPr>
          <w:rFonts w:ascii="Times New Roman" w:cs="Times New Roman" w:eastAsia="Times New Roman" w:hAnsi="Times New Roman"/>
          <w:sz w:val="18"/>
          <w:szCs w:val="18"/>
          <w:b w:val="1"/>
          <w:bCs w:val="1"/>
          <w:color w:val="auto"/>
        </w:rPr>
        <w:t>Permitted Dutch Accounts</w:t>
      </w:r>
      <w:r>
        <w:rPr>
          <w:rFonts w:ascii="Times New Roman" w:cs="Times New Roman" w:eastAsia="Times New Roman" w:hAnsi="Times New Roman"/>
          <w:sz w:val="18"/>
          <w:szCs w:val="18"/>
          <w:color w:val="auto"/>
        </w:rPr>
        <w:t>”), provided that the maximum aggregate balance maintained in the Permitted Dutch Accounts (for all such accounts together) shall not exceed the Dollar Equivalent of $200,000.00 at any time and (ii) Swiss Subsidiary shall be permitted to maintain accounts with financial institutions other than Bank or Bank’s Affiliates (the “</w:t>
      </w:r>
      <w:r>
        <w:rPr>
          <w:rFonts w:ascii="Times New Roman" w:cs="Times New Roman" w:eastAsia="Times New Roman" w:hAnsi="Times New Roman"/>
          <w:sz w:val="18"/>
          <w:szCs w:val="18"/>
          <w:b w:val="1"/>
          <w:bCs w:val="1"/>
          <w:color w:val="auto"/>
        </w:rPr>
        <w:t>Permitted Swiss Accounts</w:t>
      </w:r>
      <w:r>
        <w:rPr>
          <w:rFonts w:ascii="Times New Roman" w:cs="Times New Roman" w:eastAsia="Times New Roman" w:hAnsi="Times New Roman"/>
          <w:sz w:val="18"/>
          <w:szCs w:val="18"/>
          <w:color w:val="auto"/>
        </w:rPr>
        <w:t>”), provided that the maximum aggregate balance maintained in the Permitted Swiss Accounts (for all such accounts together) shall not exceed the Dollar Equivalent of $200,000.00 at any time.</w:t>
      </w:r>
    </w:p>
    <w:p>
      <w:pPr>
        <w:spacing w:after="0" w:line="19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upon the expiration of the Transition Period, Borrower, any Subsidiary of Borrower and any Guarantor, shall obtain any business credit card (other than the Permitted Credit Cards) and letter of credit exclusively from Bank.</w:t>
      </w:r>
    </w:p>
    <w:p>
      <w:pPr>
        <w:spacing w:after="0" w:line="161" w:lineRule="exact"/>
        <w:rPr>
          <w:rFonts w:ascii="Times New Roman" w:cs="Times New Roman" w:eastAsia="Times New Roman" w:hAnsi="Times New Roman"/>
          <w:sz w:val="18"/>
          <w:szCs w:val="18"/>
          <w:color w:val="auto"/>
        </w:rPr>
      </w:pPr>
    </w:p>
    <w:p>
      <w:pPr>
        <w:jc w:val="both"/>
        <w:ind w:firstLine="1505"/>
        <w:spacing w:after="0" w:line="252" w:lineRule="auto"/>
        <w:tabs>
          <w:tab w:leader="none" w:pos="20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without limiting the restrictions in (a), Borrower shall 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subject to the Account Threshold and Section 2.1(f) hereof, Borrower’s accounts with U.S. Bank prior to the expiration of the Transition Period, (ii) subject to compliance with the Account Threshold, Borrower’s petty cash accounts maintained with financial institutions other than Bank or Bank’s Affiliates (the “</w:t>
      </w:r>
      <w:r>
        <w:rPr>
          <w:rFonts w:ascii="Times New Roman" w:cs="Times New Roman" w:eastAsia="Times New Roman" w:hAnsi="Times New Roman"/>
          <w:sz w:val="18"/>
          <w:szCs w:val="18"/>
          <w:b w:val="1"/>
          <w:bCs w:val="1"/>
          <w:color w:val="auto"/>
        </w:rPr>
        <w:t>Permitted Petty Cash Accounts</w:t>
      </w:r>
      <w:r>
        <w:rPr>
          <w:rFonts w:ascii="Times New Roman" w:cs="Times New Roman" w:eastAsia="Times New Roman" w:hAnsi="Times New Roman"/>
          <w:sz w:val="18"/>
          <w:szCs w:val="18"/>
          <w:color w:val="auto"/>
        </w:rPr>
        <w:t>”), so long as the aggregate amount of funds maintained in the Permitted Petty Cash Accounts (for all such accounts together) does not exceed $50,000.00 at any time (and, if such aggregate amount exceeds $50,000.00 at any time, the provisions of the previous sentence shall apply and a Control Agreement shall be required for each of the Permitted Petty Cash Accounts), or (iii) deposit accounts exclusively used for payroll, payroll taxes, and other employee wage and benefit payments to or for the benefit of Borrower’s employees and identified to Bank by Borrower as such; provided, however, that the funds on deposit in such deposit accounts will at no time exceed the actual payroll, payroll taxes, withholding taxes and other employee wage and benefit payments then owing for the immediately succeeding payroll period (or greater amount to the extent required by Applicable Law).</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5.9 Financial Covenants.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ind w:firstLine="1505"/>
        <w:spacing w:after="0" w:line="282" w:lineRule="auto"/>
        <w:tabs>
          <w:tab w:leader="none" w:pos="20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Net Product Revenue</w:t>
      </w:r>
      <w:r>
        <w:rPr>
          <w:rFonts w:ascii="Times New Roman" w:cs="Times New Roman" w:eastAsia="Times New Roman" w:hAnsi="Times New Roman"/>
          <w:sz w:val="18"/>
          <w:szCs w:val="18"/>
          <w:color w:val="auto"/>
        </w:rPr>
        <w:t>. Upon the occurrence of Testing Event #1, and at all times thereafter, Borrower shall achieve, to be tested as of the last day of each fiscal quarter, trailing three (3) month Net Product Revenue of at least the following amounts: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Quarter Ending</w:t>
            </w:r>
          </w:p>
        </w:tc>
        <w:tc>
          <w:tcPr>
            <w:tcW w:w="5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Minimum Trailing Three (3) Month Net Product Revenue</w:t>
            </w:r>
          </w:p>
        </w:tc>
      </w:tr>
      <w:tr>
        <w:trPr>
          <w:trHeight w:val="227"/>
        </w:trPr>
        <w:tc>
          <w:tcPr>
            <w:tcW w:w="5640" w:type="dxa"/>
            <w:vAlign w:val="bottom"/>
            <w:tcBorders>
              <w:left w:val="single" w:sz="8" w:color="auto"/>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tcPr>
          <w:p>
            <w:pPr>
              <w:spacing w:after="0"/>
              <w:rPr>
                <w:sz w:val="19"/>
                <w:szCs w:val="19"/>
                <w:color w:val="auto"/>
              </w:rPr>
            </w:pPr>
          </w:p>
        </w:tc>
      </w:tr>
      <w:tr>
        <w:trPr>
          <w:trHeight w:val="194"/>
        </w:trPr>
        <w:tc>
          <w:tcPr>
            <w:tcW w:w="564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June 30, 2025</w:t>
            </w:r>
          </w:p>
        </w:tc>
        <w:tc>
          <w:tcPr>
            <w:tcW w:w="56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r>
      <w:tr>
        <w:trPr>
          <w:trHeight w:val="194"/>
        </w:trPr>
        <w:tc>
          <w:tcPr>
            <w:tcW w:w="5640" w:type="dxa"/>
            <w:vAlign w:val="bottom"/>
            <w:tcBorders>
              <w:left w:val="single" w:sz="8" w:color="auto"/>
              <w:bottom w:val="single" w:sz="8" w:color="auto"/>
              <w:right w:val="single" w:sz="8" w:color="auto"/>
            </w:tcBorders>
          </w:tcPr>
          <w:p>
            <w:pPr>
              <w:spacing w:after="0"/>
              <w:rPr>
                <w:sz w:val="16"/>
                <w:szCs w:val="16"/>
                <w:color w:val="auto"/>
              </w:rPr>
            </w:pPr>
          </w:p>
        </w:tc>
        <w:tc>
          <w:tcPr>
            <w:tcW w:w="5600" w:type="dxa"/>
            <w:vAlign w:val="bottom"/>
            <w:tcBorders>
              <w:bottom w:val="single" w:sz="8" w:color="auto"/>
              <w:right w:val="single" w:sz="8" w:color="auto"/>
            </w:tcBorders>
          </w:tcPr>
          <w:p>
            <w:pPr>
              <w:spacing w:after="0"/>
              <w:rPr>
                <w:sz w:val="16"/>
                <w:szCs w:val="16"/>
                <w:color w:val="auto"/>
              </w:rPr>
            </w:pPr>
          </w:p>
        </w:tc>
      </w:tr>
      <w:tr>
        <w:trPr>
          <w:trHeight w:val="228"/>
        </w:trPr>
        <w:tc>
          <w:tcPr>
            <w:tcW w:w="5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228"/>
        </w:trPr>
        <w:tc>
          <w:tcPr>
            <w:tcW w:w="5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228"/>
        </w:trPr>
        <w:tc>
          <w:tcPr>
            <w:tcW w:w="5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228"/>
        </w:trPr>
        <w:tc>
          <w:tcPr>
            <w:tcW w:w="5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30, 2026</w:t>
            </w: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228"/>
        </w:trPr>
        <w:tc>
          <w:tcPr>
            <w:tcW w:w="5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228"/>
        </w:trPr>
        <w:tc>
          <w:tcPr>
            <w:tcW w:w="5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bl>
    <w:p>
      <w:pPr>
        <w:spacing w:after="0" w:line="19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With respect to the fiscal quarter ending March 31, 2027, and each fiscal quarter thereafter, the levels of minimum Net Product Revenue shall be mutually agreed upon between Borrower and Bank, based upon, among other factors, (1) the greater of (A) 80.0% of consolidated net revenues and (B) year-over-year growth of 15.0% based on Borrower’s Net Product Revenue for the preceding year, (2) Borrower’s Board-approved operating plan and financial projections (which such operating plan and financial projections shall be acceptable to Bank in its sole discretion) and (3) Bank’s then current credit underwriting. With respect thereto:</w:t>
      </w:r>
    </w:p>
    <w:p>
      <w:pPr>
        <w:spacing w:after="0" w:line="183" w:lineRule="exact"/>
        <w:rPr>
          <w:sz w:val="20"/>
          <w:szCs w:val="20"/>
          <w:color w:val="auto"/>
        </w:rPr>
      </w:pPr>
    </w:p>
    <w:p>
      <w:pPr>
        <w:jc w:val="both"/>
        <w:ind w:firstLine="1505"/>
        <w:spacing w:after="0" w:line="261" w:lineRule="auto"/>
        <w:tabs>
          <w:tab w:leader="none" w:pos="20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failure to agree in writing (which agreement shall be set forth in a written amendment to this Agreement) on or before February 28, 2027 to any minimum Net Product Revenue levels mutually agreed upon between Borrower and Bank with respect to any period from March 31, 2027, through and including December 31, 2027 shall result in an immediate Event of Default for which there shall be no grace or cure period; and</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failure to agree in writing (which agreement shall be set forth in a written amendment to this Agreement) on or before February 28, 2028 to any minimum Net Product Revenue levels mutually agreed upon between Borrower and Bank with respect to any period from March 31, 2028, through and including December 31, 2028 shall result in an immediate Event of Default for which there shall be no grace or cure period.</w:t>
      </w:r>
    </w:p>
    <w:p>
      <w:pPr>
        <w:spacing w:after="0" w:line="176" w:lineRule="exact"/>
        <w:rPr>
          <w:sz w:val="20"/>
          <w:szCs w:val="20"/>
          <w:color w:val="auto"/>
        </w:rPr>
      </w:pPr>
    </w:p>
    <w:p>
      <w:pPr>
        <w:ind w:firstLine="1505"/>
        <w:spacing w:after="0" w:line="282" w:lineRule="auto"/>
        <w:tabs>
          <w:tab w:leader="none" w:pos="20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Cash or Minimum EBITDA</w:t>
      </w:r>
      <w:r>
        <w:rPr>
          <w:rFonts w:ascii="Times New Roman" w:cs="Times New Roman" w:eastAsia="Times New Roman" w:hAnsi="Times New Roman"/>
          <w:sz w:val="18"/>
          <w:szCs w:val="18"/>
          <w:color w:val="auto"/>
        </w:rPr>
        <w:t>. Upon the occurrence of Testing Event #2 and at all times thereafter, Borrower shall maintain, to be tested as of the last day of each fiscal quarter, either of the following (subject to Section 5.8(c) hereof):</w:t>
      </w:r>
    </w:p>
    <w:p>
      <w:pPr>
        <w:spacing w:after="0" w:line="162" w:lineRule="exact"/>
        <w:rPr>
          <w:sz w:val="20"/>
          <w:szCs w:val="20"/>
          <w:color w:val="auto"/>
        </w:rPr>
      </w:pPr>
    </w:p>
    <w:p>
      <w:pPr>
        <w:ind w:left="2040" w:hanging="535"/>
        <w:spacing w:after="0"/>
        <w:tabs>
          <w:tab w:leader="none" w:pos="2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Cash in an amount of at least the Minimum Cash Threshold; or</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Trailing three (3) month EBITDA of at least the following amounts: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4600" w:type="dxa"/>
            <w:vAlign w:val="bottom"/>
            <w:tcBorders>
              <w:top w:val="single" w:sz="8" w:color="auto"/>
              <w:left w:val="single" w:sz="8" w:color="auto"/>
            </w:tcBorders>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Fiscal Quarter Ending</w:t>
            </w:r>
          </w:p>
        </w:tc>
        <w:tc>
          <w:tcPr>
            <w:tcW w:w="1060" w:type="dxa"/>
            <w:vAlign w:val="bottom"/>
            <w:tcBorders>
              <w:top w:val="single" w:sz="8" w:color="auto"/>
              <w:right w:val="single" w:sz="8" w:color="auto"/>
            </w:tcBorders>
          </w:tcPr>
          <w:p>
            <w:pPr>
              <w:spacing w:after="0"/>
              <w:rPr>
                <w:sz w:val="22"/>
                <w:szCs w:val="22"/>
                <w:color w:val="auto"/>
              </w:rPr>
            </w:pPr>
          </w:p>
        </w:tc>
        <w:tc>
          <w:tcPr>
            <w:tcW w:w="5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Minimum Trailing Three (3) Month EBIDTA</w:t>
            </w:r>
          </w:p>
        </w:tc>
      </w:tr>
      <w:tr>
        <w:trPr>
          <w:trHeight w:val="227"/>
        </w:trPr>
        <w:tc>
          <w:tcPr>
            <w:tcW w:w="4600" w:type="dxa"/>
            <w:vAlign w:val="bottom"/>
            <w:tcBorders>
              <w:left w:val="single" w:sz="8" w:color="auto"/>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tcPr>
          <w:p>
            <w:pPr>
              <w:spacing w:after="0"/>
              <w:rPr>
                <w:sz w:val="19"/>
                <w:szCs w:val="19"/>
                <w:color w:val="auto"/>
              </w:rPr>
            </w:pPr>
          </w:p>
        </w:tc>
      </w:tr>
      <w:tr>
        <w:trPr>
          <w:trHeight w:val="194"/>
        </w:trPr>
        <w:tc>
          <w:tcPr>
            <w:tcW w:w="4600" w:type="dxa"/>
            <w:vAlign w:val="bottom"/>
            <w:tcBorders>
              <w:left w:val="single" w:sz="8" w:color="auto"/>
            </w:tcBorders>
          </w:tcPr>
          <w:p>
            <w:pPr>
              <w:jc w:val="center"/>
              <w:ind w:left="950"/>
              <w:spacing w:after="0" w:line="195" w:lineRule="exact"/>
              <w:rPr>
                <w:sz w:val="20"/>
                <w:szCs w:val="20"/>
                <w:color w:val="auto"/>
              </w:rPr>
            </w:pPr>
            <w:r>
              <w:rPr>
                <w:rFonts w:ascii="Times New Roman" w:cs="Times New Roman" w:eastAsia="Times New Roman" w:hAnsi="Times New Roman"/>
                <w:sz w:val="18"/>
                <w:szCs w:val="18"/>
                <w:color w:val="auto"/>
                <w:w w:val="99"/>
              </w:rPr>
              <w:t>September 30, 2025</w:t>
            </w:r>
          </w:p>
        </w:tc>
        <w:tc>
          <w:tcPr>
            <w:tcW w:w="106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r>
      <w:tr>
        <w:trPr>
          <w:trHeight w:val="194"/>
        </w:trPr>
        <w:tc>
          <w:tcPr>
            <w:tcW w:w="460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5580" w:type="dxa"/>
            <w:vAlign w:val="bottom"/>
            <w:tcBorders>
              <w:bottom w:val="single" w:sz="8" w:color="auto"/>
              <w:right w:val="single" w:sz="8" w:color="auto"/>
            </w:tcBorders>
          </w:tcPr>
          <w:p>
            <w:pPr>
              <w:spacing w:after="0"/>
              <w:rPr>
                <w:sz w:val="16"/>
                <w:szCs w:val="16"/>
                <w:color w:val="auto"/>
              </w:rPr>
            </w:pPr>
          </w:p>
        </w:tc>
      </w:tr>
      <w:tr>
        <w:trPr>
          <w:trHeight w:val="228"/>
        </w:trPr>
        <w:tc>
          <w:tcPr>
            <w:tcW w:w="4600" w:type="dxa"/>
            <w:vAlign w:val="bottom"/>
            <w:tcBorders>
              <w:left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color w:val="auto"/>
              </w:rPr>
              <w:t>December 31, 2025</w:t>
            </w:r>
          </w:p>
        </w:tc>
        <w:tc>
          <w:tcPr>
            <w:tcW w:w="106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4600" w:type="dxa"/>
            <w:vAlign w:val="bottom"/>
            <w:tcBorders>
              <w:left w:val="single" w:sz="8" w:color="auto"/>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tcPr>
          <w:p>
            <w:pPr>
              <w:spacing w:after="0"/>
              <w:rPr>
                <w:sz w:val="17"/>
                <w:szCs w:val="17"/>
                <w:color w:val="auto"/>
              </w:rPr>
            </w:pPr>
          </w:p>
        </w:tc>
      </w:tr>
      <w:tr>
        <w:trPr>
          <w:trHeight w:val="228"/>
        </w:trPr>
        <w:tc>
          <w:tcPr>
            <w:tcW w:w="4600" w:type="dxa"/>
            <w:vAlign w:val="bottom"/>
            <w:tcBorders>
              <w:left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color w:val="auto"/>
                <w:w w:val="99"/>
              </w:rPr>
              <w:t>March 31, 2026</w:t>
            </w:r>
          </w:p>
        </w:tc>
        <w:tc>
          <w:tcPr>
            <w:tcW w:w="106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4600" w:type="dxa"/>
            <w:vAlign w:val="bottom"/>
            <w:tcBorders>
              <w:left w:val="single" w:sz="8" w:color="auto"/>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tcPr>
          <w:p>
            <w:pPr>
              <w:spacing w:after="0"/>
              <w:rPr>
                <w:sz w:val="17"/>
                <w:szCs w:val="17"/>
                <w:color w:val="auto"/>
              </w:rPr>
            </w:pPr>
          </w:p>
        </w:tc>
      </w:tr>
      <w:tr>
        <w:trPr>
          <w:trHeight w:val="228"/>
        </w:trPr>
        <w:tc>
          <w:tcPr>
            <w:tcW w:w="4600" w:type="dxa"/>
            <w:vAlign w:val="bottom"/>
            <w:tcBorders>
              <w:left w:val="single" w:sz="8" w:color="auto"/>
            </w:tcBorders>
          </w:tcPr>
          <w:p>
            <w:pPr>
              <w:jc w:val="center"/>
              <w:ind w:left="950"/>
              <w:spacing w:after="0"/>
              <w:rPr>
                <w:sz w:val="20"/>
                <w:szCs w:val="20"/>
                <w:color w:val="auto"/>
              </w:rPr>
            </w:pPr>
            <w:r>
              <w:rPr>
                <w:rFonts w:ascii="Times New Roman" w:cs="Times New Roman" w:eastAsia="Times New Roman" w:hAnsi="Times New Roman"/>
                <w:sz w:val="18"/>
                <w:szCs w:val="18"/>
                <w:color w:val="auto"/>
                <w:w w:val="99"/>
              </w:rPr>
              <w:t>June 30, 2026</w:t>
            </w:r>
          </w:p>
        </w:tc>
        <w:tc>
          <w:tcPr>
            <w:tcW w:w="106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4600" w:type="dxa"/>
            <w:vAlign w:val="bottom"/>
            <w:tcBorders>
              <w:left w:val="single" w:sz="8" w:color="auto"/>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tcPr>
          <w:p>
            <w:pPr>
              <w:spacing w:after="0"/>
              <w:rPr>
                <w:sz w:val="17"/>
                <w:szCs w:val="17"/>
                <w:color w:val="auto"/>
              </w:rPr>
            </w:pPr>
          </w:p>
        </w:tc>
      </w:tr>
      <w:tr>
        <w:trPr>
          <w:trHeight w:val="425"/>
        </w:trPr>
        <w:tc>
          <w:tcPr>
            <w:tcW w:w="4600" w:type="dxa"/>
            <w:vAlign w:val="bottom"/>
          </w:tcPr>
          <w:p>
            <w:pPr>
              <w:spacing w:after="0"/>
              <w:rPr>
                <w:sz w:val="24"/>
                <w:szCs w:val="24"/>
                <w:color w:val="auto"/>
              </w:rPr>
            </w:pPr>
          </w:p>
        </w:tc>
        <w:tc>
          <w:tcPr>
            <w:tcW w:w="664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14</w:t>
            </w:r>
          </w:p>
        </w:tc>
      </w:tr>
      <w:tr>
        <w:trPr>
          <w:trHeight w:val="844"/>
        </w:trPr>
        <w:tc>
          <w:tcPr>
            <w:tcW w:w="46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54"/>
        </w:trPr>
        <w:tc>
          <w:tcPr>
            <w:tcW w:w="5620" w:type="dxa"/>
            <w:vAlign w:val="bottom"/>
            <w:tcBorders>
              <w:top w:val="single" w:sz="8" w:color="auto"/>
              <w:left w:val="single" w:sz="8" w:color="auto"/>
              <w:right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September 30, 2026</w:t>
            </w:r>
          </w:p>
        </w:tc>
        <w:tc>
          <w:tcPr>
            <w:tcW w:w="5620" w:type="dxa"/>
            <w:vAlign w:val="bottom"/>
            <w:tcBorders>
              <w:top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562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194"/>
        </w:trPr>
        <w:tc>
          <w:tcPr>
            <w:tcW w:w="5620" w:type="dxa"/>
            <w:vAlign w:val="bottom"/>
            <w:tcBorders>
              <w:left w:val="single" w:sz="8" w:color="auto"/>
              <w:right w:val="single" w:sz="8" w:color="auto"/>
            </w:tcBorders>
          </w:tcPr>
          <w:p>
            <w:pPr>
              <w:ind w:left="2100"/>
              <w:spacing w:after="0" w:line="195" w:lineRule="exact"/>
              <w:rPr>
                <w:sz w:val="20"/>
                <w:szCs w:val="20"/>
                <w:color w:val="auto"/>
              </w:rPr>
            </w:pPr>
            <w:r>
              <w:rPr>
                <w:rFonts w:ascii="Times New Roman" w:cs="Times New Roman" w:eastAsia="Times New Roman" w:hAnsi="Times New Roman"/>
                <w:sz w:val="18"/>
                <w:szCs w:val="18"/>
                <w:color w:val="auto"/>
              </w:rPr>
              <w:t>December 31, 2026</w:t>
            </w:r>
          </w:p>
        </w:tc>
        <w:tc>
          <w:tcPr>
            <w:tcW w:w="5620" w:type="dxa"/>
            <w:vAlign w:val="bottom"/>
            <w:tcBorders>
              <w:right w:val="single" w:sz="8" w:color="auto"/>
            </w:tcBorders>
          </w:tcPr>
          <w:p>
            <w:pPr>
              <w:jc w:val="right"/>
              <w:ind w:right="249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194"/>
        </w:trPr>
        <w:tc>
          <w:tcPr>
            <w:tcW w:w="5620" w:type="dxa"/>
            <w:vAlign w:val="bottom"/>
            <w:tcBorders>
              <w:left w:val="single" w:sz="8" w:color="auto"/>
              <w:bottom w:val="single" w:sz="8" w:color="auto"/>
              <w:right w:val="single" w:sz="8" w:color="auto"/>
            </w:tcBorders>
          </w:tcPr>
          <w:p>
            <w:pPr>
              <w:spacing w:after="0"/>
              <w:rPr>
                <w:sz w:val="16"/>
                <w:szCs w:val="16"/>
                <w:color w:val="auto"/>
              </w:rPr>
            </w:pPr>
          </w:p>
        </w:tc>
        <w:tc>
          <w:tcPr>
            <w:tcW w:w="5620" w:type="dxa"/>
            <w:vAlign w:val="bottom"/>
            <w:tcBorders>
              <w:bottom w:val="single" w:sz="8" w:color="auto"/>
              <w:right w:val="single" w:sz="8" w:color="auto"/>
            </w:tcBorders>
          </w:tcPr>
          <w:p>
            <w:pPr>
              <w:spacing w:after="0"/>
              <w:rPr>
                <w:sz w:val="16"/>
                <w:szCs w:val="16"/>
                <w:color w:val="auto"/>
              </w:rPr>
            </w:pPr>
          </w:p>
        </w:tc>
      </w:tr>
    </w:tbl>
    <w:p>
      <w:pPr>
        <w:spacing w:after="0" w:line="19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With respect to the fiscal quarter ending March 31, 2027, and each fiscal quarter thereafter, the minimum EBITDA covenant levels shall be mutually agreed upon between Borrower and Bank, based upon, among other factors, Borrower’s Board-approved operating plan and financial projections (which such operating plan and financial projections shall be acceptable to Bank in its sole discretion) and Bank’s then current credit underwriting. With respect thereto:</w:t>
      </w:r>
    </w:p>
    <w:p>
      <w:pPr>
        <w:spacing w:after="0" w:line="180" w:lineRule="exact"/>
        <w:rPr>
          <w:sz w:val="20"/>
          <w:szCs w:val="20"/>
          <w:color w:val="auto"/>
        </w:rPr>
      </w:pPr>
    </w:p>
    <w:p>
      <w:pPr>
        <w:jc w:val="both"/>
        <w:ind w:firstLine="1505"/>
        <w:spacing w:after="0" w:line="266" w:lineRule="auto"/>
        <w:tabs>
          <w:tab w:leader="none" w:pos="20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failure to agree in writing (which agreement shall be set forth in a written amendment to this Agreement) on or before February 28, 2027 to any minimum EBITDA levels mutually agreed upon between Borrower and Bank with respect to any period from March 31, 2027, through and including December 31, 2027 shall result in an immediate Event of Default for which there shall be no grace or cure period; and</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failure to agree in writing (which agreement shall be set forth in a written amendment to this Agreement) on or before February 28, 2028 to any minimum EBITDA levels mutually agreed upon between Borrower and Bank with respect to any period from March 31, 2028, through and including December 31, 2028 shall result in an immediate Event of Default for which there shall be no grace or cure period.</w:t>
      </w:r>
    </w:p>
    <w:p>
      <w:pPr>
        <w:spacing w:after="0" w:line="176" w:lineRule="exact"/>
        <w:rPr>
          <w:sz w:val="20"/>
          <w:szCs w:val="20"/>
          <w:color w:val="auto"/>
        </w:rPr>
      </w:pPr>
    </w:p>
    <w:p>
      <w:pPr>
        <w:jc w:val="both"/>
        <w:ind w:firstLine="1505"/>
        <w:spacing w:after="0" w:line="266" w:lineRule="auto"/>
        <w:tabs>
          <w:tab w:leader="none" w:pos="20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Cash Trigger.</w:t>
      </w:r>
      <w:r>
        <w:rPr>
          <w:rFonts w:ascii="Times New Roman" w:cs="Times New Roman" w:eastAsia="Times New Roman" w:hAnsi="Times New Roman"/>
          <w:sz w:val="18"/>
          <w:szCs w:val="18"/>
          <w:color w:val="auto"/>
        </w:rPr>
        <w:t xml:space="preserve"> Notwithstanding the provisions of Section 5.8(b), upon the occurrence of the Minimum Cash Trigger Event, and at all times thereafter, Borrower shall maintain, to be tested as of the last day of each fiscal quarter, Minimum Cash in an amount of at least than the Minimum Cash Threshold.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5.10Protection of Intellectual Property Rights.</w:t>
      </w:r>
    </w:p>
    <w:p>
      <w:pPr>
        <w:spacing w:after="0" w:line="229" w:lineRule="exact"/>
        <w:rPr>
          <w:sz w:val="20"/>
          <w:szCs w:val="20"/>
          <w:color w:val="auto"/>
        </w:rPr>
      </w:pPr>
    </w:p>
    <w:p>
      <w:pPr>
        <w:jc w:val="both"/>
        <w:ind w:firstLine="1505"/>
        <w:spacing w:after="0" w:line="258" w:lineRule="auto"/>
        <w:tabs>
          <w:tab w:leader="none" w:pos="20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Protect, defend and maintain the validity and enforceability of Borrower’s and each Subsidiary’s Intellectual Property, except to the extent that such failure to do so would not reasonably be expected to have a material adverse effect on Borrower’s business or operations; (ii) promptly advise Bank in writing of infringements or any other event that could reasonably be expected to materially and adversely affect the value Borrower’s and each Subsidiary’s Intellectual Property material to Borrower’s business; and (iii) not allow any Intellectual Property material to Borrower’s or any Subsidiary’s business to be abandoned, forfeited or dedicated to the public without Bank’s written consent.</w:t>
      </w:r>
    </w:p>
    <w:p>
      <w:pPr>
        <w:spacing w:after="0" w:line="183"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written notice to Bank within ten (10) days of entering or becoming bound by any Restricted License (other than over-the-counter software that is commercially available to the public). Borrower shall take such commercially reasonable steps as Bank reasonably requests to obtain the consent of, or waiver by, any person whose consent or waiver is necessary for (i) any such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5.11Litigation Cooperation. </w:t>
      </w:r>
      <w:r>
        <w:rPr>
          <w:rFonts w:ascii="Times New Roman" w:cs="Times New Roman" w:eastAsia="Times New Roman" w:hAnsi="Times New Roman"/>
          <w:sz w:val="18"/>
          <w:szCs w:val="18"/>
          <w:color w:val="auto"/>
        </w:rPr>
        <w:t>From the date hereof and continuing through the termination of this Agreement, make available to Bank,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7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5.12Formation or Acquisition of Subsidiaries. </w:t>
      </w:r>
      <w:r>
        <w:rPr>
          <w:rFonts w:ascii="Times New Roman" w:cs="Times New Roman" w:eastAsia="Times New Roman" w:hAnsi="Times New Roman"/>
          <w:sz w:val="18"/>
          <w:szCs w:val="18"/>
          <w:color w:val="auto"/>
        </w:rPr>
        <w:t>Notwithstanding and without limiting the negative covenants contained in Sections 6.3 and 6.7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at the time that Borrower or any Guarantor forms any Subsidiary or acquires any Subsidiary after the Effective Date (including, without limitation, pursuant to a Division), Borrower and such Guarantor shall (a) cause such new Subsidiary to provide to Bank a joinder to this Agreement to become a co-borrower hereunder or a guaranty to become a Guarantor hereunder (as determined by Bank in its sole discretion), together with documentation, all in form and substance satisfactory to Bank (including being sufficient to grant Bank a first priority Lien (subject to Permitted Liens) in and to the assets of such newly formed or acquired Subsidiary), (b) provide to Bank appropriate certificates and powers and financing statements, pledging all of the direct or beneficial ownership interest in such new Subsidiary, in form and substance satisfactory to Bank; and (c) provide to Bank all other documentation in form and substance satisfactory to Bank, including one or more opinions of counsel reasonably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satisfactory to Bank, which in its opinion is appropriate with respect to the execution and delivery of the applicable documentation referred to above. Any document, agreement, or instrument executed or issued pursuant to this Section 5.11 shall be a Loan Document.</w:t>
      </w:r>
    </w:p>
    <w:p>
      <w:pPr>
        <w:spacing w:after="0" w:line="15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5.13Inventory; Returns</w:t>
      </w:r>
      <w:r>
        <w:rPr>
          <w:rFonts w:ascii="Times New Roman" w:cs="Times New Roman" w:eastAsia="Times New Roman" w:hAnsi="Times New Roman"/>
          <w:sz w:val="18"/>
          <w:szCs w:val="18"/>
          <w:color w:val="auto"/>
        </w:rPr>
        <w:t>. Keep all Inventory in good and marketable condition, free from material defects (other than resulting from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casualty or any taking under power of eminent domain or by condemnation). Returns and allowances between Borrower and its Account Debtors shall follow Borrower’s customary practices as they exist at the Effective Date. Borrower shall promptly notify Bank of all returns, recoveries, disputes and claims that involve more than $300,000.00.</w:t>
      </w:r>
    </w:p>
    <w:p>
      <w:pPr>
        <w:spacing w:after="0" w:line="176"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5.14Further Assurances. </w:t>
      </w:r>
      <w:r>
        <w:rPr>
          <w:rFonts w:ascii="Times New Roman" w:cs="Times New Roman" w:eastAsia="Times New Roman" w:hAnsi="Times New Roman"/>
          <w:sz w:val="18"/>
          <w:szCs w:val="18"/>
          <w:color w:val="auto"/>
        </w:rPr>
        <w:t>Execute any further instruments and take such further action as Bank reasonably requests to effect the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including, but not limited to, perfecting, protecting, and/or ensuring the priority of or continue Bank’s Lien on the Collateral.</w:t>
      </w:r>
    </w:p>
    <w:p>
      <w:pPr>
        <w:spacing w:after="0" w:line="15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5.15Sanctions</w:t>
      </w:r>
      <w:r>
        <w:rPr>
          <w:rFonts w:ascii="Times New Roman" w:cs="Times New Roman" w:eastAsia="Times New Roman" w:hAnsi="Times New Roman"/>
          <w:sz w:val="18"/>
          <w:szCs w:val="18"/>
          <w:color w:val="auto"/>
        </w:rPr>
        <w:t>. (a) Not, and not permit any of its Subsidiaries to, engage in any of the activities described in Section 4.10 in the future; (b)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not permit any of its Subsidiaries to, become a Sanctioned Person; (c) ensure that the proceeds of the Obligations are not used to violate any Sanctions; and (d) deliver to Bank any certification or other evidence requested from time to time by Bank in its sole discretion, confirming each such Person’s compliance with this Section 5.13. In addition, have implemented, and will consistently apply while this Agreement is in effect, procedures to ensure that the representations and warranties in Section 4.10 remain true and correct while this Agreement is in effect.</w:t>
      </w:r>
    </w:p>
    <w:p>
      <w:pPr>
        <w:spacing w:after="0" w:line="17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5.16Post-Closing Conditions</w:t>
      </w:r>
      <w:r>
        <w:rPr>
          <w:rFonts w:ascii="Times New Roman" w:cs="Times New Roman" w:eastAsia="Times New Roman" w:hAnsi="Times New Roman"/>
          <w:sz w:val="18"/>
          <w:szCs w:val="18"/>
          <w:color w:val="auto"/>
        </w:rPr>
        <w:t>. Borrower shall (a) deliver to Bank, (i) within ten (10) Business Days of the Effective Date, stock power forms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originals) executed by Borrower with respect to capital stock of Securities Corp. and delivery of stock certificates evidencing ownership interest in Securities Corp., (ii) within thirty (30) days of the Effective Date, evidence satisfactory to Bank that the insurance endorsements required by Section 5.6 hereof are in full force and effect, together with appropriate evidence showing lender loss payable and/or additional insured clauses or endorsements in favor of Bank and (iii) within 90 days of the Effective Date, a duly executed Control Agreement with U.S. Bank, in form and substance satisfactory to Bank and (b) use commercially reasonable efforts to deliver to Bank, within 30 days of the Effective Date, (1) a duly executed landlord’s consent in favor of Bank for Borrower’s leased location at [***], by the respective landlord thereof and (2) duly executed bailee’s waivers in favor of Bank for the locations where Borrower maintains property with a third party at (x) [***], (y) [***] and (z) [***], by each such third party, in each case in form and substance satisfactory to Bank.</w:t>
      </w:r>
    </w:p>
    <w:p>
      <w:pPr>
        <w:spacing w:after="0" w:line="188" w:lineRule="exact"/>
        <w:rPr>
          <w:sz w:val="20"/>
          <w:szCs w:val="20"/>
          <w:color w:val="auto"/>
        </w:rPr>
      </w:pPr>
    </w:p>
    <w:p>
      <w:pPr>
        <w:ind w:left="1020" w:hanging="263"/>
        <w:spacing w:after="0"/>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Borrower shall not do any of the following without Bank’s prior written consent:</w:t>
      </w:r>
    </w:p>
    <w:p>
      <w:pPr>
        <w:spacing w:after="0" w:line="22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6.2 Dispositions. </w:t>
      </w:r>
      <w:r>
        <w:rPr>
          <w:rFonts w:ascii="Times New Roman" w:cs="Times New Roman" w:eastAsia="Times New Roman" w:hAnsi="Times New Roman"/>
          <w:sz w:val="18"/>
          <w:szCs w:val="18"/>
          <w:color w:val="auto"/>
        </w:rPr>
        <w:t>Convey, sell, lease, transfer, assign, or otherwise dispose of (including, without limitation, pursuant to a Division)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or permit any of its Subsidiaries to Transfer, all or any part of its business or property, except for Transfers (a) of Inventory in the ordinary course of business; (b) of worn-out, surplus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partnership, membership, or other ownership interest or other equity securities of Borrower permitted under Section 6.2 of this Agreement; (e) consisting of Borrower’s or its Subsidiaries’ use or transfer of money or Cash Equivalents in a manner that is not prohibited by the terms of this Agreement or the other Loan Documents; (f) consisting of non-exclusive licenses for the use of the property of Borrower or its Subsidiaries in the ordinary course of business and licenses of Intellectual Property in the ordinary course of Borrower’s business that could not result in a legal transfer of title of the licensed property that may be exclusive in respects other than territory and that may be exclusive as to territory only as to discrete geographical areas outside of the United States; (g) (i) among Borrowers and any secured Guarantors or (ii) by any Subsidiary to Borrower or any secured Guarantor and</w:t>
      </w:r>
    </w:p>
    <w:p>
      <w:pPr>
        <w:jc w:val="both"/>
        <w:ind w:firstLine="8"/>
        <w:spacing w:after="0" w:line="255" w:lineRule="auto"/>
        <w:tabs>
          <w:tab w:leader="none" w:pos="33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Subsidiary that is not a Borrower or secured Guarantor to any other Subsidiary that is not a Borrower or secured Guarantor; (h) leases or subleases of real property entered into in the ordinary course of Borrower’s business; (i) resulting from any casualty or any taking under power of eminent domain or by condemnation; and (j) consisting of other non-material assets not to exceed $250,000.00 in the aggregate per fiscal year.</w:t>
      </w:r>
    </w:p>
    <w:p>
      <w:pPr>
        <w:spacing w:after="0" w:line="18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6.3 Changes in Business, Management, Control, or Business Locations. </w:t>
      </w:r>
      <w:r>
        <w:rPr>
          <w:rFonts w:ascii="Times New Roman" w:cs="Times New Roman" w:eastAsia="Times New Roman" w:hAnsi="Times New Roman"/>
          <w:sz w:val="18"/>
          <w:szCs w:val="18"/>
          <w:color w:val="auto"/>
        </w:rPr>
        <w:t>(a) Engage in or permit any of its Subsidiaries to engage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other than the businesses currently engaged in by Borrower and such Subsidiary, as applicable, or reasonably related thereto; (b) liquidate or dissolve or permit any of its Subsidiaries to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8"/>
          <w:szCs w:val="18"/>
          <w:color w:val="auto"/>
        </w:rPr>
        <w:t>liquidate or dissolve (provided that any Subsidiary may liquidate or dissolve, so long as it transfers all of its assets to Borrower free and clear of any Liens (other than Permitted Liens)); (c) fail to provide notice to Bank of any Key Person departing from or ceasing to be employed by Borrower within five (5) Business Days after such Key Person’s departure from Borrower; (d) permit, allow or suffer to occur any Change in Control; or (e) without at least ten (10) days prior written notice to Bank, (i) add any new offices or business locations, including warehouses (unless such new offices or business locations contain less than $250,000.00 in Borrower’s assets or property) or deliver any portion of the Collateral valued, individually or in the aggregate, in excess of $250,000.00 to a bailee at a location other than to a bailee and at a location already disclosed in the Perfection Certificate, (ii) change its jurisdiction of organization, (iii) change its organizational structure or type, (iv) change its legal name, or (v) change any organizational number (if any) assigned by its jurisdiction of organization. If Borrower intends to add any new offices or business locations, including warehouses, containing in excess of $250,000.00 of Borrower’s assets or property, then Borrower shall use commercially reasonable efforts to cause the landlord of any such new offices or business locations, including warehouses, to execute and deliver a landlord consent in form and substance satisfactory to Bank. If Borrower intends to deliver any portion of the Collateral valued, individually or in the aggregate, in excess of $250,000.00 to a bailee, and Bank and such bailee are not already parties to a bailee agreement governing both the Collateral and the location to which Borrower intends to deliver the Collateral, then Borrower shall use commercially reasonable efforts to cause such bailee to execute and deliver a bailee agreement in form and substance satisfactory to Bank.</w:t>
      </w:r>
    </w:p>
    <w:p>
      <w:pPr>
        <w:spacing w:after="0" w:line="18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6.4 Mergers or Acquisitions. </w:t>
      </w:r>
      <w:r>
        <w:rPr>
          <w:rFonts w:ascii="Times New Roman" w:cs="Times New Roman" w:eastAsia="Times New Roman" w:hAnsi="Times New Roman"/>
          <w:sz w:val="18"/>
          <w:szCs w:val="18"/>
          <w:color w:val="auto"/>
        </w:rPr>
        <w:t>Merge or consolidate, or permit any of its Subsidiaries to merge or consolidate, with any other Person, or acquire,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permit any of its Subsidiaries to acquire, all or substantially all of the stock, partnership, membership, or other ownership interest or other equity securities or property of another Person (including, without limitation, by the formation of any Subsidiary or pursuant to a Division). Notwithstanding the foregoing, a Subsidiary may merge or consolidate into another Subsidiary or into Borrower.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6.5 Indebtedness. </w:t>
      </w:r>
      <w:r>
        <w:rPr>
          <w:rFonts w:ascii="Times New Roman" w:cs="Times New Roman" w:eastAsia="Times New Roman" w:hAnsi="Times New Roman"/>
          <w:sz w:val="18"/>
          <w:szCs w:val="18"/>
          <w:color w:val="auto"/>
        </w:rPr>
        <w:t>Create, incur, assume, or be liable for any Indebtedness, or permit any Subsidiary to do so, other than Permitted Indebtedness.</w:t>
      </w:r>
    </w:p>
    <w:p>
      <w:pPr>
        <w:spacing w:after="0" w:line="22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6.6 Encumbrance. </w:t>
      </w:r>
      <w:r>
        <w:rPr>
          <w:rFonts w:ascii="Times New Roman" w:cs="Times New Roman" w:eastAsia="Times New Roman" w:hAnsi="Times New Roman"/>
          <w:sz w:val="18"/>
          <w:szCs w:val="18"/>
          <w:color w:val="auto"/>
        </w:rPr>
        <w:t>Create, incur, allow, or suffer to exist any Lien on any of its property, or assign or convey any right to receive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sale 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(i) as is otherwise permitted in Section 6.1 hereof and the definition of “Permitted Liens” herein, (ii) for customary restrictions on assignment, transfer and encumbrances in license agreements under which Borrower or any Subsidiary is the licensee or (iii) for covenants with such restrictions in merger or acquisition agreements; provided that such covenants do not prohibit Borrower or any Subsidiary from granting a security interest in Borrower’s or any such Subsidiary’s Intellectual Property in favor of Bank; and provided further that the counterparties to such covenants are not permitted to receive a security interest in Borrower’s or any Subsidiary’s Intellectual Property.</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6.7 Maintenance of Collateral Accounts. </w:t>
      </w:r>
      <w:r>
        <w:rPr>
          <w:rFonts w:ascii="Times New Roman" w:cs="Times New Roman" w:eastAsia="Times New Roman" w:hAnsi="Times New Roman"/>
          <w:sz w:val="18"/>
          <w:szCs w:val="18"/>
          <w:color w:val="auto"/>
        </w:rPr>
        <w:t>Maintain any Collateral Account except pursuant to the terms of Section 5.7(c).</w:t>
      </w:r>
    </w:p>
    <w:p>
      <w:pPr>
        <w:spacing w:after="0" w:line="22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6.8 Distributions; Investments. </w:t>
      </w:r>
      <w:r>
        <w:rPr>
          <w:rFonts w:ascii="Times New Roman" w:cs="Times New Roman" w:eastAsia="Times New Roman" w:hAnsi="Times New Roman"/>
          <w:sz w:val="18"/>
          <w:szCs w:val="18"/>
          <w:color w:val="auto"/>
        </w:rPr>
        <w:t>(a) Pay any dividends or make any distribution or payment or redeem, retire or purchase any stock, partnership,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or other ownership interest or other equity securities; provided that (i) Borrower may convert any of its convertible securities into other securities pursuant to the terms of such convertible securities or otherwise in exchange thereof, (ii) Borrower may pay dividends solely in common stock,</w:t>
      </w:r>
    </w:p>
    <w:p>
      <w:pPr>
        <w:jc w:val="both"/>
        <w:ind w:firstLine="8"/>
        <w:spacing w:after="0" w:line="251" w:lineRule="auto"/>
        <w:tabs>
          <w:tab w:leader="none" w:pos="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make cash payments in lieu of the issuance of fractional shares upon the conversion of convertible securities in an aggregate amount not to exceed $10,000.00 per fiscal year, (iv) Borrower may repurchase the stock, partnership, membership, or other ownership interest or other equity securities of current or former employees, directors, or consultants pursuant to stock repurchase agreements, so long as an Event of Default does not exist at the time of any such repurchase and would not exist after giving effect to any such repurchase, provided that the aggregate amount of all such repurchases does not exceed $250,000.00 per fiscal year, (v) Borrower may make purchases of capital stock in connection with the exercise of stock options or stock appreciation by way of a cashless exercise and (vi) Borrower or any Subsidiary may acquire (or withhold) its equity interests pursuant to any employee stock option or similar plan to pay withholding taxes for which Borrower is liable in respect of a current or former officer, director, employee, member of management or consultant upon such grant or award (or upon vesting or exercise thereof); or (b) directly or indirectly make any Investment (including, without limitation, by the formation of any Subsidiary) other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than Permitted Investments, or permit any of its Subsidiaries to do so. Notwithstanding the foregoing, Subsidiaries of Borrower shall be permitted to pay dividends to Borrower or make distributions to Borrower.</w:t>
      </w:r>
    </w:p>
    <w:p>
      <w:pPr>
        <w:spacing w:after="0" w:line="15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6.9 Transactions with Affiliates. </w:t>
      </w:r>
      <w:r>
        <w:rPr>
          <w:rFonts w:ascii="Times New Roman" w:cs="Times New Roman" w:eastAsia="Times New Roman" w:hAnsi="Times New Roman"/>
          <w:sz w:val="18"/>
          <w:szCs w:val="18"/>
          <w:color w:val="auto"/>
        </w:rPr>
        <w:t>Directly or indirectly enter into or permit to exist any material transaction with any Affiliate of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(a) transactions between or among Borrower and any other Borrower or secured Guarantor, (b) transactions that are in the ordinary course of Borrower’s business, upon fair and reasonable terms that are no less favorable to Borrower than would be obtained in an arm’s length transaction with a non-affiliated Person, (c) equity or bridge financing transactions with existing investors that are not otherwise prohibited by this Agreement, provided that any such bridge financing constitutes Subordinated Debt, (d) reasonable and customary compensation and other benefits arrangements (including retirement, health, stock option and other benefit plans and indemnification arrangements) for directors, officers and employees of Borrower entered into or maintained in the ordinary course of business and approved by the Board, and (e) transactions permitted pursuant to Sections 6.1, 6.3 and 6.7.</w:t>
      </w:r>
    </w:p>
    <w:p>
      <w:pPr>
        <w:spacing w:after="0" w:line="18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6.10Subordinated Debt. </w:t>
      </w:r>
      <w:r>
        <w:rPr>
          <w:rFonts w:ascii="Times New Roman" w:cs="Times New Roman" w:eastAsia="Times New Roman" w:hAnsi="Times New Roman"/>
          <w:sz w:val="18"/>
          <w:szCs w:val="18"/>
          <w:color w:val="auto"/>
        </w:rPr>
        <w:t>Except as expressly permitted under the terms of the subordination, intercreditor, or other similar agreement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Subordinated Debt is subject: (a) make or permit any payment on such Subordinated Debt; or (b) amend any provision in any document relating to such Subordinated Debt which would increase the amount thereof, provide for earlier or greater principal, interest, or other payments thereon, or adversely affect the subordination thereof to Obligations owed to Bank.</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6.11Compliance. </w:t>
      </w:r>
      <w:r>
        <w:rPr>
          <w:rFonts w:ascii="Times New Roman" w:cs="Times New Roman" w:eastAsia="Times New Roman" w:hAnsi="Times New Roman"/>
          <w:sz w:val="18"/>
          <w:szCs w:val="18"/>
          <w:color w:val="auto"/>
        </w:rPr>
        <w:t>(a) Become an “investment company” or a company controlled by an “investment company”, under the Investment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1940, as amended, or undertake as one of its important activities extending credit to purchase or carry margin stock (as defined in Regulation U of the Board of Governors of the Federal Reserve System), or use the proceeds of any Credit Extension for that purpose; (b)(i) fail to meet the minimum funding requirements of ERISA, (ii) permit a Reportable Event or Prohibited Transaction, as defined in ERISA, to occur, (iii) fail to comply with the Federal Fair Labor Standards Act or (iv) violate any other law or regulation, if the foregoing subclauses (i) through (iv), individually or in the aggregate, could reasonably be expected to have a material adverse effect on Borrower’s business or operations, or permit any of its Subsidiaries to do so; or (c)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Authority.</w:t>
      </w:r>
    </w:p>
    <w:p>
      <w:pPr>
        <w:spacing w:after="0" w:line="188" w:lineRule="exact"/>
        <w:rPr>
          <w:sz w:val="20"/>
          <w:szCs w:val="20"/>
          <w:color w:val="auto"/>
        </w:rPr>
      </w:pPr>
    </w:p>
    <w:p>
      <w:pPr>
        <w:ind w:left="1020" w:hanging="263"/>
        <w:spacing w:after="0"/>
        <w:tabs>
          <w:tab w:leader="none" w:pos="10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7.2 Payment Default. </w:t>
      </w:r>
      <w:r>
        <w:rPr>
          <w:rFonts w:ascii="Times New Roman" w:cs="Times New Roman" w:eastAsia="Times New Roman" w:hAnsi="Times New Roman"/>
          <w:sz w:val="18"/>
          <w:szCs w:val="18"/>
          <w:color w:val="auto"/>
        </w:rPr>
        <w:t>Borrower fails to (a) make any payment of principal or interest on any Credit Extension on its due date, or (b)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7.3 Covenant Default.</w:t>
      </w:r>
    </w:p>
    <w:p>
      <w:pPr>
        <w:spacing w:after="0" w:line="229" w:lineRule="exact"/>
        <w:rPr>
          <w:sz w:val="20"/>
          <w:szCs w:val="20"/>
          <w:color w:val="auto"/>
        </w:rPr>
      </w:pPr>
    </w:p>
    <w:p>
      <w:pPr>
        <w:ind w:right="20" w:firstLine="1505"/>
        <w:spacing w:after="0" w:line="282" w:lineRule="auto"/>
        <w:tabs>
          <w:tab w:leader="none" w:pos="20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fails or neglects to perform any obligation in Section 5 (other than Sections 5.2 (Government Compliance), 5.10 (Litigation Cooperation), 5.12 (Inventory; Returns) and 5.13 (Further Assurances)) or violates any covenant in Section 6; or</w:t>
      </w:r>
    </w:p>
    <w:p>
      <w:pPr>
        <w:spacing w:after="0" w:line="161"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fails or neglects to perform, keep, or observe any other term, provision, condition, covenant or agreement contained in this Agreement or any Loan Documents, and as to any default (other than those specified in this Section 7)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30 days) to attempt to cure such default, and within such reasonable time period the failure to cure the default shall not be deemed an Event of Default (but no Credit Extensions shall be made during such cure period). Cure periods provided under this section shall not apply, among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line="282" w:lineRule="auto"/>
        <w:rPr>
          <w:sz w:val="20"/>
          <w:szCs w:val="20"/>
          <w:color w:val="auto"/>
        </w:rPr>
      </w:pPr>
      <w:r>
        <w:rPr>
          <w:rFonts w:ascii="Times New Roman" w:cs="Times New Roman" w:eastAsia="Times New Roman" w:hAnsi="Times New Roman"/>
          <w:sz w:val="18"/>
          <w:szCs w:val="18"/>
          <w:color w:val="auto"/>
        </w:rPr>
        <w:t>other things, to financial covenants or any other covenants that are required to be satisfied, completed or tested by a date certain or any covenants set forth in clause (a) above;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7.4 Material Adverse Change. </w:t>
      </w:r>
      <w:r>
        <w:rPr>
          <w:rFonts w:ascii="Times New Roman" w:cs="Times New Roman" w:eastAsia="Times New Roman" w:hAnsi="Times New Roman"/>
          <w:sz w:val="18"/>
          <w:szCs w:val="18"/>
          <w:color w:val="auto"/>
        </w:rPr>
        <w:t>A Material Adverse Change occurs;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7.5 Attachment; Levy; Restraint on Business.</w:t>
      </w:r>
    </w:p>
    <w:p>
      <w:pPr>
        <w:spacing w:after="0" w:line="229" w:lineRule="exact"/>
        <w:rPr>
          <w:sz w:val="20"/>
          <w:szCs w:val="20"/>
          <w:color w:val="auto"/>
        </w:rPr>
      </w:pPr>
    </w:p>
    <w:p>
      <w:pPr>
        <w:jc w:val="both"/>
        <w:ind w:firstLine="1505"/>
        <w:spacing w:after="0" w:line="258" w:lineRule="auto"/>
        <w:tabs>
          <w:tab w:leader="none" w:pos="20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service of process seeking to attach, by trustee or similar process, any funds of Borrower or any Subsidiary in an amount, individually or in the aggregate, in excess of $250,000.00, or (ii) a notice of lien or levy is filed against any of Borrower’s or any of its Subsidiaries’ assets with a value, individually or in the aggregate, in excess of $250,000.00,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83"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portion of Borrower’s or any of its Subsidiaries’ assets is attached, seized, levied on, or comes into possession of a trustee or receiver, or (ii) any court order enjoins, restrains, or prevents Borrower or any of its Subsidiaries from conducting all or any material part of its business;</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7.6 Insolvency. </w:t>
      </w:r>
      <w:r>
        <w:rPr>
          <w:rFonts w:ascii="Times New Roman" w:cs="Times New Roman" w:eastAsia="Times New Roman" w:hAnsi="Times New Roman"/>
          <w:sz w:val="18"/>
          <w:szCs w:val="18"/>
          <w:color w:val="auto"/>
        </w:rPr>
        <w:t>(a) Borrower or any of its Subsidiaries is unable to pay its debts (including trade debts) as they become due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becomes insolvent; (b) Borrower or any of its Subsidiaries begins an Insolvency Proceeding; or (c) an Insolvency Proceeding is begun against Borrower or any of its Subsidiaries and is not dismissed or stayed within 30 days (but no Credit Extensions shall be made while any of the conditions described in clause (a) exist or until any Insolvency Proceeding is dismissed);</w:t>
      </w:r>
    </w:p>
    <w:p>
      <w:pPr>
        <w:spacing w:after="0" w:line="17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7.7 Other Agreements. </w:t>
      </w:r>
      <w:r>
        <w:rPr>
          <w:rFonts w:ascii="Times New Roman" w:cs="Times New Roman" w:eastAsia="Times New Roman" w:hAnsi="Times New Roman"/>
          <w:sz w:val="18"/>
          <w:szCs w:val="18"/>
          <w:color w:val="auto"/>
        </w:rPr>
        <w:t>There is, under any agreement to which Borrower, any of Borrower’s Subsidiaries, or any Guarantor is a party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or parties, (a) any default resulting in a right by such third party or parties, whether or not exercised, to accelerate the maturity of any Indebtedness in an amount individually or in the aggregate in excess of $250,000.00; or (b) any breach or default by Borrower, any of Borrower’s Subsidiaries, or Guarantor, the result of which could reasonably be expected to have a material adverse effect on Borrower’s, any of Borrower’s Subsidiaries’, or any Guarantor’s business or operations;</w:t>
      </w:r>
    </w:p>
    <w:p>
      <w:pPr>
        <w:spacing w:after="0" w:line="17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7.8 Judgments; Penalties. </w:t>
      </w:r>
      <w:r>
        <w:rPr>
          <w:rFonts w:ascii="Times New Roman" w:cs="Times New Roman" w:eastAsia="Times New Roman" w:hAnsi="Times New Roman"/>
          <w:sz w:val="18"/>
          <w:szCs w:val="18"/>
          <w:color w:val="auto"/>
        </w:rPr>
        <w:t>One or more fines, penalties or final judgments, orders or decrees for the payment of money in an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or in the aggregate, or litigation or other dispute resolution settlement payments by Borrower or any of its Subsidiaries, of at least $250,000.00 (not covered by independent third-party insurance as to which liability has been accepted by such insurance carrier) shall be rendered against Borrower or any of its Subsidiaries by any Governmental Authority, and the same are not, within ten (10) days after the acceptance, entry, assessment or issuance thereof, discharged, or after execution thereof, or stayed pending appeal, or such judgments are not discharged prior to the expiration of any such stay (provided that no Credit Extensions will be made prior to the discharge, or stay of such fine, penalty, judgment, order or decree);</w:t>
      </w:r>
    </w:p>
    <w:p>
      <w:pPr>
        <w:spacing w:after="0" w:line="18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7.9 Misrepresentations. </w:t>
      </w:r>
      <w:r>
        <w:rPr>
          <w:rFonts w:ascii="Times New Roman" w:cs="Times New Roman" w:eastAsia="Times New Roman" w:hAnsi="Times New Roman"/>
          <w:sz w:val="18"/>
          <w:szCs w:val="18"/>
          <w:color w:val="auto"/>
        </w:rPr>
        <w:t>Borrower or any of its Subsidiaries or any Person acting for Borrower or any of its Subsidiaries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warranty, or other statement now or later in this Agreement, any Loan Document or in any writing delivered to Bank or to induce Bank to enter this Agreement or any Loan Document, and such representation, warranty, or other statement is incorrect in any material respect when made (it being agreed and acknowledged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8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7.10Subordinated Debt. </w:t>
      </w:r>
      <w:r>
        <w:rPr>
          <w:rFonts w:ascii="Times New Roman" w:cs="Times New Roman" w:eastAsia="Times New Roman" w:hAnsi="Times New Roman"/>
          <w:sz w:val="18"/>
          <w:szCs w:val="18"/>
          <w:color w:val="auto"/>
        </w:rPr>
        <w:t>If: (a) any document, instrument, or agreement evidencing any Subordinated Debt shall for any reason be revoked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invalidated or otherwise cease to be in full force and effect, or any Person (other than Bank) shall be in breach thereof or contest in any manner the validity or enforceability thereof or deny that it has any further liability or obligation thereunder; (b) a default or event of default (however defined) has occurred under any document, instrument, or agreement evidencing any Subordinated Debt, which default shall not have been cured or waived within any applicable grace period; or (c) the Obligations shall for any reason be subordinated or shall not have the priority contemplated by this Agreement or any applicable subordination or intercreditor agreement;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7.11Lien Priority</w:t>
      </w:r>
      <w:r>
        <w:rPr>
          <w:rFonts w:ascii="Times New Roman" w:cs="Times New Roman" w:eastAsia="Times New Roman" w:hAnsi="Times New Roman"/>
          <w:sz w:val="18"/>
          <w:szCs w:val="18"/>
          <w:color w:val="auto"/>
        </w:rPr>
        <w:t>. There is a material impairment in the perfection or priority of Bank’s security interest in the Collateral;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7.12Guaranty. </w:t>
      </w:r>
      <w:r>
        <w:rPr>
          <w:rFonts w:ascii="Times New Roman" w:cs="Times New Roman" w:eastAsia="Times New Roman" w:hAnsi="Times New Roman"/>
          <w:sz w:val="18"/>
          <w:szCs w:val="18"/>
          <w:color w:val="auto"/>
        </w:rPr>
        <w:t>(a) Any guaranty of any Obligations terminates or ceases for any reason to be in full force and effect; (b) any Guarantor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any obligation or covenant under any guaranty of the Obligations; (c) any circumstance described in Sections 7.3, 7.4, 7.5, 7.6, 7.7, 7.8 or 7.12 of this Agreement occurs with respect to any Guarantor, (d) the death, liquidation, winding up, or termination of existence of any Guarantor (other than as as a result of consummating a transaction permitted under Section 6.3 hereof); or (e)(i) a material impairment in the perfection or priority of Bank’s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w:t>
      </w:r>
    </w:p>
    <w:p>
      <w:pPr>
        <w:spacing w:after="0" w:line="18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7.13Governmental Approvals. </w:t>
      </w:r>
      <w:r>
        <w:rPr>
          <w:rFonts w:ascii="Times New Roman" w:cs="Times New Roman" w:eastAsia="Times New Roman" w:hAnsi="Times New Roman"/>
          <w:sz w:val="18"/>
          <w:szCs w:val="18"/>
          <w:color w:val="auto"/>
        </w:rPr>
        <w:t>Any Governmental Approval shall have been (a) revoked, rescinded, suspended, modified in an adverse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materially and adversely affects the legal qualifications of Borrower or any of its Subsidiaries to hold such Governmental Approval in any applicable jurisdiction and such revocation, rescission, suspension, modification or non-renewal could reasonably be expected to affect the status of or legal qualifications of Borrower or any of its Subsidiaries to hold any Governmental Approval in any other jurisdiction; or</w:t>
      </w:r>
    </w:p>
    <w:p>
      <w:pPr>
        <w:spacing w:after="0" w:line="18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7.14Delisting</w:t>
      </w:r>
      <w:r>
        <w:rPr>
          <w:rFonts w:ascii="Times New Roman" w:cs="Times New Roman" w:eastAsia="Times New Roman" w:hAnsi="Times New Roman"/>
          <w:sz w:val="18"/>
          <w:szCs w:val="18"/>
          <w:color w:val="auto"/>
        </w:rPr>
        <w:t>. After an initial public offering of the Borrower’s common stock on an exchange or market, such shares are delisted from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or market because of Borrower’s failure to comply with continued listing standards thereof or due to a voluntary delisting which results in such shares not being listed on such exchange or market.</w:t>
      </w:r>
    </w:p>
    <w:p>
      <w:pPr>
        <w:spacing w:after="0" w:line="171" w:lineRule="exact"/>
        <w:rPr>
          <w:sz w:val="20"/>
          <w:szCs w:val="20"/>
          <w:color w:val="auto"/>
        </w:rPr>
      </w:pPr>
    </w:p>
    <w:p>
      <w:pPr>
        <w:ind w:left="1020" w:hanging="263"/>
        <w:spacing w:after="0"/>
        <w:tabs>
          <w:tab w:leader="none" w:pos="10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BANK’S RIGHTS AND REMEDIES</w:t>
      </w:r>
    </w:p>
    <w:p>
      <w:pPr>
        <w:spacing w:after="0" w:line="225" w:lineRule="exact"/>
        <w:rPr>
          <w:sz w:val="20"/>
          <w:szCs w:val="20"/>
          <w:color w:val="auto"/>
        </w:rPr>
      </w:pPr>
    </w:p>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8.2 Rights and Remedies. </w:t>
      </w:r>
      <w:r>
        <w:rPr>
          <w:rFonts w:ascii="Times New Roman" w:cs="Times New Roman" w:eastAsia="Times New Roman" w:hAnsi="Times New Roman"/>
          <w:sz w:val="18"/>
          <w:szCs w:val="18"/>
          <w:color w:val="auto"/>
        </w:rPr>
        <w:t>Upon the occurrence and during the continuance of an Event of Default, Bank may, without notice or demand,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or all of the following:</w:t>
      </w:r>
    </w:p>
    <w:p>
      <w:pPr>
        <w:spacing w:after="0" w:line="159" w:lineRule="exact"/>
        <w:rPr>
          <w:sz w:val="20"/>
          <w:szCs w:val="20"/>
          <w:color w:val="auto"/>
        </w:rPr>
      </w:pPr>
    </w:p>
    <w:p>
      <w:pPr>
        <w:ind w:firstLine="1505"/>
        <w:spacing w:after="0" w:line="282" w:lineRule="auto"/>
        <w:tabs>
          <w:tab w:leader="none" w:pos="20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all Obligations immediately due and payable (but if an Event of Default described in Section 7.5 occurs all Obligations are immediately due and payable without any action by Bank);</w:t>
      </w:r>
    </w:p>
    <w:p>
      <w:pPr>
        <w:spacing w:after="0" w:line="16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advancing money or extending credit for Borrower’s benefit under this Agreement or under any other agreement between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Bank;</w:t>
      </w:r>
    </w:p>
    <w:p>
      <w:pPr>
        <w:spacing w:after="0" w:line="206"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that Borrower (i) deposit cash with Bank in an amount equal to at least (A) 105.0% of the aggregate face amount of any Letters of Credit denominated in Dollars remaining undrawn, and (B) 115.0% of the Dollar Equivalent of the aggregate face amount of any Letters of Credit denominated in a Foreign Currency remaining undrawn (plus, in each case, all interest, fees, and costs due or estimated by Bank to become due in connection therewith),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87"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FX Contracts (it being understood and agreed that (i) Bank is not obligated to deliver the currency which Borrower has contracted to receive under any FX Contract, and Bank may cover its exposure for any FX Contracts by purchasing or selling currency in the interbank market as Bank deems appropriate; (ii) Borrower shall be liable for all losses, damages, costs, margin obligations and expenses incurred by Bank arising from Borrower’s failure to satisfy its obligations under any FX Contract or the execution of any FX Contract; and (iii) Bank shall not be liable to Borrower for any gain in value of a FX Contract that Bank may obtain in covering Borrower’s breach);</w:t>
      </w:r>
    </w:p>
    <w:p>
      <w:pPr>
        <w:spacing w:after="0" w:line="183"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both"/>
        <w:ind w:firstLine="1505"/>
        <w:spacing w:after="0" w:line="258" w:lineRule="auto"/>
        <w:tabs>
          <w:tab w:leader="none" w:pos="20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83"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the Obligations any (i) balances and deposits of Borrower it holds, or (ii) amount held by Bank owing to or for the credit or the account of Borrower;</w:t>
      </w:r>
    </w:p>
    <w:p>
      <w:pPr>
        <w:spacing w:after="0" w:line="161"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 reclaim, recover, store, finish, maintain, repair, prepare for sale, advertise for sale, and sell the Collateral. For use solely upon the occurrence and during the continuation of an Event of Default,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8.1, Borrower’s rights under all licenses and all franchise agreements inure to Bank’s benefit;</w:t>
      </w:r>
    </w:p>
    <w:p>
      <w:pPr>
        <w:spacing w:after="0" w:line="187"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6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receive possession of Borrower’s Books; and</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rights and remedies available to Bank under the Loan Documents or at law or equity, including all remedies provided under the Code or any Applicable Law (including disposal of the Collateral pursuant to the terms thereof).</w:t>
      </w:r>
    </w:p>
    <w:p>
      <w:pPr>
        <w:spacing w:after="0" w:line="15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8.3 Power of Attorney. </w:t>
      </w:r>
      <w:r>
        <w:rPr>
          <w:rFonts w:ascii="Times New Roman" w:cs="Times New Roman" w:eastAsia="Times New Roman" w:hAnsi="Times New Roman"/>
          <w:sz w:val="18"/>
          <w:szCs w:val="18"/>
          <w:color w:val="auto"/>
        </w:rPr>
        <w:t>Borrower hereby irrevocably appoints Bank as its true and lawful attorney-in-fact, (a) exercisable upon the occurrence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during the continuance of an Event of Default, to: (i) endorse Borrower’s name on any checks, payment instruments, or other forms of payment or security; (ii) sign Borrower’s name on any invoice or bill of lading for any Account or drafts against Account Debtors; (iii)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(iv) make, 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Bank or a third party as the Code permits; and (b) regardless of whether an Event of Default has occurred, to sign Borrower’s name on any documents necessary to perfect or continue the perfection of Bank’s security interest in the Collateral. Bank’s foregoing appointment as Borrower’s attorney in fact, and all of Bank’s rights and powers, coupled with an interest, are irrevocable until such time as all Obligations (other than inchoate indemnity obligations) have been satisfied in full, Bank is under no further obligation to make Credit Extensions and the Loan Documents have been terminated. Bank shall not incur any liability in connection with or arising from the exercise of such power of attorney and shall have no obligation to exercise any of the foregoing rights and remedies.</w:t>
      </w:r>
    </w:p>
    <w:p>
      <w:pPr>
        <w:spacing w:after="0" w:line="187"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8.4 Protective Payments. </w:t>
      </w:r>
      <w:r>
        <w:rPr>
          <w:rFonts w:ascii="Times New Roman" w:cs="Times New Roman" w:eastAsia="Times New Roman" w:hAnsi="Times New Roman"/>
          <w:sz w:val="18"/>
          <w:szCs w:val="18"/>
          <w:color w:val="auto"/>
        </w:rPr>
        <w:t>If Borrower fails to obtain the insurance called for by Section 5.6 or fails to pay any premium thereon or fails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8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8.5 Application of Payments and Proceeds. </w:t>
      </w:r>
      <w:r>
        <w:rPr>
          <w:rFonts w:ascii="Times New Roman" w:cs="Times New Roman" w:eastAsia="Times New Roman" w:hAnsi="Times New Roman"/>
          <w:sz w:val="18"/>
          <w:szCs w:val="18"/>
          <w:color w:val="auto"/>
        </w:rPr>
        <w:t>If an Event of Default has occurred and is continuing, Bank may apply any funds in its possession,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from Borrower account balances, payments, proceeds realized as the result of any collection 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If Bank, in its commercially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reasonable discretion,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7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8.6 Bank’s Liability for Collateral. </w:t>
      </w:r>
      <w:r>
        <w:rPr>
          <w:rFonts w:ascii="Times New Roman" w:cs="Times New Roman" w:eastAsia="Times New Roman" w:hAnsi="Times New Roman"/>
          <w:sz w:val="18"/>
          <w:szCs w:val="18"/>
          <w:color w:val="auto"/>
        </w:rPr>
        <w:t>Bank’s sole duty with respect to the custody, safekeeping and physical preservation of the Collateral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or under its control, under Section 9-207 of the Code or otherwise, shall be to deal with it in the same manner as Bank deals with its own property consisting of similar instruments or interests. Borrower bears all risk of loss, damage or destruction of the Collateral.</w:t>
      </w:r>
    </w:p>
    <w:p>
      <w:pPr>
        <w:spacing w:after="0" w:line="17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8.7 No Waiver; Remedies Cumulative. </w:t>
      </w:r>
      <w:r>
        <w:rPr>
          <w:rFonts w:ascii="Times New Roman" w:cs="Times New Roman" w:eastAsia="Times New Roman" w:hAnsi="Times New Roman"/>
          <w:sz w:val="18"/>
          <w:szCs w:val="18"/>
          <w:color w:val="auto"/>
        </w:rPr>
        <w:t>Bank’s failure, at any time or times, to require strict performance by Borrower of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8.8 Demand Waiver. </w:t>
      </w:r>
      <w:r>
        <w:rPr>
          <w:rFonts w:ascii="Times New Roman" w:cs="Times New Roman" w:eastAsia="Times New Roman" w:hAnsi="Times New Roman"/>
          <w:sz w:val="18"/>
          <w:szCs w:val="18"/>
          <w:color w:val="auto"/>
        </w:rPr>
        <w:t>Borrower waives demand, notice of default or dishonor, notice of payment and nonpayment, notice of any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nonpayment at maturity, release, compromise, settlement, extension, or renewal of accounts, documents, instruments, chattel paper, and guarantees held by Bank on which Borrower is liable.</w:t>
      </w:r>
    </w:p>
    <w:p>
      <w:pPr>
        <w:spacing w:after="0" w:line="171" w:lineRule="exact"/>
        <w:rPr>
          <w:sz w:val="20"/>
          <w:szCs w:val="20"/>
          <w:color w:val="auto"/>
        </w:rPr>
      </w:pPr>
    </w:p>
    <w:p>
      <w:pPr>
        <w:ind w:left="1020" w:hanging="263"/>
        <w:spacing w:after="0"/>
        <w:tabs>
          <w:tab w:leader="none" w:pos="10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(c) one (1) Business Day after deposit with a reputable overnight courier with all charges prepaid; or (d) when delivered, if hand-delivered by messenger, all of which shall be addressed to the party to be notified and sent to the address or email address indicated below; provided that, for clause (b), if such notice, consent, request, approval, demand or other communication is not sent during the normal business hours of the recipient, it shall be deemed to have been sent at the opening of business on the next Business Day of the recipient. Bank or Borrower may change its mailing or electronic mail address by giving the other party written notice thereof in accordance with the terms of this Section 9.</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If to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380"/>
        <w:spacing w:after="0" w:line="282" w:lineRule="auto"/>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Invivyd,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1601 Trapelo Road, Suite 178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Massachusetts 02451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William Duke,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Hogan Lovells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Thirteenth Street,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Purdon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edward.purdon@hoganlovells.com</w:t>
      </w:r>
    </w:p>
    <w:p>
      <w:pPr>
        <w:spacing w:after="0" w:line="200" w:lineRule="exact"/>
        <w:rPr>
          <w:sz w:val="20"/>
          <w:szCs w:val="20"/>
          <w:color w:val="auto"/>
        </w:rPr>
      </w:pPr>
    </w:p>
    <w:p>
      <w:pPr>
        <w:sectPr>
          <w:pgSz w:w="11900" w:h="16838" w:orient="portrait"/>
          <w:cols w:equalWidth="0" w:num="2">
            <w:col w:w="3340" w:space="400"/>
            <w:col w:w="7500"/>
          </w:cols>
          <w:pgMar w:left="320" w:top="769" w:right="339" w:bottom="1440" w:gutter="0" w:footer="0" w:header="0"/>
          <w:type w:val="continuous"/>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If to Bank:</w:t>
            </w: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Silicon Valley Bank, a division of First-Citizens Bank &amp; Trust Company</w:t>
            </w:r>
          </w:p>
        </w:tc>
      </w:tr>
      <w:tr>
        <w:trPr>
          <w:trHeight w:val="236"/>
        </w:trPr>
        <w:tc>
          <w:tcPr>
            <w:tcW w:w="2960" w:type="dxa"/>
            <w:vAlign w:val="bottom"/>
          </w:tcPr>
          <w:p>
            <w:pPr>
              <w:spacing w:after="0"/>
              <w:rPr>
                <w:sz w:val="20"/>
                <w:szCs w:val="20"/>
                <w:color w:val="auto"/>
              </w:rPr>
            </w:pPr>
          </w:p>
        </w:tc>
        <w:tc>
          <w:tcPr>
            <w:tcW w:w="8280" w:type="dxa"/>
            <w:vAlign w:val="bottom"/>
          </w:tcPr>
          <w:p>
            <w:pPr>
              <w:ind w:left="780"/>
              <w:spacing w:after="0" w:line="236" w:lineRule="exact"/>
              <w:rPr>
                <w:sz w:val="20"/>
                <w:szCs w:val="20"/>
                <w:color w:val="auto"/>
              </w:rPr>
            </w:pPr>
            <w:r>
              <w:rPr>
                <w:rFonts w:ascii="Times New Roman" w:cs="Times New Roman" w:eastAsia="Times New Roman" w:hAnsi="Times New Roman"/>
                <w:sz w:val="18"/>
                <w:szCs w:val="18"/>
                <w:color w:val="auto"/>
              </w:rPr>
              <w:t>53 State Street, 28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2960" w:type="dxa"/>
            <w:vAlign w:val="bottom"/>
          </w:tcPr>
          <w:p>
            <w:pPr>
              <w:spacing w:after="0"/>
              <w:rPr>
                <w:sz w:val="18"/>
                <w:szCs w:val="18"/>
                <w:color w:val="auto"/>
              </w:rPr>
            </w:pP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Boston, Massachusetts 02109</w:t>
            </w:r>
          </w:p>
        </w:tc>
      </w:tr>
      <w:tr>
        <w:trPr>
          <w:trHeight w:val="216"/>
        </w:trPr>
        <w:tc>
          <w:tcPr>
            <w:tcW w:w="2960" w:type="dxa"/>
            <w:vAlign w:val="bottom"/>
          </w:tcPr>
          <w:p>
            <w:pPr>
              <w:spacing w:after="0"/>
              <w:rPr>
                <w:sz w:val="18"/>
                <w:szCs w:val="18"/>
                <w:color w:val="auto"/>
              </w:rPr>
            </w:pP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Attn: John Sansone</w:t>
            </w:r>
          </w:p>
        </w:tc>
      </w:tr>
      <w:tr>
        <w:trPr>
          <w:trHeight w:val="234"/>
        </w:trPr>
        <w:tc>
          <w:tcPr>
            <w:tcW w:w="2960" w:type="dxa"/>
            <w:vAlign w:val="bottom"/>
          </w:tcPr>
          <w:p>
            <w:pPr>
              <w:spacing w:after="0"/>
              <w:rPr>
                <w:sz w:val="20"/>
                <w:szCs w:val="20"/>
                <w:color w:val="auto"/>
              </w:rPr>
            </w:pPr>
          </w:p>
        </w:tc>
        <w:tc>
          <w:tcPr>
            <w:tcW w:w="8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Email: JSansone@svb.com</w:t>
            </w:r>
          </w:p>
        </w:tc>
      </w:tr>
      <w:tr>
        <w:trPr>
          <w:trHeight w:val="756"/>
        </w:trPr>
        <w:tc>
          <w:tcPr>
            <w:tcW w:w="2960" w:type="dxa"/>
            <w:vAlign w:val="bottom"/>
          </w:tcPr>
          <w:p>
            <w:pPr>
              <w:spacing w:after="0"/>
              <w:rPr>
                <w:sz w:val="24"/>
                <w:szCs w:val="24"/>
                <w:color w:val="auto"/>
              </w:rPr>
            </w:pPr>
          </w:p>
        </w:tc>
        <w:tc>
          <w:tcPr>
            <w:tcW w:w="828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22</w:t>
            </w:r>
          </w:p>
        </w:tc>
      </w:tr>
      <w:tr>
        <w:trPr>
          <w:trHeight w:val="844"/>
        </w:trPr>
        <w:tc>
          <w:tcPr>
            <w:tcW w:w="2960" w:type="dxa"/>
            <w:vAlign w:val="bottom"/>
            <w:tcBorders>
              <w:bottom w:val="single" w:sz="8" w:color="9A9A9A"/>
            </w:tcBorders>
          </w:tcPr>
          <w:p>
            <w:pPr>
              <w:spacing w:after="0"/>
              <w:rPr>
                <w:sz w:val="24"/>
                <w:szCs w:val="24"/>
                <w:color w:val="auto"/>
              </w:rPr>
            </w:pPr>
          </w:p>
        </w:tc>
        <w:tc>
          <w:tcPr>
            <w:tcW w:w="8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6" w:name="page27"/>
    <w:bookmarkEnd w:id="26"/>
    <w:p>
      <w:pPr>
        <w:ind w:left="1380"/>
        <w:spacing w:after="0" w:line="282" w:lineRule="auto"/>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Morrison &amp; Foerster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Clarendon Street, Floor 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David A. Ephraim, Esquire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DEphraim@mofo.com</w:t>
      </w:r>
    </w:p>
    <w:p>
      <w:pPr>
        <w:spacing w:after="0" w:line="200" w:lineRule="exact"/>
        <w:rPr>
          <w:sz w:val="20"/>
          <w:szCs w:val="20"/>
          <w:color w:val="auto"/>
        </w:rPr>
      </w:pPr>
    </w:p>
    <w:p>
      <w:pPr>
        <w:sectPr>
          <w:pgSz w:w="11900" w:h="16838" w:orient="portrait"/>
          <w:cols w:equalWidth="0" w:num="2">
            <w:col w:w="3340" w:space="400"/>
            <w:col w:w="7500"/>
          </w:cols>
          <w:pgMar w:left="320" w:top="769" w:right="339" w:bottom="1440" w:gutter="0" w:footer="0" w:header="0"/>
        </w:sectPr>
      </w:pPr>
    </w:p>
    <w:p>
      <w:pPr>
        <w:spacing w:after="0" w:line="219" w:lineRule="exact"/>
        <w:rPr>
          <w:sz w:val="20"/>
          <w:szCs w:val="20"/>
          <w:color w:val="auto"/>
        </w:rPr>
      </w:pPr>
    </w:p>
    <w:p>
      <w:pPr>
        <w:ind w:left="1020" w:hanging="263"/>
        <w:spacing w:after="0"/>
        <w:tabs>
          <w:tab w:leader="none" w:pos="10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AND JURY TRIAL WAIVER</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Except as otherwise expressly provided in any of the Loan Documents, New York law governs the Loan Documents without regard to principles of conflicts of law that would require the application of the laws of another jurisdiction. Borrower and Bank each irrevocably and unconditionally submit to the exclusive jurisdiction of the State and Federal courts in New York, New York; provided, however, that nothing in this Agreement shall be deemed to operate to preclude Bank from bringing suit or taking other legal action in any other jurisdiction with respect to the Loan Documents or to realize on the Collateral or any other security for the Obligations, or to enforce a judgment or other court order in favor of Bank. Borrower expressly, irrevocably and unconditionally submits and consents in advance to such jurisdiction in any action or suit commenced in any such court, and Borrower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9 of this Agreement and that service so made shall be deemed completed upon the earlier to occur of Borrower’s actual receipt thereof or three (3) days after deposit in the U.S. mails, proper postage prepaid.</w:t>
      </w:r>
    </w:p>
    <w:p>
      <w:pPr>
        <w:spacing w:after="0" w:line="18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TO THE FULLEST EXTENT PERMITTED BY APPLICABLE LAW, BORROWER AND BANK EACH WAIVES ITS RIGHT TO A JURY TRIAL OF ANY CLAIM OR CAUSE OF ACTION ARISING OUT OF OR BASED UPON THIS AGREEMENT, THE LOAN DOCUMENTS OR ANY CONTEMPLATED TRANSACTION, INCLUDING CONTRACT, TORT, BREACH OF DUTY AND ALL OTHER CLAIMS. THIS WAIVER IS A MATERIAL INDUCEMENT FOR THE PARTIES HERETO TO ENTER INTO THIS AGREEMENT. EACH PARTY HERETO HAS REVIEWED THIS WAIVER WITH ITS COUNSEL.</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Section 10 shall survive the termination of this Agreement and the repayment of all Obligations.</w:t>
      </w:r>
    </w:p>
    <w:p>
      <w:pPr>
        <w:spacing w:after="0" w:line="221" w:lineRule="exact"/>
        <w:rPr>
          <w:sz w:val="20"/>
          <w:szCs w:val="20"/>
          <w:color w:val="auto"/>
        </w:rPr>
      </w:pPr>
    </w:p>
    <w:p>
      <w:pPr>
        <w:ind w:left="1020" w:hanging="263"/>
        <w:spacing w:after="0"/>
        <w:tabs>
          <w:tab w:leader="none" w:pos="10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11.2Termination Prior to Maturity Date; Survival. </w:t>
      </w:r>
      <w:r>
        <w:rPr>
          <w:rFonts w:ascii="Times New Roman" w:cs="Times New Roman" w:eastAsia="Times New Roman" w:hAnsi="Times New Roman"/>
          <w:sz w:val="18"/>
          <w:szCs w:val="18"/>
          <w:color w:val="auto"/>
        </w:rPr>
        <w:t>All covenants, representations and warranties made in this Agreement shall continue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force until this Agreement has terminated pursuant to its terms and all Obligations (other than inchoate indemnity obligations) have been satisfied. So long as Borrower has satisfied the Obligations (other than inchoate indemnity obligations, and any other obligations which, by their terms, are to survive the termination of this Agreement and the repayment of all Obligations, and any Obligations under Bank Services Agreements that are cash collateralized in accordance with Section 3.3 of this Agreement), this Agreement may be terminated prior to the Term Loan Maturity Date by Borrower, effective three</w:t>
      </w:r>
    </w:p>
    <w:p>
      <w:pPr>
        <w:spacing w:after="0" w:line="3" w:lineRule="exact"/>
        <w:rPr>
          <w:sz w:val="20"/>
          <w:szCs w:val="20"/>
          <w:color w:val="auto"/>
        </w:rPr>
      </w:pPr>
    </w:p>
    <w:p>
      <w:pPr>
        <w:jc w:val="both"/>
        <w:ind w:firstLine="8"/>
        <w:spacing w:after="0" w:line="255" w:lineRule="auto"/>
        <w:tabs>
          <w:tab w:leader="none" w:pos="2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written notice of termination is given to Bank. Those obligations that are expressly specified in this Agreement as surviving this Agreement’s termination and the repayment of all Obligations shall continue to survive notwithstanding this Agreement’s termination and the repayment of all Obligations.</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11.3Successors and Assigns. </w:t>
      </w:r>
      <w:r>
        <w:rPr>
          <w:rFonts w:ascii="Times New Roman" w:cs="Times New Roman" w:eastAsia="Times New Roman" w:hAnsi="Times New Roman"/>
          <w:sz w:val="18"/>
          <w:szCs w:val="18"/>
          <w:color w:val="auto"/>
        </w:rPr>
        <w:t>This Agreement binds and is for the benefit of the successors and permitted assigns of each party. Borrower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assign or transfer this Agreement or any rights or obligations under it without Bank’s prior written consent (which may be granted or withheld in Bank’s sole discretion) and any other attempted assignment or transfer by Borrower shall be null and void. Bank has the right, without the consent of or notice to Borrower, to sell, transfer, assign, negotiate, or grant participation in all or any part of, or any interest in, Bank’s obligations, rights, and benefits under this Agreement and the other Loan Documents. Notwithstanding the foregoing, so long as no Event of Default shall have occurred and is continuing, Bank shall not assign its interest in the Loan Documents to any Person who in the reasonable estimation of Bank is (a) a direct competitor of Borrower, whether as an operating company or direct or indirect parent with voting control over such operating company or (b) a vulture fund or distressed debt fund.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11.4Indemnification; Damage Waiver, etc.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7" w:name="page28"/>
    <w:bookmarkEnd w:id="27"/>
    <w:p>
      <w:pPr>
        <w:jc w:val="both"/>
        <w:ind w:firstLine="1505"/>
        <w:spacing w:after="0" w:line="253" w:lineRule="auto"/>
        <w:tabs>
          <w:tab w:leader="none" w:pos="20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Indemnification</w:t>
      </w:r>
      <w:r>
        <w:rPr>
          <w:rFonts w:ascii="Times New Roman" w:cs="Times New Roman" w:eastAsia="Times New Roman" w:hAnsi="Times New Roman"/>
          <w:sz w:val="18"/>
          <w:szCs w:val="18"/>
          <w:color w:val="auto"/>
        </w:rPr>
        <w:t>. Borrower shall indemnify, defend and hold Bank and its Affiliates and the partners, directors, officers, employees, agents, trustees, administrators, managers, advisors and representatives of Bank and its Affiliates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harmless against all losses, claims, damages, liabilities and related expenses (including Bank Expenses and the reasonable fees, charges and disbursements of any counsel for any Indemnified Person)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Borrower’s equity holders, affiliates, creditors or any other person, and regardless of whether any Indemnified Person is a party thereto; provided that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Section 11.3 shall be payable promptly after demand therefor.</w:t>
      </w:r>
    </w:p>
    <w:p>
      <w:pPr>
        <w:spacing w:after="0" w:line="187" w:lineRule="exact"/>
        <w:rPr>
          <w:rFonts w:ascii="Times New Roman" w:cs="Times New Roman" w:eastAsia="Times New Roman" w:hAnsi="Times New Roman"/>
          <w:sz w:val="18"/>
          <w:szCs w:val="18"/>
          <w:color w:val="auto"/>
        </w:rPr>
      </w:pPr>
    </w:p>
    <w:p>
      <w:pPr>
        <w:jc w:val="both"/>
        <w:ind w:firstLine="1505"/>
        <w:spacing w:after="0" w:line="254" w:lineRule="auto"/>
        <w:tabs>
          <w:tab w:leader="none" w:pos="20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Borrower shall not assert, and hereby waives, any claim against Bank and its Affiliates and the partners, directors, officers, employees, agents, trustees, administrators, managers, advisors and representatives of Bank and its Affiliates (each, a “</w:t>
      </w:r>
      <w:r>
        <w:rPr>
          <w:rFonts w:ascii="Times New Roman" w:cs="Times New Roman" w:eastAsia="Times New Roman" w:hAnsi="Times New Roman"/>
          <w:sz w:val="18"/>
          <w:szCs w:val="18"/>
          <w:b w:val="1"/>
          <w:bCs w:val="1"/>
          <w:color w:val="auto"/>
        </w:rPr>
        <w:t>Protected Person</w:t>
      </w:r>
      <w:r>
        <w:rPr>
          <w:rFonts w:ascii="Times New Roman" w:cs="Times New Roman" w:eastAsia="Times New Roman" w:hAnsi="Times New Roman"/>
          <w:sz w:val="18"/>
          <w:szCs w:val="18"/>
          <w:color w:val="auto"/>
        </w:rPr>
        <w:t>”) ,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Protected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9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Section 11.3 shall survive the termination of this Agreement and the repayment of all Obligations until all statutes of limitation with respect to the Claims, losses, and expenses for which indemnity is given shall have run.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11.5Time of Essence. </w:t>
      </w:r>
      <w:r>
        <w:rPr>
          <w:rFonts w:ascii="Times New Roman" w:cs="Times New Roman" w:eastAsia="Times New Roman" w:hAnsi="Times New Roman"/>
          <w:sz w:val="18"/>
          <w:szCs w:val="18"/>
          <w:color w:val="auto"/>
        </w:rPr>
        <w:t>Time is of the essence for the performance of all Obligations in this Agreement.</w:t>
      </w:r>
    </w:p>
    <w:p>
      <w:pPr>
        <w:spacing w:after="0" w:line="22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11.6Severability of Provisions. </w:t>
      </w:r>
      <w:r>
        <w:rPr>
          <w:rFonts w:ascii="Times New Roman" w:cs="Times New Roman" w:eastAsia="Times New Roman" w:hAnsi="Times New Roman"/>
          <w:sz w:val="18"/>
          <w:szCs w:val="18"/>
          <w:color w:val="auto"/>
        </w:rPr>
        <w:t>Each provision of this Agreement is severable from every other provision in determining the enforceability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w:t>
      </w:r>
    </w:p>
    <w:p>
      <w:pPr>
        <w:spacing w:after="0" w:line="15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11.7Amendments in Writing; Waiver; Integration. </w:t>
      </w:r>
      <w:r>
        <w:rPr>
          <w:rFonts w:ascii="Times New Roman" w:cs="Times New Roman" w:eastAsia="Times New Roman" w:hAnsi="Times New Roman"/>
          <w:sz w:val="18"/>
          <w:szCs w:val="18"/>
          <w:color w:val="auto"/>
        </w:rPr>
        <w:t>No purported amendment or modification of this Agreement or any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or waiver, discharge or termination of any obligation under this Agreement or any other Loan Document, shall be effective unless, and only to the extent, expressly set forth in a writing signed by each party hereto; provided that a Loan Document may otherwise be amended in accordance with its terms.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8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11.8Counterparts. </w:t>
      </w:r>
      <w:r>
        <w:rPr>
          <w:rFonts w:ascii="Times New Roman" w:cs="Times New Roman" w:eastAsia="Times New Roman" w:hAnsi="Times New Roman"/>
          <w:sz w:val="18"/>
          <w:szCs w:val="18"/>
          <w:color w:val="auto"/>
        </w:rPr>
        <w:t>This Agreement may be executed in any number of counterparts and by different parties on separate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when executed and delivered, is an original, and all taken together, constitute one Agreement. Delivery of an executed signature page of this Agreement by electronic mail transmission shall be effective as delivery of a manually executed counterpart hereof.</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11.9Confidentiality. </w:t>
      </w:r>
      <w:r>
        <w:rPr>
          <w:rFonts w:ascii="Times New Roman" w:cs="Times New Roman" w:eastAsia="Times New Roman" w:hAnsi="Times New Roman"/>
          <w:sz w:val="18"/>
          <w:szCs w:val="18"/>
          <w:color w:val="auto"/>
        </w:rPr>
        <w:t>Bank agrees to maintain the confidentiality of Information (as defined below), except that Information may be disclosed</w:t>
      </w:r>
    </w:p>
    <w:p>
      <w:pPr>
        <w:spacing w:after="0" w:line="31" w:lineRule="exact"/>
        <w:rPr>
          <w:sz w:val="20"/>
          <w:szCs w:val="20"/>
          <w:color w:val="auto"/>
        </w:rPr>
      </w:pPr>
    </w:p>
    <w:p>
      <w:pPr>
        <w:ind w:firstLine="8"/>
        <w:spacing w:after="0" w:line="260" w:lineRule="auto"/>
        <w:tabs>
          <w:tab w:leader="none" w:pos="29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Bank’s Subsidiaries and Affiliates and their respective employees, directors, agents, attorneys, accountants and other professional advisors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and, together with Bank, collectively, “</w:t>
      </w:r>
      <w:r>
        <w:rPr>
          <w:rFonts w:ascii="Times New Roman" w:cs="Times New Roman" w:eastAsia="Times New Roman" w:hAnsi="Times New Roman"/>
          <w:sz w:val="18"/>
          <w:szCs w:val="18"/>
          <w:b w:val="1"/>
          <w:bCs w:val="1"/>
          <w:color w:val="auto"/>
        </w:rPr>
        <w:t>Bank Entities</w:t>
      </w:r>
      <w:r>
        <w:rPr>
          <w:rFonts w:ascii="Times New Roman" w:cs="Times New Roman" w:eastAsia="Times New Roman" w:hAnsi="Times New Roman"/>
          <w:sz w:val="18"/>
          <w:szCs w:val="18"/>
          <w:color w:val="auto"/>
        </w:rPr>
        <w:t>”); (b) to prospective transferees, assignees, credit providers or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purchasers of Bank’s interests under or in connection with this Agreement and their Representatives (provided, however, any such prospective transferee, assignee, credit provider, purchaser or their Representatives’ shall have entered into an agreement containing provisions substantially the same as those in this Section 11.8); (c) as required by law, regulation, subpoena, or other order; (d) to Bank’s regulators or as otherwise required or requested in connection with Bank’s examination or audit; (e) in connection with the exercise of remedies under the Loan Documents or any action or proceeding relating to this Agreement or any other Loan Document or the enforcement of rights hereunder or thereunder; and (f) to third-party service providers of Bank so long as such service providers have executed a confidentiality agreement with Bank with terms no less restrictive than those contained herein.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all information received from Borrower regarding Borrower or its business, in each case other than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11.10Electronic Execution of Documents. </w:t>
      </w:r>
      <w:r>
        <w:rPr>
          <w:rFonts w:ascii="Times New Roman" w:cs="Times New Roman" w:eastAsia="Times New Roman" w:hAnsi="Times New Roman"/>
          <w:sz w:val="18"/>
          <w:szCs w:val="18"/>
          <w:color w:val="auto"/>
        </w:rPr>
        <w:t>The words “execution,” “signed,” “signature” and words of like import in any Loan Document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11.11Right of Setoff. </w:t>
      </w:r>
      <w:r>
        <w:rPr>
          <w:rFonts w:ascii="Times New Roman" w:cs="Times New Roman" w:eastAsia="Times New Roman" w:hAnsi="Times New Roman"/>
          <w:sz w:val="18"/>
          <w:szCs w:val="18"/>
          <w:color w:val="auto"/>
        </w:rPr>
        <w:t>Borrower hereby grants to Bank a Lien and a right of setoff as security for all Obligations to Bank, whether now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hereafter arising upon and against all deposits, credits, collateral and property, now or hereafter in the possession, custody, safekeeping or control of Bank or any entity under the control of Bank (including a subsidiary of Bank) or in transit to any of them, and other obligations owing to Bank or any such entity.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88"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11.12Captions and Section References. </w:t>
      </w:r>
      <w:r>
        <w:rPr>
          <w:rFonts w:ascii="Times New Roman" w:cs="Times New Roman" w:eastAsia="Times New Roman" w:hAnsi="Times New Roman"/>
          <w:sz w:val="18"/>
          <w:szCs w:val="18"/>
          <w:color w:val="auto"/>
        </w:rPr>
        <w:t>The headings used in this Agreement are for convenience only and shall not affect the interpretation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Unless indicated otherwise, section references herein are to sections of this Agreement.</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11.13Construction of Agreement. </w:t>
      </w:r>
      <w:r>
        <w:rPr>
          <w:rFonts w:ascii="Times New Roman" w:cs="Times New Roman" w:eastAsia="Times New Roman" w:hAnsi="Times New Roman"/>
          <w:sz w:val="18"/>
          <w:szCs w:val="18"/>
          <w:color w:val="auto"/>
        </w:rPr>
        <w:t>The parties hereto mutually acknowledge that they and their attorneys have participated in the preparation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negotiation of this Agreement. In cases of uncertainty this Agreement shall be construed without regard to which of the parties caused the uncertainty to exist.</w:t>
      </w:r>
    </w:p>
    <w:p>
      <w:pPr>
        <w:spacing w:after="0" w:line="17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11.14Relationship. </w:t>
      </w:r>
      <w:r>
        <w:rPr>
          <w:rFonts w:ascii="Times New Roman" w:cs="Times New Roman" w:eastAsia="Times New Roman" w:hAnsi="Times New Roman"/>
          <w:sz w:val="18"/>
          <w:szCs w:val="18"/>
          <w:color w:val="auto"/>
        </w:rPr>
        <w:t>The relationship of the parties to this Agreement is determined solely by the provisions of this Agreement. The parties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intend to create any agency, partnership, joint venture, trust, fiduciary or other relationship with duties or incidents different from those of parties to an arm’s-length contract.</w:t>
      </w:r>
    </w:p>
    <w:p>
      <w:pPr>
        <w:spacing w:after="0" w:line="17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11.15Third Parties. </w:t>
      </w:r>
      <w:r>
        <w:rPr>
          <w:rFonts w:ascii="Times New Roman" w:cs="Times New Roman" w:eastAsia="Times New Roman" w:hAnsi="Times New Roman"/>
          <w:sz w:val="18"/>
          <w:szCs w:val="18"/>
          <w:color w:val="auto"/>
        </w:rPr>
        <w:t>Nothing in this Agreement, whether express or implied, is intended to: (a) confer any benefits, rights or remedies 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11.16Anti-Terrorism Law. </w:t>
      </w:r>
      <w:r>
        <w:rPr>
          <w:rFonts w:ascii="Times New Roman" w:cs="Times New Roman" w:eastAsia="Times New Roman" w:hAnsi="Times New Roman"/>
          <w:sz w:val="18"/>
          <w:szCs w:val="18"/>
          <w:color w:val="auto"/>
        </w:rPr>
        <w:t>Bank hereby notifies Borrower that, pursuant to the requirements of Anti-Terrorism Law, Bank may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 verify and record information that identifies Borrower, which information may include the name and address of Borrower and other information that will allow Bank to identify Borrower in accordance with Anti-Terrorism Law. Borrower hereby agrees to take any action necessary to enable Bank to comply with the requirements of Anti-Terrorism Law.</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11.17Online Banking Platform. </w:t>
      </w:r>
      <w:r>
        <w:rPr>
          <w:rFonts w:ascii="Times New Roman" w:cs="Times New Roman" w:eastAsia="Times New Roman" w:hAnsi="Times New Roman"/>
          <w:sz w:val="18"/>
          <w:szCs w:val="18"/>
          <w:color w:val="auto"/>
        </w:rPr>
        <w:t>If Borrower uses Bank’s online banking platform in connection with this Agreement, Borrower agrees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by and comply with the applicable online banking terms and conditions and related online banking documents as in effect from time to time. The online banking terms and conditions may be provided as hyperlinks or “click-through” agreements on the website, which may be updated from time to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Continued use of Bank’s online banking platform shall constitute Borrower’s acceptance of the applicable terms and conditions. Borrower is solely responsible for any of Borrower’s employees’ or agents’ compliance with the online banking terms and conditions and shall ensure that (a) all persons utilizing Bank’s online banking platform in connection with this Agreement, including the Administrator and other users added by them, have all relevant authority to perform the specified roles and functions on Borrower’s behalf, and (b) any use of Bank’s online banking platform in connection with this Agreement complies with the terms of this Agreement. Bank shall be entitled to assume the authenticity, accuracy and completeness of any information, instruction or request for a Credit Extension submitted via Bank’s online banking platform and to further assume that any submissions or requests made via Bank’s online banking platform have been duly authorized by an Administrator and are otherwise in accordance with the terms of this Agreement.</w:t>
      </w:r>
    </w:p>
    <w:p>
      <w:pPr>
        <w:spacing w:after="0" w:line="185" w:lineRule="exact"/>
        <w:rPr>
          <w:sz w:val="20"/>
          <w:szCs w:val="20"/>
          <w:color w:val="auto"/>
        </w:rPr>
      </w:pPr>
    </w:p>
    <w:p>
      <w:pPr>
        <w:ind w:left="1020" w:hanging="263"/>
        <w:spacing w:after="0"/>
        <w:tabs>
          <w:tab w:leader="none" w:pos="10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TERMS AND OTHER DEFINITIONS</w:t>
      </w:r>
    </w:p>
    <w:p>
      <w:pPr>
        <w:spacing w:after="0" w:line="225"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12.2Accounting and Other Terms.</w:t>
      </w:r>
    </w:p>
    <w:p>
      <w:pPr>
        <w:spacing w:after="0" w:line="229" w:lineRule="exact"/>
        <w:rPr>
          <w:rFonts w:ascii="Times New Roman" w:cs="Times New Roman" w:eastAsia="Times New Roman" w:hAnsi="Times New Roman"/>
          <w:sz w:val="18"/>
          <w:szCs w:val="18"/>
          <w:b w:val="1"/>
          <w:bCs w:val="1"/>
          <w:color w:val="auto"/>
        </w:rPr>
      </w:pPr>
    </w:p>
    <w:p>
      <w:pPr>
        <w:jc w:val="both"/>
        <w:ind w:firstLine="1505"/>
        <w:spacing w:after="0" w:line="252" w:lineRule="auto"/>
        <w:tabs>
          <w:tab w:leader="none" w:pos="203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not defined in this Agreement shall be construed following GAAP. Calculations and determinations must be made following GAAP (except for with respect to unaudited financial statements for the absence of footnotes and subject to year-end audit adjustments), provided that if at any time any 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provided, further, that, until so amended, (i) such ratio or requirement shall continue to be computed in accordance with GAAP prior to such change therein and (ii) Borrower shall provide Bank financial statements and other documents required under this Agreement or as reasonably requested hereunder setting forth a reconciliation between calculations of such ratio or requirement made before and after giving effect to such change in GAAP. Notwithstanding the foregoing, any obligations of a Person that are or would have been treated as operating leases for purposes of GAAP prior to the issuance by the Financial Accounting Standards Board on February 25, 2016 of an Accounting Standards Update (the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(for the avoidance of doubt, other than for purposes of the delivery of financial statements prepared in accordance with GAAP). Notwithstanding the foregoing, all financial covenants and other financial calculations shall be computed with respect to Borrower only, and not on a consolidated basis.</w:t>
      </w:r>
    </w:p>
    <w:p>
      <w:pPr>
        <w:spacing w:after="0" w:line="197"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 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12.3Definitions. </w:t>
      </w:r>
      <w:r>
        <w:rPr>
          <w:rFonts w:ascii="Times New Roman" w:cs="Times New Roman" w:eastAsia="Times New Roman" w:hAnsi="Times New Roman"/>
          <w:sz w:val="18"/>
          <w:szCs w:val="18"/>
          <w:color w:val="auto"/>
        </w:rPr>
        <w:t>Capitalized terms not otherwise defined in this Agreement shall have the meanings set forth in this Section 12.2.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contained in this Agreement, unless otherwise indicated, shall have the meaning provided by the Code to the extent such terms are defined therein. As used in this Agreement, the following capitalized terms have the following meanings:</w:t>
      </w:r>
    </w:p>
    <w:p>
      <w:pPr>
        <w:spacing w:after="0" w:line="171"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is, as to any Person, any “account” of such Person as “account” is defined in the Code with such additions to such term as may hereafter be made, and includes, without limitation, all accounts receivable and other sums owing to such Person.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Threshold</w:t>
      </w:r>
      <w:r>
        <w:rPr>
          <w:rFonts w:ascii="Times New Roman" w:cs="Times New Roman" w:eastAsia="Times New Roman" w:hAnsi="Times New Roman"/>
          <w:sz w:val="18"/>
          <w:szCs w:val="18"/>
          <w:color w:val="auto"/>
        </w:rPr>
        <w:t>” is defined in Section 5.7(a).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is an individual that is named: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both"/>
        <w:ind w:left="760" w:firstLine="745"/>
        <w:spacing w:after="0" w:line="266" w:lineRule="auto"/>
        <w:tabs>
          <w:tab w:leader="none" w:pos="186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“Administrator” or similar role in the online banking enrollment form or related documents completed by Borrower with the authority to determine who will be authorized to use Bank’s online banking platform on behalf of Borrower in connection with this Agreement; and</w:t>
      </w:r>
    </w:p>
    <w:p>
      <w:pPr>
        <w:spacing w:after="0" w:line="17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Authorized Signer of Borrower in an approval by the Board.</w:t>
      </w:r>
    </w:p>
    <w:p>
      <w:pPr>
        <w:spacing w:after="0" w:line="22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w:t>
      </w:r>
      <w:r>
        <w:rPr>
          <w:rFonts w:ascii="Times New Roman" w:cs="Times New Roman" w:eastAsia="Times New Roman" w:hAnsi="Times New Roman"/>
          <w:sz w:val="18"/>
          <w:szCs w:val="18"/>
          <w:color w:val="auto"/>
        </w:rPr>
        <w:t>” means any law relating to terrorism or money-laundering, including Executive Order No. 13224 and the USA Patriot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provisions of constitutions, laws, statutes, ordinances, rules, treaties, regulations, permits, licenses, approvals, interpretations and orders of courts or Governmental Authorities and all orders and decrees of all courts and arbitrators, including the Corporate Transparency Act.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is defined in Section 12.1(a).</w:t>
      </w:r>
    </w:p>
    <w:p>
      <w:pPr>
        <w:spacing w:after="0" w:line="22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Signer</w:t>
      </w:r>
      <w:r>
        <w:rPr>
          <w:rFonts w:ascii="Times New Roman" w:cs="Times New Roman" w:eastAsia="Times New Roman" w:hAnsi="Times New Roman"/>
          <w:sz w:val="18"/>
          <w:szCs w:val="18"/>
          <w:color w:val="auto"/>
        </w:rPr>
        <w:t>” means any individual listed in Borrower’s Borrowing Resolution who is authorized to execute the Loan Documents, including making (and executing if applicable) any Credit Extension request, on behalf of Borrower.</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Entities</w:t>
      </w:r>
      <w:r>
        <w:rPr>
          <w:rFonts w:ascii="Times New Roman" w:cs="Times New Roman" w:eastAsia="Times New Roman" w:hAnsi="Times New Roman"/>
          <w:sz w:val="18"/>
          <w:szCs w:val="18"/>
          <w:color w:val="auto"/>
        </w:rPr>
        <w:t>” is defined in Section 11.8.</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Expenses</w:t>
      </w:r>
      <w:r>
        <w:rPr>
          <w:rFonts w:ascii="Times New Roman" w:cs="Times New Roman" w:eastAsia="Times New Roman" w:hAnsi="Times New Roman"/>
          <w:sz w:val="18"/>
          <w:szCs w:val="18"/>
          <w:color w:val="auto"/>
        </w:rPr>
        <w:t>” are all audit fees, costs and reasonable expenses (including reasonable, out-of-pocket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7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Services</w:t>
      </w:r>
      <w:r>
        <w:rPr>
          <w:rFonts w:ascii="Times New Roman" w:cs="Times New Roman" w:eastAsia="Times New Roman" w:hAnsi="Times New Roman"/>
          <w:sz w:val="18"/>
          <w:szCs w:val="18"/>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Times New Roman" w:cs="Times New Roman" w:eastAsia="Times New Roman" w:hAnsi="Times New Roman"/>
          <w:sz w:val="18"/>
          <w:szCs w:val="18"/>
          <w:b w:val="1"/>
          <w:bCs w:val="1"/>
          <w:color w:val="auto"/>
        </w:rPr>
        <w:t>Bank Services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Services Agreement</w:t>
      </w:r>
      <w:r>
        <w:rPr>
          <w:rFonts w:ascii="Times New Roman" w:cs="Times New Roman" w:eastAsia="Times New Roman" w:hAnsi="Times New Roman"/>
          <w:sz w:val="18"/>
          <w:szCs w:val="18"/>
          <w:color w:val="auto"/>
        </w:rPr>
        <w:t>” is defined in the definition of Bank Services.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is Borrower’s board of directors or equivalent governing body.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is set forth in the first paragraph of this Agreement.</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 Books</w:t>
      </w:r>
      <w:r>
        <w:rPr>
          <w:rFonts w:ascii="Times New Roman" w:cs="Times New Roman" w:eastAsia="Times New Roman" w:hAnsi="Times New Roman"/>
          <w:sz w:val="18"/>
          <w:szCs w:val="18"/>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5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Resolutions</w:t>
      </w:r>
      <w:r>
        <w:rPr>
          <w:rFonts w:ascii="Times New Roman" w:cs="Times New Roman" w:eastAsia="Times New Roman" w:hAnsi="Times New Roman"/>
          <w:sz w:val="18"/>
          <w:szCs w:val="18"/>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 day other than a Saturday, Sunday or other day on which commercial banks in the State of California are authorized or required by law to close, except that if any determination of a “Business Day” shall relate to an FX Contract, the term “Business Day” shall also mean a day on which dealings are carried on in the country of settlement of the Foreign Currency.</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Calculation Date</w:t>
      </w:r>
      <w:r>
        <w:rPr>
          <w:rFonts w:ascii="Times New Roman" w:cs="Times New Roman" w:eastAsia="Times New Roman" w:hAnsi="Times New Roman"/>
          <w:sz w:val="18"/>
          <w:szCs w:val="18"/>
          <w:color w:val="auto"/>
        </w:rPr>
        <w:t>” is defined in the definition of Unused Term Loan Commitment Fee.</w:t>
      </w:r>
    </w:p>
    <w:p>
      <w:pPr>
        <w:spacing w:after="0" w:line="225"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Burn</w:t>
      </w:r>
      <w:r>
        <w:rPr>
          <w:rFonts w:ascii="Times New Roman" w:cs="Times New Roman" w:eastAsia="Times New Roman" w:hAnsi="Times New Roman"/>
          <w:sz w:val="18"/>
          <w:szCs w:val="18"/>
          <w:color w:val="auto"/>
        </w:rPr>
        <w:t>” means, as of any date of determination, expressed as a positive number, (a) Borrower’s quarterly, as determined as of the most recent fiscal quarter then-ended, (i) Net Income, plus, to the extent deducted in the calculation of Net Income, (ii) depreciation and amortization expense,</w:t>
      </w:r>
    </w:p>
    <w:p>
      <w:pPr>
        <w:spacing w:after="0" w:line="1" w:lineRule="exact"/>
        <w:rPr>
          <w:sz w:val="20"/>
          <w:szCs w:val="20"/>
          <w:color w:val="auto"/>
        </w:rPr>
      </w:pPr>
    </w:p>
    <w:p>
      <w:pPr>
        <w:ind w:firstLine="8"/>
        <w:spacing w:after="0" w:line="260" w:lineRule="auto"/>
        <w:tabs>
          <w:tab w:leader="none" w:pos="2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 compensation, (iii) non-cash prepaid expenses and (iv) other one-time expenses, as approved by Bank in writing in its sole and absolute discretion, each as determined in accordance with GAAP, multiplied by (b) two (2).</w:t>
      </w:r>
    </w:p>
    <w:p>
      <w:pPr>
        <w:spacing w:after="0" w:line="177"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95.0% of the assets of which constitute Cash Equivalents of the kinds described in clauses (a) through (c) of this definition.</w:t>
      </w:r>
    </w:p>
    <w:p>
      <w:pPr>
        <w:spacing w:after="0" w:line="179" w:lineRule="exact"/>
        <w:rPr>
          <w:sz w:val="20"/>
          <w:szCs w:val="20"/>
          <w:color w:val="auto"/>
        </w:rPr>
      </w:pPr>
    </w:p>
    <w:p>
      <w:pPr>
        <w:jc w:val="both"/>
        <w:ind w:firstLine="749"/>
        <w:spacing w:after="0" w:line="21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 at any time, any “person” or “group” (as such terms are used in Sections 13(d) and 14(d) of the Exchange Act), shall become, or obtain rights (whether by means of warrants, options or otherwise) to become, the “beneficial owner” (as defined in Rules 13(d)-3 and 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 under the Exchange Act), directly or indirectly, of 49.0 % or more of the ordinary voting power for the election of directors, partners, managers and members, as applicable,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12 consecutive months, a majority of the members of the Board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100.0% of each class of outstanding stock, partnership, membership, or other ownership interest or other equity securities of each Subsidiary of Borrower free and clear of all Liens (except Permitted Liens).</w:t>
      </w:r>
    </w:p>
    <w:p>
      <w:pPr>
        <w:spacing w:after="0" w:line="19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the occurrence, after the Effective Date, of: (a) the adoption or taking effect of any law, rule, regulation or treaty; (b) any change in Applicable Law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is defined in Section 11.3.</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is the Uniform Commercial Code, as the same may, from time to time, be enacted and in effect in the State of New York; provided, that, to the extent that the Code is used to define any term herein or in any Loan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in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consists of all of Borrower’s right, title and interest in and to the following personal property:</w:t>
      </w:r>
    </w:p>
    <w:p>
      <w:pPr>
        <w:spacing w:after="0" w:line="229" w:lineRule="exact"/>
        <w:rPr>
          <w:sz w:val="20"/>
          <w:szCs w:val="20"/>
          <w:color w:val="auto"/>
        </w:rPr>
      </w:pPr>
    </w:p>
    <w:p>
      <w:pPr>
        <w:jc w:val="both"/>
        <w:ind w:firstLine="1505"/>
        <w:spacing w:after="0" w:line="255" w:lineRule="auto"/>
        <w:tabs>
          <w:tab w:leader="none" w:pos="20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 (ii)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88" w:lineRule="exact"/>
        <w:rPr>
          <w:rFonts w:ascii="Times New Roman" w:cs="Times New Roman" w:eastAsia="Times New Roman" w:hAnsi="Times New Roman"/>
          <w:sz w:val="18"/>
          <w:szCs w:val="18"/>
          <w:color w:val="auto"/>
        </w:rPr>
      </w:pPr>
    </w:p>
    <w:p>
      <w:pPr>
        <w:jc w:val="both"/>
        <w:ind w:firstLine="1505"/>
        <w:spacing w:after="0" w:line="252" w:lineRule="auto"/>
        <w:tabs>
          <w:tab w:leader="none" w:pos="20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Collateral does not include (i) consents, authorizations, approvals, orders, licenses, franchises, permits, certificates, accreditations, registrations, filings or notice (collectively, “Approvals”) issued by or from any governmental or regulatory authority if granting a security interest or Lien thereon is prohibited or would expose Borrower to the risk of termination, revocation or any similar result with respect to such Governmental Approval; provided, however, that upon termination of such prohibition, such interest shall immediately become Collateral without any action by Borrower or Bank, (ii) rights held under a license that are not assignable by their terms without the consent of the licensor thereof (but only to the extent such restriction on assignment is enforceable under applicable law), (iii) any interest of Borrower as a lessee under an Equipment lease if Borrower is prohibited by the terms of such lease from granting a security interest in such lease or under which such an assignment or Lien would cause a default to occur under such lease; provided, however, that upon termination of such prohibition, such interest shall immediately become Collateral without any action by Borrower or Bank, (iv) any interest of Borrower as a lessee or sublessee under a real property lease, (v) any intent-to-use Trademarks or applications therefor, unless and until acceptable evidence of use of the Trademark has been filed with and accepted by the United States Patent and Trademark Office pursuant to Section 1(c) or Section 1(d) of the Lanham Act (15 U.S.C.§§ 1051, et seq.), or (vi)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9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Section 6.5, Borrower has agreed not to encumber any of its Intellectual Property without Bank’s prior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consent.</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is any Deposit Account, Securities Account, or Commodity Account.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Statement</w:t>
      </w:r>
      <w:r>
        <w:rPr>
          <w:rFonts w:ascii="Times New Roman" w:cs="Times New Roman" w:eastAsia="Times New Roman" w:hAnsi="Times New Roman"/>
          <w:sz w:val="18"/>
          <w:szCs w:val="18"/>
          <w:color w:val="auto"/>
        </w:rPr>
        <w:t>” is that certain statement in the form attached hereto as Exhibit A.</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is, for any Person, any direct or indirect liability of that Person for (a) any direct or indirect guaranty by such Person of any indebtedness, lease, dividend, letter of credit, credit card or other obligation of another, (b) any other obligation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71"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is any Term Loan Advance or any other extension of credit by Bank for Borrower’s benefit.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is coined money and such other banknotes or other paper money as are authorized by law and circulate as a medium of exchange.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which with notice or passage of time or both, would constitute an Event of Default.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is defined in Section 1.2(c).</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is any “</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as defined in the Code with such additions to such term as may hereafter be made.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Deposit Account</w:t>
      </w:r>
      <w:r>
        <w:rPr>
          <w:rFonts w:ascii="Times New Roman" w:cs="Times New Roman" w:eastAsia="Times New Roman" w:hAnsi="Times New Roman"/>
          <w:sz w:val="18"/>
          <w:szCs w:val="18"/>
          <w:color w:val="auto"/>
        </w:rPr>
        <w:t>” is the deposit account established by Borrower with Bank for purposes of receiving Credit Extensions.</w:t>
      </w:r>
    </w:p>
    <w:p>
      <w:pPr>
        <w:spacing w:after="0" w:line="22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spacing w:after="0" w:line="179"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 A</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 A End Date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 B</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 C</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 Extension Event</w:t>
      </w:r>
      <w:r>
        <w:rPr>
          <w:rFonts w:ascii="Times New Roman" w:cs="Times New Roman" w:eastAsia="Times New Roman" w:hAnsi="Times New Roman"/>
          <w:sz w:val="18"/>
          <w:szCs w:val="18"/>
          <w:color w:val="auto"/>
        </w:rPr>
        <w:t>” is set forth on Schedule I hereto.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Dutch Subsidiary</w:t>
      </w:r>
      <w:r>
        <w:rPr>
          <w:rFonts w:ascii="Times New Roman" w:cs="Times New Roman" w:eastAsia="Times New Roman" w:hAnsi="Times New Roman"/>
          <w:sz w:val="18"/>
          <w:szCs w:val="18"/>
          <w:color w:val="auto"/>
        </w:rPr>
        <w:t>” is Invivyd Netherlands B.V, an entity organized under the laws of the Netherlands and a Subsidiary of Borrower.</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shall mean, (a) Net Income, plus (b) to the extent deducted in the calculation of Net Income (i) Interest Expense, (ii) depreciation expense and amortization expense, (iii) income tax expense, (iv) non-cash stock compensation, (v) extraordinary one-time expenses in an aggregate amount not to exceed the lesser of (A) 10.0% of total EBITDA and (B) $1,000,000.00, and (vi) other one-time expenses, as approved by Bank in writing in its sole and absolute discretion .</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Applicable Law (including any permits, concessions, grants, franchises, licenses, agreements or governmental restrictions) relating to pollution or the protection of health, safety or the environment or the release of any materials into the environment (including those related to hazardous materials, air emissions, discharges to waste or public systems and health and safety matters).</w:t>
      </w:r>
    </w:p>
    <w:p>
      <w:pPr>
        <w:spacing w:after="0" w:line="171"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is the Employee Retirement Income Security Act of 1974, as amended, and its regulations.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is defined in Section 7.</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is the Securities Exchange Act of 1934, as amended.</w:t>
      </w:r>
    </w:p>
    <w:p>
      <w:pPr>
        <w:spacing w:after="0" w:line="2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any of the following Taxes imposed on or with respect to Bank or required to be withheld or deducted from a payment to Bank, (a) Taxes imposed on or measured by net income (however denominated), franchise Taxes, and branch profits Taxes, in each case, (i) imposed as a result of Bank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Bank with respect to an applicable interest in a Credit Extension pursuant to a law in effect on the date on which (i) Bank acquires such interest in the Credit Extensions or (ii) Bank changes its lending office, except in each case to the extent that, pursuant to Section 1.6, amounts with respect to such Taxes were payable either to Bank’s assignor immediately before Bank became a party hereto or to Bank immediately before it changed its lending office, (c) Taxes attributable to Bank’s failure to comply with Section 1.6(e), and (d) any withholding Taxes imposed under FATCA.</w:t>
      </w:r>
    </w:p>
    <w:p>
      <w:pPr>
        <w:spacing w:after="0" w:line="18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and any successor thereto.</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w:t>
      </w:r>
      <w:r>
        <w:rPr>
          <w:rFonts w:ascii="Times New Roman" w:cs="Times New Roman" w:eastAsia="Times New Roman" w:hAnsi="Times New Roman"/>
          <w:sz w:val="18"/>
          <w:szCs w:val="18"/>
          <w:color w:val="auto"/>
        </w:rPr>
        <w:t>” is a payment (in addition to and not a substitution for the regular monthly payments of principal plus accrued interest) due on the earliest to occur of (a) the Term Loan Maturity Date, (b) the repayment of the Term Loan Advances in full, (c) as required pursuant to Sections 1.1(c) or 1.1(d), or (d) the termination of this Agreement, in an amount equal to the original aggregate principal amount of the Term Loan Advances extended by Bank to Borrower multiplied by 4.50%.</w:t>
      </w:r>
    </w:p>
    <w:p>
      <w:pPr>
        <w:spacing w:after="0" w:line="176"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 Repository</w:t>
      </w:r>
      <w:r>
        <w:rPr>
          <w:rFonts w:ascii="Times New Roman" w:cs="Times New Roman" w:eastAsia="Times New Roman" w:hAnsi="Times New Roman"/>
          <w:sz w:val="18"/>
          <w:szCs w:val="18"/>
          <w:color w:val="auto"/>
        </w:rPr>
        <w:t>” is (a) Bank’s e-mail address specified in Section 9, or (b) such other means of collecting information approved and designated by Bank after providing notice thereof to Borrower from time to time.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 is the lawful money of a country other than the United States.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FX Contract</w:t>
      </w:r>
      <w:r>
        <w:rPr>
          <w:rFonts w:ascii="Times New Roman" w:cs="Times New Roman" w:eastAsia="Times New Roman" w:hAnsi="Times New Roman"/>
          <w:sz w:val="18"/>
          <w:szCs w:val="18"/>
          <w:color w:val="auto"/>
        </w:rPr>
        <w:t>” is any foreign exchange contract by and between Borrower and Bank under which Borrower commits to purchase from or sell to Bank a specific amount of Foreign Currency at a set price or on a specified date.</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7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Intangibles</w:t>
      </w:r>
      <w:r>
        <w:rPr>
          <w:rFonts w:ascii="Times New Roman" w:cs="Times New Roman" w:eastAsia="Times New Roman" w:hAnsi="Times New Roman"/>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79"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is any consent, authorization, approval, order, license, franchise, permit, certificate, accreditation, registration, filing or notice, of, issued by, from or to, or other act by or in respect of, any Governmental Authority, including, without limitation, Healthcare Permits.</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is any Person providing a Guaranty in favor of Bank. For the avoidance of doubt, as of the Effective Date, there is no Guarantor in connection with this Agreement.</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is any guarantee of all or any part of the Obligations, as the same may from time to time be amended, restated, modified or otherwise supplemented.</w:t>
      </w:r>
    </w:p>
    <w:p>
      <w:pPr>
        <w:spacing w:after="0" w:line="15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Healthcare Laws</w:t>
      </w:r>
      <w:r>
        <w:rPr>
          <w:rFonts w:ascii="Times New Roman" w:cs="Times New Roman" w:eastAsia="Times New Roman" w:hAnsi="Times New Roman"/>
          <w:sz w:val="18"/>
          <w:szCs w:val="18"/>
          <w:color w:val="auto"/>
        </w:rPr>
        <w:t>” means all applicable laws relating to the operation or management of hospitalist practices, the provision of hospitalist services, proper billing and collection practices relating to the payment for healthcare services, insurance law (including law related to payment for “no-fault” claims) and workers compensation law as they relate to the provision of, and billing and payment for, healthcare services, patient healthcare, patient healthcare information, patient abuse, the quality and adequacy of rehabilitative care, rate setting, equipment, personnel, operating policies, fee splitting, including, without limitation, (a) all federal and state fraud and abuse laws, including, without limitation, the federal Anti-Kickback Statute (42 U.S.C. §1320a-7b(b)), the Stark Law (42 U.S.C. §1395nn), the civil False Claims Act (31 U.S.C. §3729 et seq.), the administrative False Claims Law (42 U.S.C. § 1320a-7b(a)), the Anti-Inducement Law (42 U.S.C. § 1320a-7a(a)(5)), the exclusion laws (42 U.S.C. § 1320a-7); (b) the Health Insurance Portability and Accountability Act of 1996, as amended by the Health Information Technology for Economic and Clinical Health Act of 2009; (c) the Medicare Regulations and the Medicaid Program (Title XIX of the Social Security Act); (d) quality, safety and accreditation standards and requirements of all applicable state laws or regulatory bodies; (e) all laws, policies, procedures, requirements and regulations pursuant to which Healthcare Permits are issued;</w:t>
      </w:r>
    </w:p>
    <w:p>
      <w:pPr>
        <w:jc w:val="both"/>
        <w:ind w:firstLine="8"/>
        <w:spacing w:after="0" w:line="253" w:lineRule="auto"/>
        <w:tabs>
          <w:tab w:leader="none" w:pos="23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regulations or administrative guidance with respect to fee splitting by healthcare professionals and the corporate practice of medicine in any jurisdiction in which any Borrower or any Guarantor operates; and (g) any and all comparable state or local laws and other applicable health care laws, regulations, manual provisions, policies and administrative guidance, each of (a) through (g) as may be amended from time to time and the regulations promulgated pursuant to each such law.</w:t>
      </w:r>
    </w:p>
    <w:p>
      <w:pPr>
        <w:spacing w:after="0" w:line="18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Healthcare Permit</w:t>
      </w:r>
      <w:r>
        <w:rPr>
          <w:rFonts w:ascii="Times New Roman" w:cs="Times New Roman" w:eastAsia="Times New Roman" w:hAnsi="Times New Roman"/>
          <w:sz w:val="18"/>
          <w:szCs w:val="18"/>
          <w:color w:val="auto"/>
        </w:rPr>
        <w:t>” means, with respect to any Person, a permit issued or required under Healthcare Laws applicable to the business of Borrower or any Guarantor, or necessary in the testing, possession, manufacture, ownership, warehousing, marketing, promoting, sale, labeling, furnishing, distribution or delivery of goods or services under Healthcare Laws applicable to the business of Borrower or any Guarantor.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means, collectively, the Health Insurance Portability and Accountability Act of 1996, as amended by the Health Information Technology for Economic Clinical Health (HITECH) Act and the implementing regulations thereto.</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is (a) indebtedness for borrowed money or the deferred price of property or services, such as reimbursement and other obligations for surety bonds, letters of credit and credit cards, (b) obligations evidenced by notes, bonds, debentures or similar instruments, (c) capital lease obligations, (d) Contingent Obligations and (e) other short- and long-term obligations under debt agreements, lines of credit and extensions of credit.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is defined in Section 11.3.</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Borrower under any Loan Document and (b) to the extent not otherwise described in clause (a), Other Taxes.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is defined in Section 11.8.</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2040" w:hanging="535"/>
        <w:spacing w:after="0"/>
        <w:tabs>
          <w:tab w:leader="none" w:pos="2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Copyrights, Trademarks and Patents;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trade secrets and trade secret rights, including, without limitation, any rights to unpatented inventions, know-how</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operating manuals;</w:t>
      </w:r>
    </w:p>
    <w:p>
      <w:pPr>
        <w:spacing w:after="0" w:line="206"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source code;</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design rights which may be available to such Person;</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6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amendments, renewals and extensions of any of the Copyrights, Trademarks or Patents.</w:t>
      </w:r>
    </w:p>
    <w:p>
      <w:pPr>
        <w:spacing w:after="0" w:line="221"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color w:val="auto"/>
        </w:rPr>
        <w:t>” means for any fiscal period, interest expense (whether cash or non-cash) determined in accordance with GAAP for the relevant period ending on such date, including, in any event, interest expense with respect to any Credit Extension and other Indebtedness of Borrower, including, without limitation or duplication, all commissions, discounts, or related amortization and other fees and charges with respect to letters of credit and bankers’ acceptance financing and the net costs associated with interest rate swap, cap, and similar arrangements, and the interest portion of any deferred payment obligation (including leases of all types).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Interest-Only Milestone Event</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means the U.S. Internal Revenue Code of 1986, and the rules and regulations promulgated thereunder, each as amended or modified from time to time.</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is all “</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is any beneficial ownership interest in any Person (including stock, partnership, membership, or other ownership interest or other equity securities), and any loan, advance or capital contribution to any Person.</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Person</w:t>
      </w:r>
      <w:r>
        <w:rPr>
          <w:rFonts w:ascii="Times New Roman" w:cs="Times New Roman" w:eastAsia="Times New Roman" w:hAnsi="Times New Roman"/>
          <w:sz w:val="18"/>
          <w:szCs w:val="18"/>
          <w:color w:val="auto"/>
        </w:rPr>
        <w:t>” is each of Borrower’s (i) Chief Financial Officer, who is William Duke, Jr. as of the Effective Date, (ii) Chief Legal Officer, who is Jill Andersen as of the Effective Date, (iii) Chief Scientific Officer, who is Robert Allen as of the Effective Date, and (iv) Chief Commercial Officer, who is Timothy Lee as of the Effective Date.</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is a standby or commercial letter of credit issued by Bank upon request of Borrower based upon an application, guarantee, indemnity, or similar agreement.</w:t>
      </w:r>
    </w:p>
    <w:p>
      <w:pPr>
        <w:spacing w:after="0" w:line="15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is a claim, mortgage, deed of trust, levy, attachment charge, pledge, hypothecation, security interest or other encumbrance of any kind, whether voluntarily incurred or arising by operation of law or otherwise against any property.</w:t>
      </w:r>
    </w:p>
    <w:p>
      <w:pPr>
        <w:spacing w:after="0" w:line="15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are, collectively, this Agreement and any schedules, exhibits, certificates, notices, and any other documents related to this Agreement, the Perfection Certificate, the Stock Pledge Agreement, any Control Agreement, any Bank Services Agreement,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or Bank Services, all as amended, restated, or otherwise modified in accordance with the terms thereof.</w:t>
      </w:r>
    </w:p>
    <w:p>
      <w:pPr>
        <w:spacing w:after="0" w:line="179"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is (a) a material impairment in the perfection or priority of Bank’s Lien in the Collateral or in the value of such Collateral; (b) a material adverse change in the business, operations, or condition (financial or otherwise) of Borrower; (c) a material impairment of the prospect of repayment of any portion of the Obligations; or (d) Bank determines, based upon information available to it and in its reasonable judgment, that there is a likelihood that Borrower shall fail to comply with one or more of the financial covenants in Section 5 during the next succeeding financial reporting period.</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Cash</w:t>
      </w:r>
      <w:r>
        <w:rPr>
          <w:rFonts w:ascii="Times New Roman" w:cs="Times New Roman" w:eastAsia="Times New Roman" w:hAnsi="Times New Roman"/>
          <w:sz w:val="18"/>
          <w:szCs w:val="18"/>
          <w:color w:val="auto"/>
        </w:rPr>
        <w:t>” means, as of any date of determination, (a) the aggregate amount of Borrower’s unrestricted and unencumbered cash and Cash Equivalents in accounts in the name of Borrower maintained with Bank or Bank’s Affiliates, plus (b) the aggregate amount of Borrower’s unrestricted and unencumbered cash maintained in accounts subject to a Control Agreement in favor of Bank, provided that (i) Bank has a first priority perfected security interest in the amounts held in such accounts and (ii) such accounts are permitted to be maintained pursuant to Section 5.7(a).</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Cash Threshold</w:t>
      </w:r>
      <w:r>
        <w:rPr>
          <w:rFonts w:ascii="Times New Roman" w:cs="Times New Roman" w:eastAsia="Times New Roman" w:hAnsi="Times New Roman"/>
          <w:sz w:val="18"/>
          <w:szCs w:val="18"/>
          <w:color w:val="auto"/>
        </w:rPr>
        <w:t>” means, as of any date of determination, an amount equal to the greater of (a)(i) Cash Burn as of the last day of the immediately preceding fiscal quarter, plus (ii) the aggregate amount of outstanding Term Loan Advances and (b)(i) the aggregate amount of outstanding Term Loan Advances, multiplied by (ii) two (2).</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Cash Trigger Event</w:t>
      </w:r>
      <w:r>
        <w:rPr>
          <w:rFonts w:ascii="Times New Roman" w:cs="Times New Roman" w:eastAsia="Times New Roman" w:hAnsi="Times New Roman"/>
          <w:sz w:val="18"/>
          <w:szCs w:val="18"/>
          <w:color w:val="auto"/>
        </w:rPr>
        <w:t>” means the date on which Borrower has failed to maintain active sales of a product under emergency use authorization, biologics license application, and/or any other approval by approval by the FDA, as determined by Bank in its sole and absolute discretion.</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Income</w:t>
      </w:r>
      <w:r>
        <w:rPr>
          <w:rFonts w:ascii="Times New Roman" w:cs="Times New Roman" w:eastAsia="Times New Roman" w:hAnsi="Times New Roman"/>
          <w:sz w:val="18"/>
          <w:szCs w:val="18"/>
          <w:color w:val="auto"/>
        </w:rPr>
        <w:t>” means, for any period as at any date of determination, the net profit (or loss), after provision for taxes, of Borrower for such period taken as a single accounting period.</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Product Revenue</w:t>
      </w:r>
      <w:r>
        <w:rPr>
          <w:rFonts w:ascii="Times New Roman" w:cs="Times New Roman" w:eastAsia="Times New Roman" w:hAnsi="Times New Roman"/>
          <w:sz w:val="18"/>
          <w:szCs w:val="18"/>
          <w:color w:val="auto"/>
        </w:rPr>
        <w:t>” means, for any period as at any date of determination, net revenue, determined in accordance with GAAP, attributable to Borrower’s sales of a commercial product.</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are Borrower’s obligations to pay when due any debts, principal, interest, fees, Bank Expenses, the Prepayment Fee, the Final Payment, the Unused Term Loan Commitment Fee and other amounts Borrower owes Bank now or later, whether under this Agreement, the other Loan Documents, or otherwise, including, without limitation, all obligations relating to Bank Services and interest accruing after Insolvency Proceedings begin and debts, liabilities, or obligations of Borrower assigned to Bank, and to perform Borrower’s duties under the Loan Documents.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is the Office of Foreign Assets Control of the United States Department of the Treasury and any successor thereto.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are, for any Person, such Person’s formation documents, as certified by the Secretary of State (or equivalent agency) of such Person’s jurisdiction of organization on a date that is no earlier than 30 days prior to the Effective Date, and, (a) if such Person is a corporation, its bylaws in current form, (b) if such Person is a limited liability company, its limited liability company agreement (or similar agreement), and (c) if such Person is a partnership or limited partnership, its partnership agreement or limited partnership agreement (or similar agreement), each of the foregoing with all current amendments or modifications thereto.</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Bank, Taxes imposed as a result of a present or former connection between Bank and the jurisdiction imposing such Tax (other than connections arising from Bank having executed, delivered, become a party to, performed its obligations under, received payments under, received or perfected a security interest under, engaged in any other transaction pursuant to or enforced any Loan Document, or sold or assigned an interest in any Credit Extension or Loan Document).</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71"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patent applications and like protections including without limitation improvements, divisions, continuations, renewals, reissues, extensions and continuations-in-part of the same.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Payment/Advance Form</w:t>
      </w:r>
      <w:r>
        <w:rPr>
          <w:rFonts w:ascii="Times New Roman" w:cs="Times New Roman" w:eastAsia="Times New Roman" w:hAnsi="Times New Roman"/>
          <w:sz w:val="18"/>
          <w:szCs w:val="18"/>
          <w:color w:val="auto"/>
        </w:rPr>
        <w:t>” is that certain form in the form attached hereto as Exhibit 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is the Perfection Certificate delivered by Borrower in connection with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Account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Permitted Accounts</w:t>
      </w:r>
      <w:r>
        <w:rPr>
          <w:rFonts w:ascii="Times New Roman" w:cs="Times New Roman" w:eastAsia="Times New Roman" w:hAnsi="Times New Roman"/>
          <w:sz w:val="18"/>
          <w:szCs w:val="18"/>
          <w:color w:val="auto"/>
        </w:rPr>
        <w:t>” are each defined in Section 5.7(a).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Credit Cards</w:t>
      </w:r>
      <w:r>
        <w:rPr>
          <w:rFonts w:ascii="Times New Roman" w:cs="Times New Roman" w:eastAsia="Times New Roman" w:hAnsi="Times New Roman"/>
          <w:sz w:val="18"/>
          <w:szCs w:val="18"/>
          <w:color w:val="auto"/>
        </w:rPr>
        <w:t>” is defined in clause (f) of the definition of Permitted Indebtedness.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Dutch Accounts</w:t>
      </w:r>
      <w:r>
        <w:rPr>
          <w:rFonts w:ascii="Times New Roman" w:cs="Times New Roman" w:eastAsia="Times New Roman" w:hAnsi="Times New Roman"/>
          <w:sz w:val="18"/>
          <w:szCs w:val="18"/>
          <w:color w:val="auto"/>
        </w:rPr>
        <w:t>” is defined in Section 5.7(a).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is:</w:t>
      </w:r>
    </w:p>
    <w:p>
      <w:pPr>
        <w:spacing w:after="0" w:line="229" w:lineRule="exact"/>
        <w:rPr>
          <w:sz w:val="20"/>
          <w:szCs w:val="20"/>
          <w:color w:val="auto"/>
        </w:rPr>
      </w:pPr>
    </w:p>
    <w:p>
      <w:pPr>
        <w:ind w:left="2040" w:hanging="535"/>
        <w:spacing w:after="0"/>
        <w:tabs>
          <w:tab w:leader="none" w:pos="2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Indebtedness to Bank under this Agreement and the other Loan Documents;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Effective Date which is shown on the Perfection Certificate (other than the Permitted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Cards);</w:t>
      </w:r>
    </w:p>
    <w:p>
      <w:pPr>
        <w:spacing w:after="0" w:line="207" w:lineRule="exact"/>
        <w:rPr>
          <w:sz w:val="20"/>
          <w:szCs w:val="20"/>
          <w:color w:val="auto"/>
        </w:rPr>
      </w:pPr>
    </w:p>
    <w:p>
      <w:pPr>
        <w:ind w:left="2040" w:hanging="535"/>
        <w:spacing w:after="0"/>
        <w:tabs>
          <w:tab w:leader="none" w:pos="2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to trade creditors incurred in the ordinary course of business;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as a result of endorsing negotiable instruments received in the ordinary course of business;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Liens permitted under clauses (a) and (c) of the definition of “Permitted Liens” hereunder;</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the financing of insurance premiums, provided such financing arrangement has been approved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by Bank;</w:t>
      </w:r>
    </w:p>
    <w:p>
      <w:pPr>
        <w:spacing w:after="0" w:line="207" w:lineRule="exact"/>
        <w:rPr>
          <w:sz w:val="20"/>
          <w:szCs w:val="20"/>
          <w:color w:val="auto"/>
        </w:rPr>
      </w:pPr>
    </w:p>
    <w:p>
      <w:pPr>
        <w:ind w:left="2040" w:hanging="535"/>
        <w:spacing w:after="0"/>
        <w:tabs>
          <w:tab w:leader="none" w:pos="2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Permitted Investments;</w:t>
      </w:r>
    </w:p>
    <w:p>
      <w:pPr>
        <w:spacing w:after="0" w:line="22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refinancings, modifications, amendments and restatements of any items of Permitted Indebtedness (a) through (h) above, provided that the principal amount thereof is not increased or the terms thereof are not modified to impose more burdensome terms upon Borrower or its Subsidiary, as the case may be;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both"/>
        <w:ind w:firstLine="1505"/>
        <w:spacing w:after="0" w:line="261" w:lineRule="auto"/>
        <w:tabs>
          <w:tab w:leader="none" w:pos="20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and milestone payments of Borrower to Adimab, LLC under that certain (i) Assignment and License Agreement dated as of July 8, 2020, by and between Borrower and Adimab, LLC and (ii) Collaboration Agreement dated as of May 21, 2021 (as amended by Amendment Number One, dated as of November 18, 2022, and Amendment Number Two, dated as of September 19, 2023), by and between Borrower and Adimab, LLC;</w:t>
      </w:r>
    </w:p>
    <w:p>
      <w:pPr>
        <w:spacing w:after="0" w:line="179"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in connection with Borrower’s business credit cards with financial institutions other than Bank in an aggregate amount not to exceed $250,000.00 outstanding at any time (the “</w:t>
      </w:r>
      <w:r>
        <w:rPr>
          <w:rFonts w:ascii="Times New Roman" w:cs="Times New Roman" w:eastAsia="Times New Roman" w:hAnsi="Times New Roman"/>
          <w:sz w:val="18"/>
          <w:szCs w:val="18"/>
          <w:b w:val="1"/>
          <w:bCs w:val="1"/>
          <w:color w:val="auto"/>
        </w:rPr>
        <w:t>Permitted Credit Cards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Indebtedness (i) between or among a Borrower or secured Guarantor and another Borrower or secured Guarantor and (ii) owing from a Subsidiary that is not a Borrower or secured Guarantor to a Borrower or secured Guarantor in an aggregate amount not to exceed $250,000.00 at any time outstanding; and</w:t>
      </w:r>
    </w:p>
    <w:p>
      <w:pPr>
        <w:spacing w:after="0" w:line="17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not otherwise permitted by Section 6.4 (specifically excluding any Indebtedness with respect to letters of credit and business credit cards) not exceeding $250,000.00 in the aggregate outstanding at any time.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are:</w:t>
      </w:r>
    </w:p>
    <w:p>
      <w:pPr>
        <w:spacing w:after="0" w:line="229" w:lineRule="exact"/>
        <w:rPr>
          <w:sz w:val="20"/>
          <w:szCs w:val="20"/>
          <w:color w:val="auto"/>
        </w:rPr>
      </w:pPr>
    </w:p>
    <w:p>
      <w:pPr>
        <w:ind w:left="2040" w:hanging="535"/>
        <w:spacing w:after="0"/>
        <w:tabs>
          <w:tab w:leader="none" w:pos="2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without limitation, Subsidiaries) existing on the Effective Date which are shown on the Perfection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ind w:right="20" w:firstLine="1505"/>
        <w:spacing w:after="0" w:line="282" w:lineRule="auto"/>
        <w:tabs>
          <w:tab w:leader="none" w:pos="20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consisting of Cash Equivalents,; and (ii) any Investments permitted by Borrower’s investment policy, as amended from time to time, provided that such investment policy (and any such amendment thereto) has been approved in writing by Bank;</w:t>
      </w:r>
    </w:p>
    <w:p>
      <w:pPr>
        <w:spacing w:after="0" w:line="161"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Section 5.7(a) hereof, cash Investments by Borrower in Securities Corp.; provided that an Event of Default does not exist at the time of any such Investment, and would not exist after giving effect to any such Investment;</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deposit accounts (but only to the extent that Borrower is permitted to maintain such accounts pursuant to Section 5.7 of this Agreement) in which Bank has a first priority perfected security interest (to the extent required pursuant to Section 5.7 of this Agreement);</w:t>
      </w:r>
    </w:p>
    <w:p>
      <w:pPr>
        <w:spacing w:after="0" w:line="1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accepted in connection with Transfers permitted by Section 6.1;</w:t>
      </w:r>
    </w:p>
    <w:p>
      <w:pPr>
        <w:spacing w:after="0" w:line="225"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 course of business of Borrower;</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travel advances and employee relocation loans and other employee loans and advances in the ordinary course of business, and (ii) loans to employees, officers, directors, partners, managers and members relating to the purchase of equity securities of Borrower or its Subsidiaries pursuant to employee equity purchase plans or similar agreements approved by the Board;</w:t>
      </w:r>
    </w:p>
    <w:p>
      <w:pPr>
        <w:spacing w:after="0" w:line="17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1"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notes receivable of, or prepaid royalties and other credit extensions, to customers and suppliers who are not Affiliates, in the ordinary course of business; provided that this paragraph (i) shall not apply to Investments of Borrower in any Subsidiary;</w:t>
      </w:r>
    </w:p>
    <w:p>
      <w:pPr>
        <w:spacing w:after="0" w:line="161"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by Subsidiaries that are not secured Guarantors or a Borrower in (A) other Subsidiaries that are not a secured Guarantor or a Borrower or (B) a Borrower or a secured Guarantor, (ii) by Borrower or a secured Guarantor in a Borrower or a secured Guarantor, and (iii) by Borrower or a secured Guarantor in Subsidiaries that are not a Borrower or a secured Guarantor for the ordinary, necessary and current operating expenses of such Subsidiaries in an aggregate amount not to exceed $350,000.00 in any fiscal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jc w:val="both"/>
        <w:ind w:firstLine="1505"/>
        <w:spacing w:after="0" w:line="266" w:lineRule="auto"/>
        <w:tabs>
          <w:tab w:leader="none" w:pos="20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 $250,000.00 in the aggregate in any fiscal year; and</w:t>
      </w:r>
    </w:p>
    <w:p>
      <w:pPr>
        <w:spacing w:after="0" w:line="1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not otherwise permitted by Section 6.7 not exceeding $250,000.00 in the aggregate in any fiscal year.</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are:</w:t>
      </w:r>
    </w:p>
    <w:p>
      <w:pPr>
        <w:spacing w:after="0" w:line="229" w:lineRule="exact"/>
        <w:rPr>
          <w:sz w:val="20"/>
          <w:szCs w:val="20"/>
          <w:color w:val="auto"/>
        </w:rPr>
      </w:pPr>
    </w:p>
    <w:p>
      <w:pPr>
        <w:ind w:left="2040" w:hanging="535"/>
        <w:spacing w:after="0"/>
        <w:tabs>
          <w:tab w:leader="none" w:pos="2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Effective Date which are shown on the Perfection Certificate or arising under this Agreement or the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Documents;</w:t>
      </w:r>
    </w:p>
    <w:p>
      <w:pPr>
        <w:spacing w:after="0" w:line="207" w:lineRule="exact"/>
        <w:rPr>
          <w:sz w:val="20"/>
          <w:szCs w:val="20"/>
          <w:color w:val="auto"/>
        </w:rPr>
      </w:pPr>
    </w:p>
    <w:p>
      <w:pPr>
        <w:jc w:val="both"/>
        <w:ind w:firstLine="1505"/>
        <w:spacing w:after="0" w:line="266" w:lineRule="auto"/>
        <w:tabs>
          <w:tab w:leader="none" w:pos="20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(i) on Equipment acquired or held by Borrower incurred for financing the acquisition of the Equipment securing no more than $100,000.00 in the aggregate amount outstanding, or (ii) existing on Equipment when acquired, if the Lien is confined to the property and improvements and the proceeds of the Equipment;</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7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$250,000.00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9"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zoning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7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179"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or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granted to third parties in the ordinary course of business and licenses of Intellectual Property in the ordinary course of Borrower’s business that could not result in a legal transfer of title of the licensed property that may be exclusive in respects other than territory and that may be exclusive as to territory only as to discrete geographical areas outside of the United States;</w:t>
      </w:r>
    </w:p>
    <w:p>
      <w:pPr>
        <w:spacing w:after="0" w:line="1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attachments or judgments, orders, or decrees in circumstances not constituting an Event of Default under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7.4 and 7.7;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jc w:val="both"/>
        <w:ind w:firstLine="1505"/>
        <w:spacing w:after="0" w:line="261" w:lineRule="auto"/>
        <w:tabs>
          <w:tab w:leader="none" w:pos="203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Liens of any bank in connection with statutory, common law and contractual rights of setoff and recoupment with respect to any deposit account or securities account of Borrower, provided that (i) Bank has a first priority perfected security interest in such account and</w:t>
      </w:r>
    </w:p>
    <w:p>
      <w:pPr>
        <w:ind w:left="280" w:hanging="272"/>
        <w:spacing w:after="0"/>
        <w:tabs>
          <w:tab w:leader="none" w:pos="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account is permitted to be maintained pursuant to Section 5.7 of this Agreement.</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Swiss Accounts</w:t>
      </w:r>
      <w:r>
        <w:rPr>
          <w:rFonts w:ascii="Times New Roman" w:cs="Times New Roman" w:eastAsia="Times New Roman" w:hAnsi="Times New Roman"/>
          <w:sz w:val="18"/>
          <w:szCs w:val="18"/>
          <w:color w:val="auto"/>
        </w:rPr>
        <w:t>” is defined in Section 5.7(a).</w:t>
      </w:r>
    </w:p>
    <w:p>
      <w:pPr>
        <w:spacing w:after="0" w:line="225"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 shall be an additional fee, payable to Bank, with respect to each Term Loan Advance, in an amount equal to:</w:t>
      </w:r>
    </w:p>
    <w:p>
      <w:pPr>
        <w:spacing w:after="0" w:line="229" w:lineRule="exact"/>
        <w:rPr>
          <w:sz w:val="20"/>
          <w:szCs w:val="20"/>
          <w:color w:val="auto"/>
        </w:rPr>
      </w:pPr>
    </w:p>
    <w:p>
      <w:pPr>
        <w:ind w:firstLine="1505"/>
        <w:spacing w:after="0" w:line="282" w:lineRule="auto"/>
        <w:tabs>
          <w:tab w:leader="none" w:pos="20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of the Term Loan Advances made on or prior to the first (1</w:t>
      </w:r>
      <w:r>
        <w:rPr>
          <w:rFonts w:ascii="Times New Roman" w:cs="Times New Roman" w:eastAsia="Times New Roman" w:hAnsi="Times New Roman"/>
          <w:sz w:val="12"/>
          <w:szCs w:val="12"/>
          <w:color w:val="auto"/>
        </w:rPr>
        <w:t>st</w:t>
      </w:r>
      <w:r>
        <w:rPr>
          <w:rFonts w:ascii="Times New Roman" w:cs="Times New Roman" w:eastAsia="Times New Roman" w:hAnsi="Times New Roman"/>
          <w:sz w:val="18"/>
          <w:szCs w:val="18"/>
          <w:color w:val="auto"/>
        </w:rPr>
        <w:t>) anniversary of the Effective Date, 3.0% of the then-outstanding principal amount of the Term Loan Advances immediately prior to the date of such prepayment;</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of the Term Loan Advances made after the first (1</w:t>
      </w:r>
      <w:r>
        <w:rPr>
          <w:rFonts w:ascii="Times New Roman" w:cs="Times New Roman" w:eastAsia="Times New Roman" w:hAnsi="Times New Roman"/>
          <w:sz w:val="12"/>
          <w:szCs w:val="12"/>
          <w:color w:val="auto"/>
        </w:rPr>
        <w:t>st</w:t>
      </w:r>
      <w:r>
        <w:rPr>
          <w:rFonts w:ascii="Times New Roman" w:cs="Times New Roman" w:eastAsia="Times New Roman" w:hAnsi="Times New Roman"/>
          <w:sz w:val="18"/>
          <w:szCs w:val="18"/>
          <w:color w:val="auto"/>
        </w:rPr>
        <w:t>) anniversary of the Effective Date, but on or prior to the second (2</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anniversary of the Effective Date, 2.0% of the then-outstanding principal amount of the Term Loan Advances immediately prior to the date of such prepayment;</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of the Term Loan Advances made after the second (2</w:t>
      </w:r>
      <w:r>
        <w:rPr>
          <w:rFonts w:ascii="Times New Roman" w:cs="Times New Roman" w:eastAsia="Times New Roman" w:hAnsi="Times New Roman"/>
          <w:sz w:val="12"/>
          <w:szCs w:val="12"/>
          <w:color w:val="auto"/>
        </w:rPr>
        <w:t>nd</w:t>
      </w:r>
      <w:r>
        <w:rPr>
          <w:rFonts w:ascii="Times New Roman" w:cs="Times New Roman" w:eastAsia="Times New Roman" w:hAnsi="Times New Roman"/>
          <w:sz w:val="18"/>
          <w:szCs w:val="18"/>
          <w:color w:val="auto"/>
        </w:rPr>
        <w:t>) anniversary of the Effective Date, but prior to the third (3</w:t>
      </w:r>
      <w:r>
        <w:rPr>
          <w:rFonts w:ascii="Times New Roman" w:cs="Times New Roman" w:eastAsia="Times New Roman" w:hAnsi="Times New Roman"/>
          <w:sz w:val="12"/>
          <w:szCs w:val="12"/>
          <w:color w:val="auto"/>
        </w:rPr>
        <w:t>rd</w:t>
      </w:r>
      <w:r>
        <w:rPr>
          <w:rFonts w:ascii="Times New Roman" w:cs="Times New Roman" w:eastAsia="Times New Roman" w:hAnsi="Times New Roman"/>
          <w:sz w:val="18"/>
          <w:szCs w:val="18"/>
          <w:color w:val="auto"/>
        </w:rPr>
        <w:t>) anniversary of the Effective Date, 1.0% of the then-outstanding principal amount of the Term Loan Advances immediately prior to the date of such prepayment; and</w:t>
      </w:r>
    </w:p>
    <w:p>
      <w:pPr>
        <w:spacing w:after="0" w:line="17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of the Term Loan Advances made after the third (3</w:t>
      </w:r>
      <w:r>
        <w:rPr>
          <w:rFonts w:ascii="Times New Roman" w:cs="Times New Roman" w:eastAsia="Times New Roman" w:hAnsi="Times New Roman"/>
          <w:sz w:val="12"/>
          <w:szCs w:val="12"/>
          <w:color w:val="auto"/>
        </w:rPr>
        <w:t>rd</w:t>
      </w:r>
      <w:r>
        <w:rPr>
          <w:rFonts w:ascii="Times New Roman" w:cs="Times New Roman" w:eastAsia="Times New Roman" w:hAnsi="Times New Roman"/>
          <w:sz w:val="18"/>
          <w:szCs w:val="18"/>
          <w:color w:val="auto"/>
        </w:rPr>
        <w:t>) anniversary of the Effective Date, 0.0% of the then-outstanding principal amount of the Term Loan Advances immediately prior to the date of such prepayment.</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Notwithstanding the foregoing, provided no Event of Default has occurred and is continuing, the Prepayment Fee shall be waived by Bank, if Bank closes on the refinance and redocumentation of the Term Loan Advances (in its sole and absolute discretion) prior to the Term Loan Maturity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 Margin</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Protected Person</w:t>
      </w:r>
      <w:r>
        <w:rPr>
          <w:rFonts w:ascii="Times New Roman" w:cs="Times New Roman" w:eastAsia="Times New Roman" w:hAnsi="Times New Roman"/>
          <w:sz w:val="18"/>
          <w:szCs w:val="18"/>
          <w:color w:val="auto"/>
        </w:rPr>
        <w:t>” is defined in Section 11.3.</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is any “registered organization” as defined in the Code with such additions to such term as may hereafter be made.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Repayment Schedule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is defined in Section 11.8.</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is any of the Chief Executive Officer, President, Chief Financial Officer and Controller of Borrower.</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License</w:t>
      </w:r>
      <w:r>
        <w:rPr>
          <w:rFonts w:ascii="Times New Roman" w:cs="Times New Roman" w:eastAsia="Times New Roman" w:hAnsi="Times New Roman"/>
          <w:sz w:val="18"/>
          <w:szCs w:val="18"/>
          <w:color w:val="auto"/>
        </w:rPr>
        <w:t>” is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Collateral.</w:t>
      </w:r>
    </w:p>
    <w:p>
      <w:pPr>
        <w:spacing w:after="0" w:line="17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 50.0% or more owned or controlled by one (1) or more Persons described in clauses (a) and (b) hereof.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is the Securities and Exchange Commission, any successor thereto, and any analogous Governmental Authority.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Corp.</w:t>
      </w:r>
      <w:r>
        <w:rPr>
          <w:rFonts w:ascii="Times New Roman" w:cs="Times New Roman" w:eastAsia="Times New Roman" w:hAnsi="Times New Roman"/>
          <w:sz w:val="18"/>
          <w:szCs w:val="18"/>
          <w:color w:val="auto"/>
        </w:rPr>
        <w:t>” is Invivyd Security Corporation, a corporation organized under the laws of the Commonwealth of Massachusetts and a Subsidiary of Borrower.</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Pledge Agreement</w:t>
      </w:r>
      <w:r>
        <w:rPr>
          <w:rFonts w:ascii="Times New Roman" w:cs="Times New Roman" w:eastAsia="Times New Roman" w:hAnsi="Times New Roman"/>
          <w:sz w:val="18"/>
          <w:szCs w:val="18"/>
          <w:color w:val="auto"/>
        </w:rPr>
        <w:t>” means that certain stock pledge agreement executed by Borrower in favor of Bank dated as of the Effective Date, as may be amended, modified, supplemented or restated from time to time.</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is indebtedness incurred by Borrower or any of its Subsidiaries subordinated to all of Borrower’s or any of its Subsidiaries’ now or hereafter indebtedness to Bank (pursuant to a subordination, intercreditor, or other similar agreement in form and substance satisfactory to Bank entered into between Bank and the other creditor), on terms acceptable to Bank.</w:t>
      </w:r>
    </w:p>
    <w:p>
      <w:pPr>
        <w:spacing w:after="0" w:line="17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Subsidiary</w:t>
      </w:r>
      <w:r>
        <w:rPr>
          <w:rFonts w:ascii="Times New Roman" w:cs="Times New Roman" w:eastAsia="Times New Roman" w:hAnsi="Times New Roman"/>
          <w:sz w:val="18"/>
          <w:szCs w:val="18"/>
          <w:color w:val="auto"/>
        </w:rPr>
        <w:t>” is Invivyd Switzerland GmbH, an entity organized under the laws of Switzerland and a Subsidiary of Borrower.</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Loan Advance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Term A Loan Advances</w:t>
      </w:r>
      <w:r>
        <w:rPr>
          <w:rFonts w:ascii="Times New Roman" w:cs="Times New Roman" w:eastAsia="Times New Roman" w:hAnsi="Times New Roman"/>
          <w:sz w:val="18"/>
          <w:szCs w:val="18"/>
          <w:color w:val="auto"/>
        </w:rPr>
        <w:t>” are each defined in Section 1.1 of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Loan Availability Amount</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Loan Advance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Term B Loan Advances</w:t>
      </w:r>
      <w:r>
        <w:rPr>
          <w:rFonts w:ascii="Times New Roman" w:cs="Times New Roman" w:eastAsia="Times New Roman" w:hAnsi="Times New Roman"/>
          <w:sz w:val="18"/>
          <w:szCs w:val="18"/>
          <w:color w:val="auto"/>
        </w:rPr>
        <w:t>” are each defined in Section 1.1 of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Loan Availability Amount</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Milestone Event</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Loan Advance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Term C Loan Advances</w:t>
      </w:r>
      <w:r>
        <w:rPr>
          <w:rFonts w:ascii="Times New Roman" w:cs="Times New Roman" w:eastAsia="Times New Roman" w:hAnsi="Times New Roman"/>
          <w:sz w:val="18"/>
          <w:szCs w:val="18"/>
          <w:color w:val="auto"/>
        </w:rPr>
        <w:t>” are each defined in Section 1.1 of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Loan Availability Amount</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Milestone Event</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Advance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Term Loan Advances</w:t>
      </w:r>
      <w:r>
        <w:rPr>
          <w:rFonts w:ascii="Times New Roman" w:cs="Times New Roman" w:eastAsia="Times New Roman" w:hAnsi="Times New Roman"/>
          <w:sz w:val="18"/>
          <w:szCs w:val="18"/>
          <w:color w:val="auto"/>
        </w:rPr>
        <w:t>” are each defined in Section 1.1 of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Amortization Date</w:t>
      </w:r>
      <w:r>
        <w:rPr>
          <w:rFonts w:ascii="Times New Roman" w:cs="Times New Roman" w:eastAsia="Times New Roman" w:hAnsi="Times New Roman"/>
          <w:sz w:val="18"/>
          <w:szCs w:val="18"/>
          <w:color w:val="auto"/>
        </w:rPr>
        <w:t>” is set forth on Schedule I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Maturity Date</w:t>
      </w:r>
      <w:r>
        <w:rPr>
          <w:rFonts w:ascii="Times New Roman" w:cs="Times New Roman" w:eastAsia="Times New Roman" w:hAnsi="Times New Roman"/>
          <w:sz w:val="18"/>
          <w:szCs w:val="18"/>
          <w:color w:val="auto"/>
        </w:rPr>
        <w:t>” is set forth on Schedule I hereto.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Testing Event #1</w:t>
      </w:r>
      <w:r>
        <w:rPr>
          <w:rFonts w:ascii="Times New Roman" w:cs="Times New Roman" w:eastAsia="Times New Roman" w:hAnsi="Times New Roman"/>
          <w:sz w:val="18"/>
          <w:szCs w:val="18"/>
          <w:color w:val="auto"/>
        </w:rPr>
        <w:t>” means the date on which Borrower has requested and Bank has made a Term Loan Advance.</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Testing Event #2</w:t>
      </w:r>
      <w:r>
        <w:rPr>
          <w:rFonts w:ascii="Times New Roman" w:cs="Times New Roman" w:eastAsia="Times New Roman" w:hAnsi="Times New Roman"/>
          <w:sz w:val="18"/>
          <w:szCs w:val="18"/>
          <w:color w:val="auto"/>
        </w:rPr>
        <w:t>” means the earlier to occur of (a) December 31, 2025 and (b) the date on which the aggregate amount of outstanding Term Loan Advances exceeds $15,000,000.00.</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with respect to any Person, any trademark and servicemark rights, whether registered or not, applications to register and registrations of the same and like protections, and the entire goodwill of the business of such Person connected with and symbolized by such trademarks.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is defined in Section 6.1.</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 Period</w:t>
      </w:r>
      <w:r>
        <w:rPr>
          <w:rFonts w:ascii="Times New Roman" w:cs="Times New Roman" w:eastAsia="Times New Roman" w:hAnsi="Times New Roman"/>
          <w:sz w:val="18"/>
          <w:szCs w:val="18"/>
          <w:color w:val="auto"/>
        </w:rPr>
        <w:t>” is the period of time commencing on the Effective Date, and ending on the earlier to occur of (a) July 17, 2025 and (b) an Event of Default.</w:t>
      </w:r>
    </w:p>
    <w:p>
      <w:pPr>
        <w:spacing w:after="0" w:line="15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Unused Term Loan Commitment Fee</w:t>
      </w:r>
      <w:r>
        <w:rPr>
          <w:rFonts w:ascii="Times New Roman" w:cs="Times New Roman" w:eastAsia="Times New Roman" w:hAnsi="Times New Roman"/>
          <w:sz w:val="18"/>
          <w:szCs w:val="18"/>
          <w:color w:val="auto"/>
        </w:rPr>
        <w:t>” is a payment (in addition to and not a substitution for the regular monthly payments of principal plus accrued interest) in an amount equal to (a) the aggregate amount of the Term Loan Advances available to Borrower pursuant to Section 1.1(a), multiplied by (b) one percent (1.0%), due and payable on the earliest to occur of (1) July 1, 2027, (2) the occurrence of an Event of Default, or (3) the termination of this Agreement (the earliest to occur of (1) through (3), the “</w:t>
      </w:r>
      <w:r>
        <w:rPr>
          <w:rFonts w:ascii="Times New Roman" w:cs="Times New Roman" w:eastAsia="Times New Roman" w:hAnsi="Times New Roman"/>
          <w:sz w:val="18"/>
          <w:szCs w:val="18"/>
          <w:b w:val="1"/>
          <w:bCs w:val="1"/>
          <w:color w:val="auto"/>
        </w:rPr>
        <w:t>Calculation Date</w:t>
      </w:r>
      <w:r>
        <w:rPr>
          <w:rFonts w:ascii="Times New Roman" w:cs="Times New Roman" w:eastAsia="Times New Roman" w:hAnsi="Times New Roman"/>
          <w:sz w:val="18"/>
          <w:szCs w:val="18"/>
          <w:color w:val="auto"/>
        </w:rPr>
        <w:t>”); provided that, the Unused Term Loan Commitment Fee shall be waived if the Borrower has requested and the Bank has made a Term Loan Advance prior to the Calculation Date.</w:t>
      </w:r>
    </w:p>
    <w:p>
      <w:pPr>
        <w:spacing w:after="0" w:line="179"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(Public Law 107-56, signed into law on October 26, 2001), as amended from time to time.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Effective Date.</w:t>
      </w:r>
    </w:p>
    <w:p>
      <w:pPr>
        <w:spacing w:after="0" w:line="23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00" w:lineRule="exact"/>
        <w:rPr>
          <w:sz w:val="20"/>
          <w:szCs w:val="20"/>
          <w:color w:val="auto"/>
        </w:rPr>
      </w:pPr>
    </w:p>
    <w:p>
      <w:pPr>
        <w:spacing w:after="0" w:line="24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William Duke, Jr.</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 William Duke, Jr.</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3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BANK:</w:t>
      </w:r>
    </w:p>
    <w:p>
      <w:pPr>
        <w:spacing w:after="0" w:line="225"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8"/>
          <w:szCs w:val="18"/>
          <w:b w:val="1"/>
          <w:bCs w:val="1"/>
          <w:color w:val="auto"/>
        </w:rPr>
        <w:t>FIRST-CITIZENS BANK &amp; TRUST COMPANY</w:t>
      </w:r>
    </w:p>
    <w:p>
      <w:pPr>
        <w:spacing w:after="0" w:line="200" w:lineRule="exact"/>
        <w:rPr>
          <w:sz w:val="20"/>
          <w:szCs w:val="20"/>
          <w:color w:val="auto"/>
        </w:rPr>
      </w:pPr>
    </w:p>
    <w:p>
      <w:pPr>
        <w:spacing w:after="0" w:line="24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John Sansone</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 John Sansone</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4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373380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981" w:right="1440"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50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80" w:type="dxa"/>
            <w:vAlign w:val="bottom"/>
            <w:gridSpan w:val="8"/>
          </w:tcPr>
          <w:p>
            <w:pPr>
              <w:jc w:val="center"/>
              <w:ind w:right="4860"/>
              <w:spacing w:after="0" w:line="196" w:lineRule="exact"/>
              <w:rPr>
                <w:sz w:val="20"/>
                <w:szCs w:val="20"/>
                <w:color w:val="auto"/>
              </w:rPr>
            </w:pPr>
            <w:r>
              <w:rPr>
                <w:rFonts w:ascii="Times New Roman" w:cs="Times New Roman" w:eastAsia="Times New Roman" w:hAnsi="Times New Roman"/>
                <w:sz w:val="18"/>
                <w:szCs w:val="18"/>
                <w:b w:val="1"/>
                <w:bCs w:val="1"/>
                <w:color w:val="auto"/>
              </w:rPr>
              <w:t>LSA PROVISIONS</w:t>
            </w:r>
          </w:p>
        </w:tc>
        <w:tc>
          <w:tcPr>
            <w:tcW w:w="0" w:type="dxa"/>
            <w:vAlign w:val="bottom"/>
          </w:tcPr>
          <w:p>
            <w:pPr>
              <w:spacing w:after="0"/>
              <w:rPr>
                <w:sz w:val="1"/>
                <w:szCs w:val="1"/>
                <w:color w:val="auto"/>
              </w:rPr>
            </w:pPr>
          </w:p>
        </w:tc>
      </w:tr>
      <w:tr>
        <w:trPr>
          <w:trHeight w:val="273"/>
        </w:trPr>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3140" w:type="dxa"/>
            <w:vAlign w:val="bottom"/>
            <w:tcBorders>
              <w:bottom w:val="single" w:sz="8" w:color="auto"/>
            </w:tcBorders>
          </w:tcPr>
          <w:p>
            <w:pPr>
              <w:spacing w:after="0"/>
              <w:rPr>
                <w:sz w:val="23"/>
                <w:szCs w:val="23"/>
                <w:color w:val="auto"/>
              </w:rPr>
            </w:pPr>
          </w:p>
        </w:tc>
        <w:tc>
          <w:tcPr>
            <w:tcW w:w="1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46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380" w:type="dxa"/>
            <w:vAlign w:val="bottom"/>
            <w:tcBorders>
              <w:right w:val="single" w:sz="8" w:color="auto"/>
            </w:tcBorders>
            <w:gridSpan w:val="2"/>
          </w:tcPr>
          <w:p>
            <w:pPr>
              <w:spacing w:after="0" w:line="133" w:lineRule="exact"/>
              <w:rPr>
                <w:sz w:val="20"/>
                <w:szCs w:val="20"/>
                <w:color w:val="auto"/>
              </w:rPr>
            </w:pPr>
            <w:r>
              <w:rPr>
                <w:rFonts w:ascii="Times New Roman" w:cs="Times New Roman" w:eastAsia="Times New Roman" w:hAnsi="Times New Roman"/>
                <w:sz w:val="15"/>
                <w:szCs w:val="15"/>
                <w:b w:val="1"/>
                <w:bCs w:val="1"/>
                <w:color w:val="auto"/>
              </w:rPr>
              <w:t>LSA Section</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740" w:type="dxa"/>
            <w:vAlign w:val="bottom"/>
            <w:tcBorders>
              <w:right w:val="single" w:sz="8" w:color="auto"/>
            </w:tcBorders>
            <w:gridSpan w:val="3"/>
          </w:tcPr>
          <w:p>
            <w:pPr>
              <w:ind w:left="480"/>
              <w:spacing w:after="0" w:line="133" w:lineRule="exact"/>
              <w:rPr>
                <w:sz w:val="20"/>
                <w:szCs w:val="20"/>
                <w:color w:val="auto"/>
              </w:rPr>
            </w:pPr>
            <w:r>
              <w:rPr>
                <w:rFonts w:ascii="Times New Roman" w:cs="Times New Roman" w:eastAsia="Times New Roman" w:hAnsi="Times New Roman"/>
                <w:sz w:val="15"/>
                <w:szCs w:val="15"/>
                <w:b w:val="1"/>
                <w:bCs w:val="1"/>
                <w:color w:val="auto"/>
              </w:rPr>
              <w:t>LSA Provision</w:t>
            </w: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60" w:type="dxa"/>
            <w:vAlign w:val="bottom"/>
            <w:tcBorders>
              <w:left w:val="single" w:sz="8" w:color="auto"/>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3140" w:type="dxa"/>
            <w:vAlign w:val="bottom"/>
            <w:tcBorders>
              <w:bottom w:val="single" w:sz="8" w:color="auto"/>
              <w:right w:val="single" w:sz="8" w:color="auto"/>
            </w:tcBorders>
          </w:tcPr>
          <w:p>
            <w:pPr>
              <w:spacing w:after="0"/>
              <w:rPr>
                <w:sz w:val="14"/>
                <w:szCs w:val="14"/>
                <w:color w:val="auto"/>
              </w:rPr>
            </w:pP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80" w:type="dxa"/>
            <w:vAlign w:val="bottom"/>
            <w:tcBorders>
              <w:right w:val="single" w:sz="8" w:color="auto"/>
            </w:tcBorders>
            <w:gridSpan w:val="4"/>
          </w:tcPr>
          <w:p>
            <w:pPr>
              <w:ind w:left="120"/>
              <w:spacing w:after="0" w:line="154" w:lineRule="exact"/>
              <w:rPr>
                <w:sz w:val="20"/>
                <w:szCs w:val="20"/>
                <w:color w:val="auto"/>
              </w:rPr>
            </w:pPr>
            <w:r>
              <w:rPr>
                <w:rFonts w:ascii="Times New Roman" w:cs="Times New Roman" w:eastAsia="Times New Roman" w:hAnsi="Times New Roman"/>
                <w:sz w:val="17"/>
                <w:szCs w:val="17"/>
                <w:color w:val="auto"/>
              </w:rPr>
              <w:t>1.1(a) – Term Loan – Availability</w:t>
            </w:r>
          </w:p>
        </w:tc>
        <w:tc>
          <w:tcPr>
            <w:tcW w:w="7340" w:type="dxa"/>
            <w:vAlign w:val="bottom"/>
            <w:tcBorders>
              <w:right w:val="single" w:sz="8" w:color="auto"/>
            </w:tcBorders>
            <w:gridSpan w:val="9"/>
          </w:tcPr>
          <w:p>
            <w:pPr>
              <w:ind w:left="60"/>
              <w:spacing w:after="0" w:line="154" w:lineRule="exact"/>
              <w:rPr>
                <w:sz w:val="20"/>
                <w:szCs w:val="20"/>
                <w:color w:val="auto"/>
              </w:rPr>
            </w:pPr>
            <w:r>
              <w:rPr>
                <w:rFonts w:ascii="Times New Roman" w:cs="Times New Roman" w:eastAsia="Times New Roman" w:hAnsi="Times New Roman"/>
                <w:sz w:val="17"/>
                <w:szCs w:val="17"/>
                <w:color w:val="auto"/>
              </w:rPr>
              <w:t>Each Term Loan Advance must be in an amount equal to at least $5,000,000.00. After repayment,</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no Term Loan Advance (or any portion thereof) may be reborrowed.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gridSpan w:val="2"/>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780" w:type="dxa"/>
            <w:vAlign w:val="bottom"/>
            <w:tcBorders>
              <w:right w:val="single" w:sz="8" w:color="auto"/>
            </w:tcBorders>
            <w:gridSpan w:val="4"/>
          </w:tcPr>
          <w:p>
            <w:pPr>
              <w:ind w:left="120"/>
              <w:spacing w:after="0" w:line="191" w:lineRule="exact"/>
              <w:rPr>
                <w:sz w:val="20"/>
                <w:szCs w:val="20"/>
                <w:color w:val="auto"/>
              </w:rPr>
            </w:pPr>
            <w:r>
              <w:rPr>
                <w:rFonts w:ascii="Times New Roman" w:cs="Times New Roman" w:eastAsia="Times New Roman" w:hAnsi="Times New Roman"/>
                <w:sz w:val="18"/>
                <w:szCs w:val="18"/>
                <w:color w:val="auto"/>
              </w:rPr>
              <w:t>1.1(b) – Term Loan – Repayment</w:t>
            </w:r>
          </w:p>
        </w:tc>
        <w:tc>
          <w:tcPr>
            <w:tcW w:w="7340" w:type="dxa"/>
            <w:vAlign w:val="bottom"/>
            <w:tcBorders>
              <w:right w:val="single" w:sz="8" w:color="auto"/>
            </w:tcBorders>
            <w:gridSpan w:val="9"/>
          </w:tcPr>
          <w:p>
            <w:pPr>
              <w:ind w:left="60"/>
              <w:spacing w:after="0" w:line="191" w:lineRule="exact"/>
              <w:rPr>
                <w:sz w:val="20"/>
                <w:szCs w:val="20"/>
                <w:color w:val="auto"/>
              </w:rPr>
            </w:pPr>
            <w:r>
              <w:rPr>
                <w:rFonts w:ascii="Times New Roman" w:cs="Times New Roman" w:eastAsia="Times New Roman" w:hAnsi="Times New Roman"/>
                <w:sz w:val="18"/>
                <w:szCs w:val="18"/>
                <w:color w:val="auto"/>
              </w:rPr>
              <w:t>Commencing on the Term Loan Amortization Date and continuing on each Payment Date</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thereafter, Borrower shall repay each Term Loan Advance in (i) consecutive equal monthly</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installments of principal according to the Repayment Schedule, plus (ii) monthly payments of</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accrued interest at the rate set forth in Section 1.2(b)(i).</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gridSpan w:val="2"/>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780" w:type="dxa"/>
            <w:vAlign w:val="bottom"/>
            <w:tcBorders>
              <w:right w:val="single" w:sz="8" w:color="auto"/>
            </w:tcBorders>
            <w:gridSpan w:val="4"/>
          </w:tcPr>
          <w:p>
            <w:pPr>
              <w:ind w:left="120"/>
              <w:spacing w:after="0" w:line="191" w:lineRule="exact"/>
              <w:rPr>
                <w:sz w:val="20"/>
                <w:szCs w:val="20"/>
                <w:color w:val="auto"/>
              </w:rPr>
            </w:pPr>
            <w:r>
              <w:rPr>
                <w:rFonts w:ascii="Times New Roman" w:cs="Times New Roman" w:eastAsia="Times New Roman" w:hAnsi="Times New Roman"/>
                <w:sz w:val="18"/>
                <w:szCs w:val="18"/>
                <w:color w:val="auto"/>
              </w:rPr>
              <w:t>1.2(a) – Interest Payments – Term Loan</w:t>
            </w:r>
          </w:p>
        </w:tc>
        <w:tc>
          <w:tcPr>
            <w:tcW w:w="7340" w:type="dxa"/>
            <w:vAlign w:val="bottom"/>
            <w:tcBorders>
              <w:right w:val="single" w:sz="8" w:color="auto"/>
            </w:tcBorders>
            <w:gridSpan w:val="9"/>
          </w:tcPr>
          <w:p>
            <w:pPr>
              <w:ind w:left="60"/>
              <w:spacing w:after="0" w:line="191" w:lineRule="exact"/>
              <w:rPr>
                <w:sz w:val="20"/>
                <w:szCs w:val="20"/>
                <w:color w:val="auto"/>
              </w:rPr>
            </w:pPr>
            <w:r>
              <w:rPr>
                <w:rFonts w:ascii="Times New Roman" w:cs="Times New Roman" w:eastAsia="Times New Roman" w:hAnsi="Times New Roman"/>
                <w:sz w:val="18"/>
                <w:szCs w:val="18"/>
                <w:color w:val="auto"/>
              </w:rPr>
              <w:t>Interest on the principal amount of each Term Loan Advance is payable in arrears (A) monthly on</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Advances</w:t>
            </w: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each Payment Date commencing on the first Payment Date following the Funding Date of each</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such Term Loan Advance, (B) on the date of any prepayment and (C) on the Term Loan Maturity</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gridSpan w:val="2"/>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780" w:type="dxa"/>
            <w:vAlign w:val="bottom"/>
            <w:tcBorders>
              <w:right w:val="single" w:sz="8" w:color="auto"/>
            </w:tcBorders>
            <w:gridSpan w:val="4"/>
          </w:tcPr>
          <w:p>
            <w:pPr>
              <w:ind w:left="120"/>
              <w:spacing w:after="0" w:line="191" w:lineRule="exact"/>
              <w:rPr>
                <w:sz w:val="20"/>
                <w:szCs w:val="20"/>
                <w:color w:val="auto"/>
              </w:rPr>
            </w:pPr>
            <w:r>
              <w:rPr>
                <w:rFonts w:ascii="Times New Roman" w:cs="Times New Roman" w:eastAsia="Times New Roman" w:hAnsi="Times New Roman"/>
                <w:sz w:val="18"/>
                <w:szCs w:val="18"/>
                <w:color w:val="auto"/>
              </w:rPr>
              <w:t>1.2(b)(i) – Interest Rate – Term Loan Advances</w:t>
            </w:r>
          </w:p>
        </w:tc>
        <w:tc>
          <w:tcPr>
            <w:tcW w:w="7340" w:type="dxa"/>
            <w:vAlign w:val="bottom"/>
            <w:tcBorders>
              <w:right w:val="single" w:sz="8" w:color="auto"/>
            </w:tcBorders>
            <w:gridSpan w:val="9"/>
          </w:tcPr>
          <w:p>
            <w:pPr>
              <w:ind w:left="60"/>
              <w:spacing w:after="0" w:line="191" w:lineRule="exact"/>
              <w:rPr>
                <w:sz w:val="20"/>
                <w:szCs w:val="20"/>
                <w:color w:val="auto"/>
              </w:rPr>
            </w:pPr>
            <w:r>
              <w:rPr>
                <w:rFonts w:ascii="Times New Roman" w:cs="Times New Roman" w:eastAsia="Times New Roman" w:hAnsi="Times New Roman"/>
                <w:sz w:val="18"/>
                <w:szCs w:val="18"/>
                <w:color w:val="auto"/>
              </w:rPr>
              <w:t>The outstanding principal amount of any Term Loan Advance shall accrue interest at a floating rate</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per annum equal to the greater of (1) 6.0% and (2) the Prime Rate minus the Prime Rate Margin</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(provided that such interest rate shall not exceed 9.0%), which interest shall be payable in</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accordance with Section 1.2(a).</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gridSpan w:val="2"/>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378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1.2(e) – Interest Computation</w:t>
            </w: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Interest shall be computed on the basis of the actual number of days elapsed and a 360-day year.</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3140" w:type="dxa"/>
            <w:vAlign w:val="bottom"/>
            <w:tcBorders>
              <w:bottom w:val="single" w:sz="8" w:color="auto"/>
              <w:right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 “Draw Period A”</w:t>
            </w:r>
          </w:p>
        </w:tc>
        <w:tc>
          <w:tcPr>
            <w:tcW w:w="7340" w:type="dxa"/>
            <w:vAlign w:val="bottom"/>
            <w:tcBorders>
              <w:right w:val="single" w:sz="8" w:color="auto"/>
            </w:tcBorders>
            <w:gridSpan w:val="9"/>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 A</w:t>
            </w:r>
            <w:r>
              <w:rPr>
                <w:rFonts w:ascii="Times New Roman" w:cs="Times New Roman" w:eastAsia="Times New Roman" w:hAnsi="Times New Roman"/>
                <w:sz w:val="18"/>
                <w:szCs w:val="18"/>
                <w:color w:val="auto"/>
              </w:rPr>
              <w:t>” is the period commencing on August 15, 2025 and ending on the Draw Period A</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End Date.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 “Draw Period A End Date”</w:t>
            </w:r>
          </w:p>
        </w:tc>
        <w:tc>
          <w:tcPr>
            <w:tcW w:w="7340" w:type="dxa"/>
            <w:vAlign w:val="bottom"/>
            <w:tcBorders>
              <w:right w:val="single" w:sz="8" w:color="auto"/>
            </w:tcBorders>
            <w:gridSpan w:val="9"/>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 A End Date</w:t>
            </w:r>
            <w:r>
              <w:rPr>
                <w:rFonts w:ascii="Times New Roman" w:cs="Times New Roman" w:eastAsia="Times New Roman" w:hAnsi="Times New Roman"/>
                <w:sz w:val="18"/>
                <w:szCs w:val="18"/>
                <w:color w:val="auto"/>
              </w:rPr>
              <w:t>” means December 31, 2026, which shall be extended to June 30, 2027</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upon the occurrence of the Draw Period Extension Event.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 “Draw Period B”</w:t>
            </w:r>
          </w:p>
        </w:tc>
        <w:tc>
          <w:tcPr>
            <w:tcW w:w="7340" w:type="dxa"/>
            <w:vAlign w:val="bottom"/>
            <w:tcBorders>
              <w:right w:val="single" w:sz="8" w:color="auto"/>
            </w:tcBorders>
            <w:gridSpan w:val="9"/>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 B</w:t>
            </w:r>
            <w:r>
              <w:rPr>
                <w:rFonts w:ascii="Times New Roman" w:cs="Times New Roman" w:eastAsia="Times New Roman" w:hAnsi="Times New Roman"/>
                <w:sz w:val="18"/>
                <w:szCs w:val="18"/>
                <w:color w:val="auto"/>
              </w:rPr>
              <w:t>” is the period commencing upon the occurrence of the Term B Milestone Event</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and ending on June 30, 2027.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 “Draw Period C”</w:t>
            </w:r>
          </w:p>
        </w:tc>
        <w:tc>
          <w:tcPr>
            <w:tcW w:w="7340" w:type="dxa"/>
            <w:vAlign w:val="bottom"/>
            <w:tcBorders>
              <w:right w:val="single" w:sz="8" w:color="auto"/>
            </w:tcBorders>
            <w:gridSpan w:val="9"/>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 C</w:t>
            </w:r>
            <w:r>
              <w:rPr>
                <w:rFonts w:ascii="Times New Roman" w:cs="Times New Roman" w:eastAsia="Times New Roman" w:hAnsi="Times New Roman"/>
                <w:sz w:val="18"/>
                <w:szCs w:val="18"/>
                <w:color w:val="auto"/>
              </w:rPr>
              <w:t>” is the period commencing upon the occurrence of the Term C Milestone Event</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and ending on June 30, 2027.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 “Draw Period Extension Event”</w:t>
            </w:r>
          </w:p>
        </w:tc>
        <w:tc>
          <w:tcPr>
            <w:tcW w:w="7340" w:type="dxa"/>
            <w:vAlign w:val="bottom"/>
            <w:tcBorders>
              <w:right w:val="single" w:sz="8" w:color="auto"/>
            </w:tcBorders>
            <w:gridSpan w:val="9"/>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 Extension Event</w:t>
            </w:r>
            <w:r>
              <w:rPr>
                <w:rFonts w:ascii="Times New Roman" w:cs="Times New Roman" w:eastAsia="Times New Roman" w:hAnsi="Times New Roman"/>
                <w:sz w:val="18"/>
                <w:szCs w:val="18"/>
                <w:color w:val="auto"/>
              </w:rPr>
              <w:t>” occurs if and when (if ever) Borrower has provided Bank with</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evidence, satisfactory to Bank in its sole and absolute discretion, on or prior to the Term Loan</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Amortization Date, that (a) the Term B Milestone Event has occurred and (b) the Term C</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Milestone Event has occurred.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 “Effective Date”</w:t>
            </w: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April 18, 2025.</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4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3140" w:type="dxa"/>
            <w:vAlign w:val="bottom"/>
            <w:tcBorders>
              <w:bottom w:val="single" w:sz="8" w:color="auto"/>
              <w:right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 “Interest-Only Milestone Event”</w:t>
            </w:r>
          </w:p>
        </w:tc>
        <w:tc>
          <w:tcPr>
            <w:tcW w:w="7340" w:type="dxa"/>
            <w:vAlign w:val="bottom"/>
            <w:tcBorders>
              <w:right w:val="single" w:sz="8" w:color="auto"/>
            </w:tcBorders>
            <w:gridSpan w:val="9"/>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Interest-Only Milestone Event</w:t>
            </w:r>
            <w:r>
              <w:rPr>
                <w:rFonts w:ascii="Times New Roman" w:cs="Times New Roman" w:eastAsia="Times New Roman" w:hAnsi="Times New Roman"/>
                <w:sz w:val="18"/>
                <w:szCs w:val="18"/>
                <w:color w:val="auto"/>
              </w:rPr>
              <w:t>” occurs if and when (if ever) Borrower has provided Bank with</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evidence, satisfactory to Bank in its sole and absolute discretion, on or prior to March 31, 2027,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that (a) the Term B Milestone Event has occurred and (b) Borrower is in pro forma covenant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compliance with the financial covenants set forth in Section 5.8 of this Agreement.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140" w:type="dxa"/>
            <w:vAlign w:val="bottom"/>
            <w:tcBorders>
              <w:bottom w:val="single" w:sz="8" w:color="auto"/>
              <w:right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 “Payment Date”</w:t>
            </w: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is the first (1st) calendar day of each month.</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4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3140" w:type="dxa"/>
            <w:vAlign w:val="bottom"/>
            <w:tcBorders>
              <w:bottom w:val="single" w:sz="8" w:color="auto"/>
              <w:right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 “Prime Rate”</w:t>
            </w:r>
          </w:p>
        </w:tc>
        <w:tc>
          <w:tcPr>
            <w:tcW w:w="7340" w:type="dxa"/>
            <w:vAlign w:val="bottom"/>
            <w:tcBorders>
              <w:right w:val="single" w:sz="8" w:color="auto"/>
            </w:tcBorders>
            <w:gridSpan w:val="9"/>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is the rate of interest per annum from time to time published in the money rates</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7340" w:type="dxa"/>
            <w:vAlign w:val="bottom"/>
            <w:tcBorders>
              <w:right w:val="single" w:sz="8" w:color="auto"/>
            </w:tcBorders>
            <w:gridSpan w:val="9"/>
          </w:tcPr>
          <w:p>
            <w:pPr>
              <w:ind w:left="60"/>
              <w:spacing w:after="0" w:line="194" w:lineRule="exact"/>
              <w:rPr>
                <w:sz w:val="20"/>
                <w:szCs w:val="20"/>
                <w:color w:val="auto"/>
              </w:rPr>
            </w:pPr>
            <w:r>
              <w:rPr>
                <w:rFonts w:ascii="Times New Roman" w:cs="Times New Roman" w:eastAsia="Times New Roman" w:hAnsi="Times New Roman"/>
                <w:sz w:val="18"/>
                <w:szCs w:val="18"/>
                <w:color w:val="auto"/>
              </w:rPr>
              <w:t>section of The Wall Street Journal or any successor publication thereto as the “prime rate” then in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4"/>
            <w:shd w:val="clear" w:color="auto" w:fill="000000"/>
          </w:tcPr>
          <w:p>
            <w:pPr>
              <w:spacing w:after="0" w:line="20" w:lineRule="exact"/>
              <w:rPr>
                <w:sz w:val="1"/>
                <w:szCs w:val="1"/>
                <w:color w:val="auto"/>
              </w:rPr>
            </w:pPr>
          </w:p>
        </w:tc>
        <w:tc>
          <w:tcPr>
            <w:tcW w:w="4820" w:type="dxa"/>
            <w:vAlign w:val="bottom"/>
            <w:tcBorders>
              <w:left w:val="single" w:sz="8" w:color="auto"/>
              <w:right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effect; provided that if such rate of interest, as set forth from time to time in the money rates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7340" w:type="dxa"/>
            <w:vAlign w:val="bottom"/>
            <w:tcBorders>
              <w:right w:val="single" w:sz="8" w:color="auto"/>
            </w:tcBorders>
            <w:gridSpan w:val="9"/>
          </w:tcPr>
          <w:p>
            <w:pPr>
              <w:ind w:left="60"/>
              <w:spacing w:after="0" w:line="194" w:lineRule="exact"/>
              <w:rPr>
                <w:sz w:val="20"/>
                <w:szCs w:val="20"/>
                <w:color w:val="auto"/>
              </w:rPr>
            </w:pPr>
            <w:r>
              <w:rPr>
                <w:rFonts w:ascii="Times New Roman" w:cs="Times New Roman" w:eastAsia="Times New Roman" w:hAnsi="Times New Roman"/>
                <w:sz w:val="18"/>
                <w:szCs w:val="18"/>
                <w:color w:val="auto"/>
              </w:rPr>
              <w:t>section of The Wall Street Journal, becomes unavailable for any reason as determined by Bank, the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4"/>
            <w:shd w:val="clear" w:color="auto" w:fill="000000"/>
          </w:tcPr>
          <w:p>
            <w:pPr>
              <w:spacing w:after="0" w:line="20" w:lineRule="exact"/>
              <w:rPr>
                <w:sz w:val="1"/>
                <w:szCs w:val="1"/>
                <w:color w:val="auto"/>
              </w:rPr>
            </w:pPr>
          </w:p>
        </w:tc>
        <w:tc>
          <w:tcPr>
            <w:tcW w:w="4820" w:type="dxa"/>
            <w:vAlign w:val="bottom"/>
            <w:tcBorders>
              <w:right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7340" w:type="dxa"/>
            <w:vAlign w:val="bottom"/>
            <w:tcBorders>
              <w:bottom w:val="single" w:sz="8" w:color="auto"/>
              <w:right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color w:val="auto"/>
              </w:rPr>
              <w:t>“Prime Rate” shall mean the rate of interest per annum</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40" w:type="dxa"/>
            <w:vAlign w:val="bottom"/>
            <w:gridSpan w:val="6"/>
          </w:tcPr>
          <w:p>
            <w:pPr>
              <w:jc w:val="center"/>
              <w:ind w:right="4960"/>
              <w:spacing w:after="0"/>
              <w:rPr>
                <w:sz w:val="20"/>
                <w:szCs w:val="20"/>
                <w:color w:val="auto"/>
              </w:rPr>
            </w:pPr>
            <w:r>
              <w:rPr>
                <w:rFonts w:ascii="Times New Roman" w:cs="Times New Roman" w:eastAsia="Times New Roman" w:hAnsi="Times New Roman"/>
                <w:sz w:val="18"/>
                <w:szCs w:val="18"/>
                <w:color w:val="auto"/>
                <w:w w:val="95"/>
              </w:rPr>
              <w:t>I-1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4"/>
        </w:trPr>
        <w:tc>
          <w:tcPr>
            <w:tcW w:w="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6" w:name="page47"/>
    <w:bookmarkEnd w:id="46"/>
    <w:tbl>
      <w:tblPr>
        <w:tblLayout w:type="fixed"/>
        <w:tblInd w:w="10" w:type="dxa"/>
        <w:tblCellMar>
          <w:top w:w="0" w:type="dxa"/>
          <w:left w:w="0" w:type="dxa"/>
          <w:bottom w:w="0" w:type="dxa"/>
          <w:right w:w="0" w:type="dxa"/>
        </w:tblCellMar>
      </w:tblPr>
      <w:tr>
        <w:trPr>
          <w:trHeight w:val="214"/>
        </w:trPr>
        <w:tc>
          <w:tcPr>
            <w:tcW w:w="460" w:type="dxa"/>
            <w:vAlign w:val="bottom"/>
            <w:tcBorders>
              <w:top w:val="single" w:sz="8" w:color="auto"/>
              <w:left w:val="single" w:sz="8" w:color="auto"/>
            </w:tcBorders>
          </w:tcPr>
          <w:p>
            <w:pPr>
              <w:spacing w:after="0"/>
              <w:rPr>
                <w:sz w:val="18"/>
                <w:szCs w:val="18"/>
                <w:color w:val="auto"/>
              </w:rPr>
            </w:pPr>
          </w:p>
        </w:tc>
        <w:tc>
          <w:tcPr>
            <w:tcW w:w="3320" w:type="dxa"/>
            <w:vAlign w:val="bottom"/>
            <w:tcBorders>
              <w:top w:val="single" w:sz="8" w:color="auto"/>
              <w:right w:val="single" w:sz="8" w:color="auto"/>
            </w:tcBorders>
          </w:tcPr>
          <w:p>
            <w:pPr>
              <w:spacing w:after="0"/>
              <w:rPr>
                <w:sz w:val="18"/>
                <w:szCs w:val="18"/>
                <w:color w:val="auto"/>
              </w:rPr>
            </w:pPr>
          </w:p>
        </w:tc>
        <w:tc>
          <w:tcPr>
            <w:tcW w:w="7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announced by Bank as its prime rate in effect at its principal office in the State of North Carolina</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(such Bank announced Prime Rate not being intended to be the lowest rate of interest charged by</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Bank in connection with extensions of credit to debtors); provided that, in the event such rate of</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interest is less than zero percent (0.0%) per annum, such rate shall be deemed to be zero percent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(0.0%) per annum for purposes of this Agreement.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60" w:type="dxa"/>
            <w:vAlign w:val="bottom"/>
            <w:tcBorders>
              <w:left w:val="single" w:sz="8" w:color="auto"/>
              <w:bottom w:val="single" w:sz="8" w:color="auto"/>
            </w:tcBorders>
          </w:tcPr>
          <w:p>
            <w:pPr>
              <w:spacing w:after="0"/>
              <w:rPr>
                <w:sz w:val="12"/>
                <w:szCs w:val="12"/>
                <w:color w:val="auto"/>
              </w:rPr>
            </w:pPr>
          </w:p>
        </w:tc>
        <w:tc>
          <w:tcPr>
            <w:tcW w:w="3320" w:type="dxa"/>
            <w:vAlign w:val="bottom"/>
            <w:tcBorders>
              <w:bottom w:val="single" w:sz="8" w:color="auto"/>
              <w:right w:val="single" w:sz="8" w:color="auto"/>
            </w:tcBorders>
          </w:tcPr>
          <w:p>
            <w:pPr>
              <w:spacing w:after="0"/>
              <w:rPr>
                <w:sz w:val="12"/>
                <w:szCs w:val="12"/>
                <w:color w:val="auto"/>
              </w:rPr>
            </w:pPr>
          </w:p>
        </w:tc>
        <w:tc>
          <w:tcPr>
            <w:tcW w:w="7340" w:type="dxa"/>
            <w:vAlign w:val="bottom"/>
            <w:tcBorders>
              <w:bottom w:val="single" w:sz="8" w:color="auto"/>
              <w:right w:val="single" w:sz="8" w:color="auto"/>
            </w:tcBorders>
          </w:tcPr>
          <w:p>
            <w:pPr>
              <w:spacing w:after="0"/>
              <w:rPr>
                <w:sz w:val="12"/>
                <w:szCs w:val="12"/>
                <w:color w:val="auto"/>
              </w:rPr>
            </w:pP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 “Prime Rate Margin”</w:t>
            </w:r>
          </w:p>
        </w:tc>
        <w:tc>
          <w:tcPr>
            <w:tcW w:w="7340" w:type="dxa"/>
            <w:vAlign w:val="bottom"/>
            <w:tcBorders>
              <w:right w:val="single" w:sz="8" w:color="auto"/>
            </w:tcBorders>
          </w:tcPr>
          <w:p>
            <w:pPr>
              <w:ind w:left="60"/>
              <w:spacing w:after="0" w:line="1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 Margin</w:t>
            </w:r>
            <w:r>
              <w:rPr>
                <w:rFonts w:ascii="Times New Roman" w:cs="Times New Roman" w:eastAsia="Times New Roman" w:hAnsi="Times New Roman"/>
                <w:sz w:val="18"/>
                <w:szCs w:val="18"/>
                <w:color w:val="auto"/>
              </w:rPr>
              <w:t>” is one quarter of one percent (0.25%).</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460" w:type="dxa"/>
            <w:vAlign w:val="bottom"/>
            <w:tcBorders>
              <w:bottom w:val="single" w:sz="8" w:color="auto"/>
            </w:tcBorders>
          </w:tcPr>
          <w:p>
            <w:pPr>
              <w:spacing w:after="0"/>
              <w:rPr>
                <w:sz w:val="7"/>
                <w:szCs w:val="7"/>
                <w:color w:val="auto"/>
              </w:rPr>
            </w:pPr>
          </w:p>
        </w:tc>
        <w:tc>
          <w:tcPr>
            <w:tcW w:w="3320" w:type="dxa"/>
            <w:vAlign w:val="bottom"/>
            <w:tcBorders>
              <w:bottom w:val="single" w:sz="8" w:color="auto"/>
              <w:right w:val="single" w:sz="8" w:color="auto"/>
            </w:tcBorders>
          </w:tcPr>
          <w:p>
            <w:pPr>
              <w:spacing w:after="0"/>
              <w:rPr>
                <w:sz w:val="7"/>
                <w:szCs w:val="7"/>
                <w:color w:val="auto"/>
              </w:rPr>
            </w:pPr>
          </w:p>
        </w:tc>
        <w:tc>
          <w:tcPr>
            <w:tcW w:w="7340" w:type="dxa"/>
            <w:vAlign w:val="bottom"/>
            <w:tcBorders>
              <w:bottom w:val="single" w:sz="8" w:color="auto"/>
              <w:right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 “Repayment Schedule”</w:t>
            </w:r>
          </w:p>
        </w:tc>
        <w:tc>
          <w:tcPr>
            <w:tcW w:w="734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Repayment Schedule</w:t>
            </w:r>
            <w:r>
              <w:rPr>
                <w:rFonts w:ascii="Times New Roman" w:cs="Times New Roman" w:eastAsia="Times New Roman" w:hAnsi="Times New Roman"/>
                <w:sz w:val="18"/>
                <w:szCs w:val="18"/>
                <w:color w:val="auto"/>
              </w:rPr>
              <w:t>” means the period of time equal to 24 consecutive calendar months, which</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period of time shall be reduced to 12 consecutive calendar months upon the occurrence of the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Interest-Only Milestone Event.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7340" w:type="dxa"/>
            <w:vAlign w:val="bottom"/>
            <w:tcBorders>
              <w:bottom w:val="single" w:sz="8" w:color="auto"/>
              <w:right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“Term A Loan Availability Amount”</w:t>
            </w: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Loan Availability Amount</w:t>
            </w:r>
            <w:r>
              <w:rPr>
                <w:rFonts w:ascii="Times New Roman" w:cs="Times New Roman" w:eastAsia="Times New Roman" w:hAnsi="Times New Roman"/>
                <w:sz w:val="18"/>
                <w:szCs w:val="18"/>
                <w:color w:val="auto"/>
              </w:rPr>
              <w:t>” is an aggregate principal amount equal to $10,000,000.00.</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460" w:type="dxa"/>
            <w:vAlign w:val="bottom"/>
            <w:tcBorders>
              <w:bottom w:val="single" w:sz="8" w:color="auto"/>
            </w:tcBorders>
          </w:tcPr>
          <w:p>
            <w:pPr>
              <w:spacing w:after="0"/>
              <w:rPr>
                <w:sz w:val="7"/>
                <w:szCs w:val="7"/>
                <w:color w:val="auto"/>
              </w:rPr>
            </w:pPr>
          </w:p>
        </w:tc>
        <w:tc>
          <w:tcPr>
            <w:tcW w:w="3320" w:type="dxa"/>
            <w:vAlign w:val="bottom"/>
            <w:tcBorders>
              <w:bottom w:val="single" w:sz="8" w:color="auto"/>
              <w:right w:val="single" w:sz="8" w:color="auto"/>
            </w:tcBorders>
          </w:tcPr>
          <w:p>
            <w:pPr>
              <w:spacing w:after="0"/>
              <w:rPr>
                <w:sz w:val="7"/>
                <w:szCs w:val="7"/>
                <w:color w:val="auto"/>
              </w:rPr>
            </w:pPr>
          </w:p>
        </w:tc>
        <w:tc>
          <w:tcPr>
            <w:tcW w:w="7340" w:type="dxa"/>
            <w:vAlign w:val="bottom"/>
            <w:tcBorders>
              <w:bottom w:val="single" w:sz="8" w:color="auto"/>
              <w:right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“Term B Loan Availability Amount”</w:t>
            </w: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Loan Availability Amount</w:t>
            </w:r>
            <w:r>
              <w:rPr>
                <w:rFonts w:ascii="Times New Roman" w:cs="Times New Roman" w:eastAsia="Times New Roman" w:hAnsi="Times New Roman"/>
                <w:sz w:val="18"/>
                <w:szCs w:val="18"/>
                <w:color w:val="auto"/>
              </w:rPr>
              <w:t>” is an aggregate principal amount equal to $10,000,000.00.</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460" w:type="dxa"/>
            <w:vAlign w:val="bottom"/>
            <w:tcBorders>
              <w:bottom w:val="single" w:sz="8" w:color="auto"/>
            </w:tcBorders>
          </w:tcPr>
          <w:p>
            <w:pPr>
              <w:spacing w:after="0"/>
              <w:rPr>
                <w:sz w:val="7"/>
                <w:szCs w:val="7"/>
                <w:color w:val="auto"/>
              </w:rPr>
            </w:pPr>
          </w:p>
        </w:tc>
        <w:tc>
          <w:tcPr>
            <w:tcW w:w="3320" w:type="dxa"/>
            <w:vAlign w:val="bottom"/>
            <w:tcBorders>
              <w:bottom w:val="single" w:sz="8" w:color="auto"/>
              <w:right w:val="single" w:sz="8" w:color="auto"/>
            </w:tcBorders>
          </w:tcPr>
          <w:p>
            <w:pPr>
              <w:spacing w:after="0"/>
              <w:rPr>
                <w:sz w:val="7"/>
                <w:szCs w:val="7"/>
                <w:color w:val="auto"/>
              </w:rPr>
            </w:pPr>
          </w:p>
        </w:tc>
        <w:tc>
          <w:tcPr>
            <w:tcW w:w="7340" w:type="dxa"/>
            <w:vAlign w:val="bottom"/>
            <w:tcBorders>
              <w:bottom w:val="single" w:sz="8" w:color="auto"/>
              <w:right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 “Term B Milestone Event”</w:t>
            </w:r>
          </w:p>
        </w:tc>
        <w:tc>
          <w:tcPr>
            <w:tcW w:w="734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Milestone Event</w:t>
            </w:r>
            <w:r>
              <w:rPr>
                <w:rFonts w:ascii="Times New Roman" w:cs="Times New Roman" w:eastAsia="Times New Roman" w:hAnsi="Times New Roman"/>
                <w:sz w:val="18"/>
                <w:szCs w:val="18"/>
                <w:color w:val="auto"/>
              </w:rPr>
              <w:t>” occurs if and when (if ever) Borrower has provided Bank with</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evidence, on or prior to March 31, 2026, satisfactory to Bank in its sole and absolute discretion,</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that Borrower has achieved Net Product Revenue in an amount of at least $[***]for a trailing six</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 month period ending after the Effective Date, but on or prior to December 31, 2025 (which</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period shall end no earlier than the last day of the first (1st) calendar month ending after the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Effective Date).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7340" w:type="dxa"/>
            <w:vAlign w:val="bottom"/>
            <w:tcBorders>
              <w:bottom w:val="single" w:sz="8" w:color="auto"/>
              <w:right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“Term C Loan Availability Amount”</w:t>
            </w: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Loan Availability Amount</w:t>
            </w:r>
            <w:r>
              <w:rPr>
                <w:rFonts w:ascii="Times New Roman" w:cs="Times New Roman" w:eastAsia="Times New Roman" w:hAnsi="Times New Roman"/>
                <w:sz w:val="18"/>
                <w:szCs w:val="18"/>
                <w:color w:val="auto"/>
              </w:rPr>
              <w:t>” is an aggregate principal amount equal to $10,000,000.00.</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460" w:type="dxa"/>
            <w:vAlign w:val="bottom"/>
            <w:tcBorders>
              <w:bottom w:val="single" w:sz="8" w:color="auto"/>
            </w:tcBorders>
          </w:tcPr>
          <w:p>
            <w:pPr>
              <w:spacing w:after="0"/>
              <w:rPr>
                <w:sz w:val="7"/>
                <w:szCs w:val="7"/>
                <w:color w:val="auto"/>
              </w:rPr>
            </w:pPr>
          </w:p>
        </w:tc>
        <w:tc>
          <w:tcPr>
            <w:tcW w:w="3320" w:type="dxa"/>
            <w:vAlign w:val="bottom"/>
            <w:tcBorders>
              <w:bottom w:val="single" w:sz="8" w:color="auto"/>
              <w:right w:val="single" w:sz="8" w:color="auto"/>
            </w:tcBorders>
          </w:tcPr>
          <w:p>
            <w:pPr>
              <w:spacing w:after="0"/>
              <w:rPr>
                <w:sz w:val="7"/>
                <w:szCs w:val="7"/>
                <w:color w:val="auto"/>
              </w:rPr>
            </w:pPr>
          </w:p>
        </w:tc>
        <w:tc>
          <w:tcPr>
            <w:tcW w:w="7340" w:type="dxa"/>
            <w:vAlign w:val="bottom"/>
            <w:tcBorders>
              <w:bottom w:val="single" w:sz="8" w:color="auto"/>
              <w:right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 “Term C Milestone Event”</w:t>
            </w:r>
          </w:p>
        </w:tc>
        <w:tc>
          <w:tcPr>
            <w:tcW w:w="734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Milestone Event</w:t>
            </w:r>
            <w:r>
              <w:rPr>
                <w:rFonts w:ascii="Times New Roman" w:cs="Times New Roman" w:eastAsia="Times New Roman" w:hAnsi="Times New Roman"/>
                <w:sz w:val="18"/>
                <w:szCs w:val="18"/>
                <w:color w:val="auto"/>
              </w:rPr>
              <w:t>” occurs if and when (if ever) Borrower has provided Bank with</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evidence, on or prior to August 15, 2026, satisfactory to Bank in its sole and absolute discretion,</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that Borrower has achieved Net Product Revenue in an amount of at least $[***] for a trailing six</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 month period ending after the Effective Date, but on or prior to June 30, 2026 (which period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tcBorders>
              <w:right w:val="single" w:sz="8" w:color="auto"/>
            </w:tcBorders>
          </w:tcPr>
          <w:p>
            <w:pPr>
              <w:spacing w:after="0"/>
              <w:rPr>
                <w:sz w:val="18"/>
                <w:szCs w:val="18"/>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shall end no earlier than the last day of the first (1st) calendar month ending after the Effective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7340" w:type="dxa"/>
            <w:vAlign w:val="bottom"/>
            <w:tcBorders>
              <w:bottom w:val="single" w:sz="8" w:color="auto"/>
              <w:right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 “Term Loan Amortization Date”</w:t>
            </w:r>
          </w:p>
        </w:tc>
        <w:tc>
          <w:tcPr>
            <w:tcW w:w="734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Amortization Date</w:t>
            </w:r>
            <w:r>
              <w:rPr>
                <w:rFonts w:ascii="Times New Roman" w:cs="Times New Roman" w:eastAsia="Times New Roman" w:hAnsi="Times New Roman"/>
                <w:sz w:val="18"/>
                <w:szCs w:val="18"/>
                <w:color w:val="auto"/>
              </w:rPr>
              <w:t>” is, for each Term Loan Advance, April 1, 2027, which shall be</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320" w:type="dxa"/>
            <w:vAlign w:val="bottom"/>
            <w:tcBorders>
              <w:right w:val="single" w:sz="8" w:color="auto"/>
            </w:tcBorders>
          </w:tcPr>
          <w:p>
            <w:pPr>
              <w:spacing w:after="0"/>
              <w:rPr>
                <w:sz w:val="20"/>
                <w:szCs w:val="20"/>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extended to April 1, 2028 upon the occurrence of the Interest-Only Milestone Event.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7340" w:type="dxa"/>
            <w:vAlign w:val="bottom"/>
            <w:tcBorders>
              <w:bottom w:val="single" w:sz="8" w:color="auto"/>
              <w:right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“Term Loan Maturity Date”</w:t>
            </w: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Maturity Date</w:t>
            </w:r>
            <w:r>
              <w:rPr>
                <w:rFonts w:ascii="Times New Roman" w:cs="Times New Roman" w:eastAsia="Times New Roman" w:hAnsi="Times New Roman"/>
                <w:sz w:val="18"/>
                <w:szCs w:val="18"/>
                <w:color w:val="auto"/>
              </w:rPr>
              <w:t>” is March 1, 2029.</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460" w:type="dxa"/>
            <w:vAlign w:val="bottom"/>
            <w:tcBorders>
              <w:bottom w:val="single" w:sz="8" w:color="auto"/>
            </w:tcBorders>
          </w:tcPr>
          <w:p>
            <w:pPr>
              <w:spacing w:after="0"/>
              <w:rPr>
                <w:sz w:val="7"/>
                <w:szCs w:val="7"/>
                <w:color w:val="auto"/>
              </w:rPr>
            </w:pPr>
          </w:p>
        </w:tc>
        <w:tc>
          <w:tcPr>
            <w:tcW w:w="3320" w:type="dxa"/>
            <w:vAlign w:val="bottom"/>
            <w:tcBorders>
              <w:bottom w:val="single" w:sz="8" w:color="auto"/>
              <w:right w:val="single" w:sz="8" w:color="auto"/>
            </w:tcBorders>
          </w:tcPr>
          <w:p>
            <w:pPr>
              <w:spacing w:after="0"/>
              <w:rPr>
                <w:sz w:val="7"/>
                <w:szCs w:val="7"/>
                <w:color w:val="auto"/>
              </w:rPr>
            </w:pPr>
          </w:p>
        </w:tc>
        <w:tc>
          <w:tcPr>
            <w:tcW w:w="7340" w:type="dxa"/>
            <w:vAlign w:val="bottom"/>
            <w:tcBorders>
              <w:bottom w:val="single" w:sz="8" w:color="auto"/>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2"/>
        </w:trPr>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46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I-2</w:t>
            </w:r>
          </w:p>
        </w:tc>
        <w:tc>
          <w:tcPr>
            <w:tcW w:w="0" w:type="dxa"/>
            <w:vAlign w:val="bottom"/>
          </w:tcPr>
          <w:p>
            <w:pPr>
              <w:spacing w:after="0"/>
              <w:rPr>
                <w:sz w:val="1"/>
                <w:szCs w:val="1"/>
                <w:color w:val="auto"/>
              </w:rPr>
            </w:pPr>
          </w:p>
        </w:tc>
      </w:tr>
      <w:tr>
        <w:trPr>
          <w:trHeight w:val="506"/>
        </w:trPr>
        <w:tc>
          <w:tcPr>
            <w:tcW w:w="4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1700" w:type="dxa"/>
            <w:vAlign w:val="bottom"/>
            <w:gridSpan w:val="2"/>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320" w:type="dxa"/>
            <w:vAlign w:val="bottom"/>
            <w:gridSpan w:val="4"/>
          </w:tcPr>
          <w:p>
            <w:pPr>
              <w:jc w:val="center"/>
              <w:ind w:right="1040"/>
              <w:spacing w:after="0" w:line="196" w:lineRule="exact"/>
              <w:rPr>
                <w:sz w:val="20"/>
                <w:szCs w:val="20"/>
                <w:color w:val="auto"/>
              </w:rPr>
            </w:pPr>
            <w:r>
              <w:rPr>
                <w:rFonts w:ascii="Times New Roman" w:cs="Times New Roman" w:eastAsia="Times New Roman" w:hAnsi="Times New Roman"/>
                <w:sz w:val="18"/>
                <w:szCs w:val="18"/>
                <w:color w:val="auto"/>
                <w:w w:val="99"/>
              </w:rPr>
              <w:t>COMPLIANCE STATEMENT</w:t>
            </w:r>
          </w:p>
        </w:tc>
      </w:tr>
      <w:tr>
        <w:trPr>
          <w:trHeight w:val="20"/>
        </w:trPr>
        <w:tc>
          <w:tcPr>
            <w:tcW w:w="5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80" w:type="dxa"/>
            <w:vAlign w:val="bottom"/>
            <w:gridSpan w:val="3"/>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8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72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w w:val="99"/>
              </w:rPr>
              <w:t>SILICON VALLEY BANK, A DIVISION OF FIRST-CITIZENS BANK &amp; TRUST COMPANY</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INVIVYD,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-7620</wp:posOffset>
            </wp:positionV>
            <wp:extent cx="913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31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Under the terms and conditions of the Loan and Security Agreement between Borrower and Bank (as amended, modified, supplemented and/or restated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Borrower is in complete compliance for the period ending _______________ with all required covenants</w:t>
      </w:r>
    </w:p>
    <w:p>
      <w:pPr>
        <w:jc w:val="both"/>
        <w:spacing w:after="0" w:line="255" w:lineRule="auto"/>
        <w:rPr>
          <w:sz w:val="20"/>
          <w:szCs w:val="20"/>
          <w:color w:val="auto"/>
        </w:rPr>
      </w:pPr>
      <w:r>
        <w:rPr>
          <w:rFonts w:ascii="Times New Roman" w:cs="Times New Roman" w:eastAsia="Times New Roman" w:hAnsi="Times New Roman"/>
          <w:sz w:val="18"/>
          <w:szCs w:val="18"/>
          <w:color w:val="auto"/>
        </w:rPr>
        <w:t>except as noted below. Attached 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Please indicate compliance status by circling Yes/No under “Complies” column.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500" w:type="dxa"/>
            <w:vAlign w:val="bottom"/>
            <w:tcBorders>
              <w:top w:val="single" w:sz="8" w:color="auto"/>
              <w:left w:val="single" w:sz="8" w:color="auto"/>
              <w:right w:val="single" w:sz="8" w:color="auto"/>
            </w:tcBorders>
            <w:gridSpan w:val="3"/>
          </w:tcPr>
          <w:p>
            <w:pPr>
              <w:ind w:left="1940"/>
              <w:spacing w:after="0" w:line="189" w:lineRule="exact"/>
              <w:rPr>
                <w:sz w:val="20"/>
                <w:szCs w:val="20"/>
                <w:color w:val="auto"/>
              </w:rPr>
            </w:pPr>
            <w:r>
              <w:rPr>
                <w:rFonts w:ascii="Times New Roman" w:cs="Times New Roman" w:eastAsia="Times New Roman" w:hAnsi="Times New Roman"/>
                <w:sz w:val="18"/>
                <w:szCs w:val="18"/>
                <w:b w:val="1"/>
                <w:bCs w:val="1"/>
                <w:color w:val="auto"/>
              </w:rPr>
              <w:t>Reporting Covenants</w:t>
            </w:r>
          </w:p>
        </w:tc>
        <w:tc>
          <w:tcPr>
            <w:tcW w:w="3740" w:type="dxa"/>
            <w:vAlign w:val="bottom"/>
            <w:tcBorders>
              <w:top w:val="single" w:sz="8" w:color="auto"/>
              <w:right w:val="single" w:sz="8" w:color="auto"/>
            </w:tcBorders>
            <w:gridSpan w:val="3"/>
          </w:tcPr>
          <w:p>
            <w:pPr>
              <w:ind w:left="1500"/>
              <w:spacing w:after="0" w:line="189" w:lineRule="exact"/>
              <w:rPr>
                <w:sz w:val="20"/>
                <w:szCs w:val="20"/>
                <w:color w:val="auto"/>
              </w:rPr>
            </w:pPr>
            <w:r>
              <w:rPr>
                <w:rFonts w:ascii="Times New Roman" w:cs="Times New Roman" w:eastAsia="Times New Roman" w:hAnsi="Times New Roman"/>
                <w:sz w:val="18"/>
                <w:szCs w:val="18"/>
                <w:b w:val="1"/>
                <w:bCs w:val="1"/>
                <w:color w:val="auto"/>
              </w:rPr>
              <w:t>Required</w:t>
            </w:r>
          </w:p>
        </w:tc>
        <w:tc>
          <w:tcPr>
            <w:tcW w:w="640" w:type="dxa"/>
            <w:vAlign w:val="bottom"/>
            <w:tcBorders>
              <w:top w:val="single" w:sz="8" w:color="auto"/>
            </w:tcBorders>
          </w:tcPr>
          <w:p>
            <w:pPr>
              <w:spacing w:after="0"/>
              <w:rPr>
                <w:sz w:val="16"/>
                <w:szCs w:val="16"/>
                <w:color w:val="auto"/>
              </w:rPr>
            </w:pPr>
          </w:p>
        </w:tc>
        <w:tc>
          <w:tcPr>
            <w:tcW w:w="1360" w:type="dxa"/>
            <w:vAlign w:val="bottom"/>
            <w:tcBorders>
              <w:top w:val="single" w:sz="8" w:color="auto"/>
              <w:right w:val="single" w:sz="8" w:color="auto"/>
            </w:tcBorders>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Complies</w:t>
            </w:r>
          </w:p>
        </w:tc>
      </w:tr>
      <w:tr>
        <w:trPr>
          <w:trHeight w:val="20"/>
        </w:trPr>
        <w:tc>
          <w:tcPr>
            <w:tcW w:w="1940" w:type="dxa"/>
            <w:vAlign w:val="bottom"/>
            <w:tcBorders>
              <w:left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94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r>
      <w:tr>
        <w:trPr>
          <w:trHeight w:val="209"/>
        </w:trPr>
        <w:tc>
          <w:tcPr>
            <w:tcW w:w="55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Monthly Compliance Statement</w:t>
            </w:r>
          </w:p>
        </w:tc>
        <w:tc>
          <w:tcPr>
            <w:tcW w:w="37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Monthly within 30 days</w:t>
            </w:r>
          </w:p>
        </w:tc>
        <w:tc>
          <w:tcPr>
            <w:tcW w:w="1040" w:type="dxa"/>
            <w:vAlign w:val="bottom"/>
            <w:tcBorders>
              <w:bottom w:val="single" w:sz="8" w:color="auto"/>
            </w:tcBorders>
            <w:gridSpan w:val="2"/>
          </w:tcPr>
          <w:p>
            <w:pPr>
              <w:ind w:left="42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w:t>
            </w:r>
          </w:p>
        </w:tc>
        <w:tc>
          <w:tcPr>
            <w:tcW w:w="960" w:type="dxa"/>
            <w:vAlign w:val="bottom"/>
            <w:tcBorders>
              <w:bottom w:val="single" w:sz="8" w:color="auto"/>
              <w:right w:val="single" w:sz="8" w:color="auto"/>
            </w:tcBorders>
            <w:gridSpan w:val="2"/>
          </w:tcPr>
          <w:p>
            <w:pPr>
              <w:ind w:left="10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r>
      <w:tr>
        <w:trPr>
          <w:trHeight w:val="209"/>
        </w:trPr>
        <w:tc>
          <w:tcPr>
            <w:tcW w:w="55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Detailed Cash Report</w:t>
            </w:r>
          </w:p>
        </w:tc>
        <w:tc>
          <w:tcPr>
            <w:tcW w:w="37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Monthly within 30 days</w:t>
            </w:r>
          </w:p>
        </w:tc>
        <w:tc>
          <w:tcPr>
            <w:tcW w:w="1040" w:type="dxa"/>
            <w:vAlign w:val="bottom"/>
            <w:tcBorders>
              <w:bottom w:val="single" w:sz="8" w:color="auto"/>
            </w:tcBorders>
            <w:gridSpan w:val="2"/>
          </w:tcPr>
          <w:p>
            <w:pPr>
              <w:ind w:left="42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w:t>
            </w:r>
          </w:p>
        </w:tc>
        <w:tc>
          <w:tcPr>
            <w:tcW w:w="960" w:type="dxa"/>
            <w:vAlign w:val="bottom"/>
            <w:tcBorders>
              <w:bottom w:val="single" w:sz="8" w:color="auto"/>
              <w:right w:val="single" w:sz="8" w:color="auto"/>
            </w:tcBorders>
            <w:gridSpan w:val="2"/>
          </w:tcPr>
          <w:p>
            <w:pPr>
              <w:ind w:left="10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r>
      <w:tr>
        <w:trPr>
          <w:trHeight w:val="191"/>
        </w:trPr>
        <w:tc>
          <w:tcPr>
            <w:tcW w:w="550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10-Q Report</w:t>
            </w:r>
          </w:p>
        </w:tc>
        <w:tc>
          <w:tcPr>
            <w:tcW w:w="37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Within 45 days after the end of the end of Q1,</w:t>
            </w:r>
          </w:p>
        </w:tc>
        <w:tc>
          <w:tcPr>
            <w:tcW w:w="1040" w:type="dxa"/>
            <w:vAlign w:val="bottom"/>
            <w:gridSpan w:val="2"/>
          </w:tcPr>
          <w:p>
            <w:pPr>
              <w:ind w:left="420"/>
              <w:spacing w:after="0" w:line="191"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w:t>
            </w:r>
          </w:p>
        </w:tc>
        <w:tc>
          <w:tcPr>
            <w:tcW w:w="960" w:type="dxa"/>
            <w:vAlign w:val="bottom"/>
            <w:tcBorders>
              <w:right w:val="single" w:sz="8" w:color="auto"/>
            </w:tcBorders>
            <w:gridSpan w:val="2"/>
          </w:tcPr>
          <w:p>
            <w:pPr>
              <w:ind w:left="100"/>
              <w:spacing w:after="0" w:line="191"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r>
      <w:tr>
        <w:trPr>
          <w:trHeight w:val="234"/>
        </w:trPr>
        <w:tc>
          <w:tcPr>
            <w:tcW w:w="194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Q2 and Q3</w:t>
            </w:r>
          </w:p>
        </w:tc>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r>
      <w:tr>
        <w:trPr>
          <w:trHeight w:val="209"/>
        </w:trPr>
        <w:tc>
          <w:tcPr>
            <w:tcW w:w="55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10-K Report and Annual Financial Statements (CPA Audited)</w:t>
            </w:r>
          </w:p>
        </w:tc>
        <w:tc>
          <w:tcPr>
            <w:tcW w:w="37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FYE within 90 days</w:t>
            </w:r>
          </w:p>
        </w:tc>
        <w:tc>
          <w:tcPr>
            <w:tcW w:w="1040" w:type="dxa"/>
            <w:vAlign w:val="bottom"/>
            <w:tcBorders>
              <w:bottom w:val="single" w:sz="8" w:color="auto"/>
            </w:tcBorders>
            <w:gridSpan w:val="2"/>
          </w:tcPr>
          <w:p>
            <w:pPr>
              <w:ind w:left="42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w:t>
            </w:r>
          </w:p>
        </w:tc>
        <w:tc>
          <w:tcPr>
            <w:tcW w:w="960" w:type="dxa"/>
            <w:vAlign w:val="bottom"/>
            <w:tcBorders>
              <w:bottom w:val="single" w:sz="8" w:color="auto"/>
              <w:right w:val="single" w:sz="8" w:color="auto"/>
            </w:tcBorders>
            <w:gridSpan w:val="2"/>
          </w:tcPr>
          <w:p>
            <w:pPr>
              <w:ind w:left="10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r>
      <w:tr>
        <w:trPr>
          <w:trHeight w:val="191"/>
        </w:trPr>
        <w:tc>
          <w:tcPr>
            <w:tcW w:w="550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10-Q, 10-K and 8-K</w:t>
            </w:r>
          </w:p>
        </w:tc>
        <w:tc>
          <w:tcPr>
            <w:tcW w:w="37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Within 5 days after filing with</w:t>
            </w:r>
          </w:p>
        </w:tc>
        <w:tc>
          <w:tcPr>
            <w:tcW w:w="1040" w:type="dxa"/>
            <w:vAlign w:val="bottom"/>
            <w:gridSpan w:val="2"/>
          </w:tcPr>
          <w:p>
            <w:pPr>
              <w:ind w:left="420"/>
              <w:spacing w:after="0" w:line="191"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w:t>
            </w:r>
          </w:p>
        </w:tc>
        <w:tc>
          <w:tcPr>
            <w:tcW w:w="960" w:type="dxa"/>
            <w:vAlign w:val="bottom"/>
            <w:tcBorders>
              <w:right w:val="single" w:sz="8" w:color="auto"/>
            </w:tcBorders>
            <w:gridSpan w:val="2"/>
          </w:tcPr>
          <w:p>
            <w:pPr>
              <w:ind w:left="100"/>
              <w:spacing w:after="0" w:line="191"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r>
      <w:tr>
        <w:trPr>
          <w:trHeight w:val="234"/>
        </w:trPr>
        <w:tc>
          <w:tcPr>
            <w:tcW w:w="194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SEC</w:t>
            </w:r>
          </w:p>
        </w:tc>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r>
      <w:tr>
        <w:trPr>
          <w:trHeight w:val="210"/>
        </w:trPr>
        <w:tc>
          <w:tcPr>
            <w:tcW w:w="55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Board approved projections</w:t>
            </w:r>
          </w:p>
        </w:tc>
        <w:tc>
          <w:tcPr>
            <w:tcW w:w="37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FYE within 30 days and as amended/updated</w:t>
            </w:r>
          </w:p>
        </w:tc>
        <w:tc>
          <w:tcPr>
            <w:tcW w:w="1040" w:type="dxa"/>
            <w:vAlign w:val="bottom"/>
            <w:tcBorders>
              <w:bottom w:val="single" w:sz="8" w:color="auto"/>
            </w:tcBorders>
            <w:gridSpan w:val="2"/>
          </w:tcPr>
          <w:p>
            <w:pPr>
              <w:ind w:left="42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w:t>
            </w:r>
          </w:p>
        </w:tc>
        <w:tc>
          <w:tcPr>
            <w:tcW w:w="960" w:type="dxa"/>
            <w:vAlign w:val="bottom"/>
            <w:tcBorders>
              <w:bottom w:val="single" w:sz="8" w:color="auto"/>
              <w:right w:val="single" w:sz="8" w:color="auto"/>
            </w:tcBorders>
            <w:gridSpan w:val="2"/>
          </w:tcPr>
          <w:p>
            <w:pPr>
              <w:ind w:left="10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r>
      <w:tr>
        <w:trPr>
          <w:trHeight w:val="209"/>
        </w:trPr>
        <w:tc>
          <w:tcPr>
            <w:tcW w:w="194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r>
    </w:tbl>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4340" w:type="dxa"/>
            <w:vAlign w:val="bottom"/>
            <w:tcBorders>
              <w:top w:val="single" w:sz="8" w:color="auto"/>
              <w:left w:val="single" w:sz="8" w:color="auto"/>
              <w:right w:val="single" w:sz="8" w:color="auto"/>
            </w:tcBorders>
            <w:gridSpan w:val="3"/>
          </w:tcPr>
          <w:p>
            <w:pPr>
              <w:ind w:left="1380"/>
              <w:spacing w:after="0" w:line="192" w:lineRule="exact"/>
              <w:rPr>
                <w:sz w:val="20"/>
                <w:szCs w:val="20"/>
                <w:color w:val="auto"/>
              </w:rPr>
            </w:pPr>
            <w:r>
              <w:rPr>
                <w:rFonts w:ascii="Times New Roman" w:cs="Times New Roman" w:eastAsia="Times New Roman" w:hAnsi="Times New Roman"/>
                <w:sz w:val="18"/>
                <w:szCs w:val="18"/>
                <w:b w:val="1"/>
                <w:bCs w:val="1"/>
                <w:color w:val="auto"/>
              </w:rPr>
              <w:t>Financial Covenants</w:t>
            </w:r>
          </w:p>
        </w:tc>
        <w:tc>
          <w:tcPr>
            <w:tcW w:w="880" w:type="dxa"/>
            <w:vAlign w:val="bottom"/>
            <w:tcBorders>
              <w:top w:val="single" w:sz="8" w:color="auto"/>
            </w:tcBorders>
          </w:tcPr>
          <w:p>
            <w:pPr>
              <w:spacing w:after="0"/>
              <w:rPr>
                <w:sz w:val="16"/>
                <w:szCs w:val="16"/>
                <w:color w:val="auto"/>
              </w:rPr>
            </w:pPr>
          </w:p>
        </w:tc>
        <w:tc>
          <w:tcPr>
            <w:tcW w:w="1620" w:type="dxa"/>
            <w:vAlign w:val="bottom"/>
            <w:tcBorders>
              <w:top w:val="single" w:sz="8" w:color="auto"/>
              <w:right w:val="single" w:sz="8" w:color="auto"/>
            </w:tcBorders>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Required</w:t>
            </w:r>
          </w:p>
        </w:tc>
        <w:tc>
          <w:tcPr>
            <w:tcW w:w="94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Actual</w:t>
            </w:r>
          </w:p>
        </w:tc>
        <w:tc>
          <w:tcPr>
            <w:tcW w:w="640" w:type="dxa"/>
            <w:vAlign w:val="bottom"/>
            <w:tcBorders>
              <w:top w:val="single" w:sz="8" w:color="auto"/>
            </w:tcBorders>
          </w:tcPr>
          <w:p>
            <w:pPr>
              <w:spacing w:after="0"/>
              <w:rPr>
                <w:sz w:val="16"/>
                <w:szCs w:val="16"/>
                <w:color w:val="auto"/>
              </w:rPr>
            </w:pPr>
          </w:p>
        </w:tc>
        <w:tc>
          <w:tcPr>
            <w:tcW w:w="1360" w:type="dxa"/>
            <w:vAlign w:val="bottom"/>
            <w:tcBorders>
              <w:top w:val="single" w:sz="8" w:color="auto"/>
              <w:right w:val="single" w:sz="8" w:color="auto"/>
            </w:tcBorders>
            <w:gridSpan w:val="3"/>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Complies</w:t>
            </w:r>
          </w:p>
        </w:tc>
      </w:tr>
      <w:tr>
        <w:trPr>
          <w:trHeight w:val="20"/>
        </w:trPr>
        <w:tc>
          <w:tcPr>
            <w:tcW w:w="1380" w:type="dxa"/>
            <w:vAlign w:val="bottom"/>
            <w:tcBorders>
              <w:left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380" w:type="dxa"/>
            <w:vAlign w:val="bottom"/>
            <w:tcBorders>
              <w:left w:val="single" w:sz="8" w:color="auto"/>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r>
      <w:tr>
        <w:trPr>
          <w:trHeight w:val="191"/>
        </w:trPr>
        <w:tc>
          <w:tcPr>
            <w:tcW w:w="434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Minimum Net Product Revenue (tested quarterly upon</w:t>
            </w:r>
          </w:p>
        </w:tc>
        <w:tc>
          <w:tcPr>
            <w:tcW w:w="158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$_____________*</w:t>
            </w:r>
          </w:p>
        </w:tc>
        <w:tc>
          <w:tcPr>
            <w:tcW w:w="920" w:type="dxa"/>
            <w:vAlign w:val="bottom"/>
            <w:tcBorders>
              <w:right w:val="single" w:sz="8" w:color="auto"/>
            </w:tcBorders>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$_____________</w:t>
            </w:r>
          </w:p>
        </w:tc>
        <w:tc>
          <w:tcPr>
            <w:tcW w:w="960" w:type="dxa"/>
            <w:vAlign w:val="bottom"/>
            <w:tcBorders>
              <w:right w:val="single" w:sz="8" w:color="auto"/>
            </w:tcBorders>
          </w:tcPr>
          <w:p>
            <w:pPr>
              <w:spacing w:after="0"/>
              <w:rPr>
                <w:sz w:val="16"/>
                <w:szCs w:val="16"/>
                <w:color w:val="auto"/>
              </w:rPr>
            </w:pPr>
          </w:p>
        </w:tc>
        <w:tc>
          <w:tcPr>
            <w:tcW w:w="1040" w:type="dxa"/>
            <w:vAlign w:val="bottom"/>
            <w:gridSpan w:val="2"/>
          </w:tcPr>
          <w:p>
            <w:pPr>
              <w:ind w:left="420"/>
              <w:spacing w:after="0" w:line="191"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w:t>
            </w:r>
          </w:p>
        </w:tc>
        <w:tc>
          <w:tcPr>
            <w:tcW w:w="960" w:type="dxa"/>
            <w:vAlign w:val="bottom"/>
            <w:tcBorders>
              <w:right w:val="single" w:sz="8" w:color="auto"/>
            </w:tcBorders>
            <w:gridSpan w:val="2"/>
          </w:tcPr>
          <w:p>
            <w:pPr>
              <w:ind w:left="100"/>
              <w:spacing w:after="0" w:line="191"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r>
      <w:tr>
        <w:trPr>
          <w:trHeight w:val="234"/>
        </w:trPr>
        <w:tc>
          <w:tcPr>
            <w:tcW w:w="43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occurrence of Testing Event #1)</w:t>
            </w: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95"/>
        </w:trPr>
        <w:tc>
          <w:tcPr>
            <w:tcW w:w="1380" w:type="dxa"/>
            <w:vAlign w:val="bottom"/>
            <w:tcBorders>
              <w:left w:val="single" w:sz="8" w:color="auto"/>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40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r>
      <w:tr>
        <w:trPr>
          <w:trHeight w:val="191"/>
        </w:trPr>
        <w:tc>
          <w:tcPr>
            <w:tcW w:w="434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Minimum Cash or Minimum EBITDA (tested quarterly</w:t>
            </w:r>
          </w:p>
        </w:tc>
        <w:tc>
          <w:tcPr>
            <w:tcW w:w="158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$_____________**</w:t>
            </w:r>
          </w:p>
        </w:tc>
        <w:tc>
          <w:tcPr>
            <w:tcW w:w="920" w:type="dxa"/>
            <w:vAlign w:val="bottom"/>
            <w:tcBorders>
              <w:right w:val="single" w:sz="8" w:color="auto"/>
            </w:tcBorders>
          </w:tcPr>
          <w:p>
            <w:pPr>
              <w:spacing w:after="0"/>
              <w:rPr>
                <w:sz w:val="16"/>
                <w:szCs w:val="16"/>
                <w:color w:val="auto"/>
              </w:rPr>
            </w:pPr>
          </w:p>
        </w:tc>
        <w:tc>
          <w:tcPr>
            <w:tcW w:w="14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$_____________</w:t>
            </w:r>
          </w:p>
        </w:tc>
        <w:tc>
          <w:tcPr>
            <w:tcW w:w="960" w:type="dxa"/>
            <w:vAlign w:val="bottom"/>
            <w:tcBorders>
              <w:right w:val="single" w:sz="8" w:color="auto"/>
            </w:tcBorders>
          </w:tcPr>
          <w:p>
            <w:pPr>
              <w:spacing w:after="0"/>
              <w:rPr>
                <w:sz w:val="16"/>
                <w:szCs w:val="16"/>
                <w:color w:val="auto"/>
              </w:rPr>
            </w:pPr>
          </w:p>
        </w:tc>
        <w:tc>
          <w:tcPr>
            <w:tcW w:w="1040" w:type="dxa"/>
            <w:vAlign w:val="bottom"/>
            <w:gridSpan w:val="2"/>
          </w:tcPr>
          <w:p>
            <w:pPr>
              <w:ind w:left="420"/>
              <w:spacing w:after="0" w:line="191"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w:t>
            </w:r>
          </w:p>
        </w:tc>
        <w:tc>
          <w:tcPr>
            <w:tcW w:w="960" w:type="dxa"/>
            <w:vAlign w:val="bottom"/>
            <w:tcBorders>
              <w:right w:val="single" w:sz="8" w:color="auto"/>
            </w:tcBorders>
            <w:gridSpan w:val="2"/>
          </w:tcPr>
          <w:p>
            <w:pPr>
              <w:ind w:left="100"/>
              <w:spacing w:after="0" w:line="191"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r>
      <w:tr>
        <w:trPr>
          <w:trHeight w:val="234"/>
        </w:trPr>
        <w:tc>
          <w:tcPr>
            <w:tcW w:w="43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upon the occurrence of Testing Event #2)</w:t>
            </w: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108"/>
        </w:trPr>
        <w:tc>
          <w:tcPr>
            <w:tcW w:w="1380" w:type="dxa"/>
            <w:vAlign w:val="bottom"/>
            <w:tcBorders>
              <w:left w:val="single" w:sz="8" w:color="auto"/>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r>
      <w:tr>
        <w:trPr>
          <w:trHeight w:val="191"/>
        </w:trPr>
        <w:tc>
          <w:tcPr>
            <w:tcW w:w="434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Minimum  Cash  Trigger  (tested  quarterly,  upon  the</w:t>
            </w:r>
          </w:p>
        </w:tc>
        <w:tc>
          <w:tcPr>
            <w:tcW w:w="250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$_____________***</w:t>
            </w:r>
          </w:p>
        </w:tc>
        <w:tc>
          <w:tcPr>
            <w:tcW w:w="14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$_____________</w:t>
            </w:r>
          </w:p>
        </w:tc>
        <w:tc>
          <w:tcPr>
            <w:tcW w:w="960" w:type="dxa"/>
            <w:vAlign w:val="bottom"/>
            <w:tcBorders>
              <w:right w:val="single" w:sz="8" w:color="auto"/>
            </w:tcBorders>
          </w:tcPr>
          <w:p>
            <w:pPr>
              <w:spacing w:after="0"/>
              <w:rPr>
                <w:sz w:val="16"/>
                <w:szCs w:val="16"/>
                <w:color w:val="auto"/>
              </w:rPr>
            </w:pPr>
          </w:p>
        </w:tc>
        <w:tc>
          <w:tcPr>
            <w:tcW w:w="1040" w:type="dxa"/>
            <w:vAlign w:val="bottom"/>
            <w:gridSpan w:val="2"/>
          </w:tcPr>
          <w:p>
            <w:pPr>
              <w:ind w:left="420"/>
              <w:spacing w:after="0" w:line="191"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w:t>
            </w:r>
          </w:p>
        </w:tc>
        <w:tc>
          <w:tcPr>
            <w:tcW w:w="960" w:type="dxa"/>
            <w:vAlign w:val="bottom"/>
            <w:tcBorders>
              <w:right w:val="single" w:sz="8" w:color="auto"/>
            </w:tcBorders>
            <w:gridSpan w:val="2"/>
          </w:tcPr>
          <w:p>
            <w:pPr>
              <w:ind w:left="100"/>
              <w:spacing w:after="0" w:line="191"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r>
      <w:tr>
        <w:trPr>
          <w:trHeight w:val="234"/>
        </w:trPr>
        <w:tc>
          <w:tcPr>
            <w:tcW w:w="43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occurrence of the Minimum Cash Trigger Event)</w:t>
            </w: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108"/>
        </w:trPr>
        <w:tc>
          <w:tcPr>
            <w:tcW w:w="1380" w:type="dxa"/>
            <w:vAlign w:val="bottom"/>
            <w:tcBorders>
              <w:left w:val="single" w:sz="8" w:color="auto"/>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r>
    </w:tbl>
    <w:p>
      <w:pPr>
        <w:jc w:val="both"/>
        <w:ind w:right="8820" w:firstLine="8"/>
        <w:spacing w:after="0" w:line="265" w:lineRule="auto"/>
        <w:tabs>
          <w:tab w:leader="none" w:pos="360" w:val="left"/>
        </w:tabs>
        <w:numPr>
          <w:ilvl w:val="0"/>
          <w:numId w:val="8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As set forth in Section 5.8(a) ** As set forth in Section 5.8(b)</w:t>
      </w:r>
    </w:p>
    <w:p>
      <w:pPr>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 As set forth in Section 5.8(c)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Banking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58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158750"/>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620" w:type="dxa"/>
            <w:vAlign w:val="bottom"/>
            <w:tcBorders>
              <w:top w:val="single" w:sz="8" w:color="auto"/>
              <w:left w:val="single" w:sz="8" w:color="auto"/>
            </w:tcBorders>
          </w:tcPr>
          <w:p>
            <w:pPr>
              <w:spacing w:after="0"/>
              <w:rPr>
                <w:sz w:val="14"/>
                <w:szCs w:val="14"/>
                <w:color w:val="auto"/>
              </w:rPr>
            </w:pPr>
          </w:p>
        </w:tc>
        <w:tc>
          <w:tcPr>
            <w:tcW w:w="6640" w:type="dxa"/>
            <w:vAlign w:val="bottom"/>
            <w:tcBorders>
              <w:top w:val="single" w:sz="8" w:color="auto"/>
              <w:right w:val="single" w:sz="8" w:color="auto"/>
            </w:tcBorders>
          </w:tcPr>
          <w:p>
            <w:pPr>
              <w:spacing w:after="0"/>
              <w:rPr>
                <w:sz w:val="14"/>
                <w:szCs w:val="14"/>
                <w:color w:val="auto"/>
              </w:rPr>
            </w:pPr>
          </w:p>
        </w:tc>
        <w:tc>
          <w:tcPr>
            <w:tcW w:w="2280" w:type="dxa"/>
            <w:vAlign w:val="bottom"/>
            <w:tcBorders>
              <w:top w:val="single" w:sz="8" w:color="auto"/>
              <w:right w:val="single" w:sz="8" w:color="auto"/>
            </w:tcBorders>
            <w:gridSpan w:val="3"/>
          </w:tcPr>
          <w:p>
            <w:pPr>
              <w:ind w:left="360"/>
              <w:spacing w:after="0" w:line="172" w:lineRule="exact"/>
              <w:rPr>
                <w:sz w:val="20"/>
                <w:szCs w:val="20"/>
                <w:color w:val="auto"/>
              </w:rPr>
            </w:pPr>
            <w:r>
              <w:rPr>
                <w:rFonts w:ascii="Times New Roman" w:cs="Times New Roman" w:eastAsia="Times New Roman" w:hAnsi="Times New Roman"/>
                <w:sz w:val="18"/>
                <w:szCs w:val="18"/>
                <w:b w:val="1"/>
                <w:bCs w:val="1"/>
                <w:color w:val="auto"/>
              </w:rPr>
              <w:t>Month End Balance</w:t>
            </w:r>
          </w:p>
        </w:tc>
        <w:tc>
          <w:tcPr>
            <w:tcW w:w="420" w:type="dxa"/>
            <w:vAlign w:val="bottom"/>
            <w:tcBorders>
              <w:top w:val="single" w:sz="8" w:color="auto"/>
            </w:tcBorders>
          </w:tcPr>
          <w:p>
            <w:pPr>
              <w:spacing w:after="0"/>
              <w:rPr>
                <w:sz w:val="14"/>
                <w:szCs w:val="14"/>
                <w:color w:val="auto"/>
              </w:rPr>
            </w:pPr>
          </w:p>
        </w:tc>
        <w:tc>
          <w:tcPr>
            <w:tcW w:w="1280" w:type="dxa"/>
            <w:vAlign w:val="bottom"/>
            <w:tcBorders>
              <w:top w:val="single" w:sz="8" w:color="auto"/>
              <w:right w:val="single" w:sz="8" w:color="auto"/>
            </w:tcBorders>
            <w:gridSpan w:val="4"/>
          </w:tcPr>
          <w:p>
            <w:pPr>
              <w:jc w:val="center"/>
              <w:ind w:right="480"/>
              <w:spacing w:after="0" w:line="172" w:lineRule="exact"/>
              <w:rPr>
                <w:sz w:val="20"/>
                <w:szCs w:val="20"/>
                <w:color w:val="auto"/>
              </w:rPr>
            </w:pPr>
            <w:r>
              <w:rPr>
                <w:rFonts w:ascii="Times New Roman" w:cs="Times New Roman" w:eastAsia="Times New Roman" w:hAnsi="Times New Roman"/>
                <w:sz w:val="18"/>
                <w:szCs w:val="18"/>
                <w:b w:val="1"/>
                <w:bCs w:val="1"/>
                <w:color w:val="auto"/>
                <w:w w:val="99"/>
              </w:rPr>
              <w:t>Control</w:t>
            </w:r>
          </w:p>
        </w:tc>
      </w:tr>
      <w:tr>
        <w:trPr>
          <w:trHeight w:val="20"/>
        </w:trPr>
        <w:tc>
          <w:tcPr>
            <w:tcW w:w="620" w:type="dxa"/>
            <w:vAlign w:val="bottom"/>
            <w:tcBorders>
              <w:left w:val="single" w:sz="8" w:color="auto"/>
            </w:tcBorders>
          </w:tcPr>
          <w:p>
            <w:pPr>
              <w:spacing w:after="0" w:line="20" w:lineRule="exact"/>
              <w:rPr>
                <w:sz w:val="1"/>
                <w:szCs w:val="1"/>
                <w:color w:val="auto"/>
              </w:rPr>
            </w:pPr>
          </w:p>
        </w:tc>
        <w:tc>
          <w:tcPr>
            <w:tcW w:w="664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196"/>
        </w:trPr>
        <w:tc>
          <w:tcPr>
            <w:tcW w:w="620" w:type="dxa"/>
            <w:vAlign w:val="bottom"/>
            <w:tcBorders>
              <w:left w:val="single" w:sz="8" w:color="auto"/>
            </w:tcBorders>
          </w:tcPr>
          <w:p>
            <w:pPr>
              <w:spacing w:after="0"/>
              <w:rPr>
                <w:sz w:val="17"/>
                <w:szCs w:val="17"/>
                <w:color w:val="auto"/>
              </w:rPr>
            </w:pPr>
          </w:p>
        </w:tc>
        <w:tc>
          <w:tcPr>
            <w:tcW w:w="664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Borders>
              <w:right w:val="single" w:sz="8" w:color="auto"/>
            </w:tcBorders>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b w:val="1"/>
                <w:bCs w:val="1"/>
                <w:color w:val="auto"/>
                <w:w w:val="98"/>
              </w:rPr>
              <w:t>Agreement</w:t>
            </w:r>
          </w:p>
        </w:tc>
      </w:tr>
      <w:tr>
        <w:trPr>
          <w:trHeight w:val="20"/>
        </w:trPr>
        <w:tc>
          <w:tcPr>
            <w:tcW w:w="620" w:type="dxa"/>
            <w:vAlign w:val="bottom"/>
            <w:tcBorders>
              <w:left w:val="single" w:sz="8" w:color="auto"/>
              <w:bottom w:val="single" w:sz="8" w:color="auto"/>
            </w:tcBorders>
          </w:tcPr>
          <w:p>
            <w:pPr>
              <w:spacing w:after="0" w:line="20" w:lineRule="exact"/>
              <w:rPr>
                <w:sz w:val="1"/>
                <w:szCs w:val="1"/>
                <w:color w:val="auto"/>
              </w:rPr>
            </w:pPr>
          </w:p>
        </w:tc>
        <w:tc>
          <w:tcPr>
            <w:tcW w:w="66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620" w:type="dxa"/>
            <w:vAlign w:val="bottom"/>
            <w:tcBorders>
              <w:left w:val="single" w:sz="8" w:color="auto"/>
              <w:right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A.</w:t>
            </w:r>
          </w:p>
        </w:tc>
        <w:tc>
          <w:tcPr>
            <w:tcW w:w="66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Amount of cash and cash equivalents maintained by Borrower and its Subsidiaries in all</w:t>
            </w:r>
          </w:p>
        </w:tc>
        <w:tc>
          <w:tcPr>
            <w:tcW w:w="2700" w:type="dxa"/>
            <w:vAlign w:val="bottom"/>
            <w:gridSpan w:val="4"/>
          </w:tcPr>
          <w:p>
            <w:pPr>
              <w:ind w:left="80"/>
              <w:spacing w:after="0" w:line="191" w:lineRule="exact"/>
              <w:rPr>
                <w:sz w:val="20"/>
                <w:szCs w:val="20"/>
                <w:color w:val="auto"/>
              </w:rPr>
            </w:pPr>
            <w:r>
              <w:rPr>
                <w:rFonts w:ascii="Times New Roman" w:cs="Times New Roman" w:eastAsia="Times New Roman" w:hAnsi="Times New Roman"/>
                <w:sz w:val="18"/>
                <w:szCs w:val="18"/>
                <w:color w:val="auto"/>
              </w:rPr>
              <w:t>$_______________ (A. Total)</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r>
      <w:tr>
        <w:trPr>
          <w:trHeight w:val="234"/>
        </w:trPr>
        <w:tc>
          <w:tcPr>
            <w:tcW w:w="620" w:type="dxa"/>
            <w:vAlign w:val="bottom"/>
            <w:tcBorders>
              <w:left w:val="single" w:sz="8" w:color="auto"/>
              <w:right w:val="single" w:sz="8" w:color="auto"/>
            </w:tcBorders>
          </w:tcPr>
          <w:p>
            <w:pPr>
              <w:spacing w:after="0"/>
              <w:rPr>
                <w:sz w:val="20"/>
                <w:szCs w:val="20"/>
                <w:color w:val="auto"/>
              </w:rPr>
            </w:pPr>
          </w:p>
        </w:tc>
        <w:tc>
          <w:tcPr>
            <w:tcW w:w="66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accounts with Bank and Bank’s Affiliates* at month end.</w:t>
            </w: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r>
      <w:tr>
        <w:trPr>
          <w:trHeight w:val="216"/>
        </w:trPr>
        <w:tc>
          <w:tcPr>
            <w:tcW w:w="620" w:type="dxa"/>
            <w:vAlign w:val="bottom"/>
            <w:tcBorders>
              <w:left w:val="single" w:sz="8" w:color="auto"/>
              <w:bottom w:val="single" w:sz="8" w:color="auto"/>
              <w:right w:val="single" w:sz="8" w:color="auto"/>
            </w:tcBorders>
          </w:tcPr>
          <w:p>
            <w:pPr>
              <w:spacing w:after="0"/>
              <w:rPr>
                <w:sz w:val="18"/>
                <w:szCs w:val="18"/>
                <w:color w:val="auto"/>
              </w:rPr>
            </w:pPr>
          </w:p>
        </w:tc>
        <w:tc>
          <w:tcPr>
            <w:tcW w:w="66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r>
      <w:tr>
        <w:trPr>
          <w:trHeight w:val="1404"/>
        </w:trPr>
        <w:tc>
          <w:tcPr>
            <w:tcW w:w="62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233"/>
        </w:trPr>
        <w:tc>
          <w:tcPr>
            <w:tcW w:w="620" w:type="dxa"/>
            <w:vAlign w:val="bottom"/>
            <w:tcBorders>
              <w:top w:val="single" w:sz="8" w:color="auto"/>
              <w:left w:val="single" w:sz="8" w:color="auto"/>
              <w:right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3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Include any amounts held in securities accounts through:</w:t>
            </w:r>
          </w:p>
        </w:tc>
        <w:tc>
          <w:tcPr>
            <w:tcW w:w="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2300" w:type="dxa"/>
            <w:vAlign w:val="bottom"/>
            <w:tcBorders>
              <w:top w:val="single" w:sz="8" w:color="auto"/>
              <w:bottom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spacing w:after="0"/>
              <w:rPr>
                <w:sz w:val="20"/>
                <w:szCs w:val="20"/>
                <w:color w:val="auto"/>
              </w:rPr>
            </w:pPr>
          </w:p>
        </w:tc>
      </w:tr>
      <w:tr>
        <w:trPr>
          <w:trHeight w:val="169"/>
        </w:trPr>
        <w:tc>
          <w:tcPr>
            <w:tcW w:w="62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320" w:type="dxa"/>
            <w:vAlign w:val="bottom"/>
            <w:tcBorders>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SVB Asset Management (SAM)</w:t>
            </w:r>
          </w:p>
        </w:tc>
        <w:tc>
          <w:tcPr>
            <w:tcW w:w="2200" w:type="dxa"/>
            <w:vAlign w:val="bottom"/>
            <w:gridSpan w:val="3"/>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Account Number</w:t>
            </w:r>
          </w:p>
        </w:tc>
        <w:tc>
          <w:tcPr>
            <w:tcW w:w="23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37"/>
        </w:trPr>
        <w:tc>
          <w:tcPr>
            <w:tcW w:w="6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Borders>
              <w:top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96"/>
        </w:trPr>
        <w:tc>
          <w:tcPr>
            <w:tcW w:w="6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ind w:left="34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r>
      <w:tr>
        <w:trPr>
          <w:trHeight w:val="129"/>
        </w:trPr>
        <w:tc>
          <w:tcPr>
            <w:tcW w:w="620" w:type="dxa"/>
            <w:vAlign w:val="bottom"/>
            <w:tcBorders>
              <w:left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3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r>
      <w:tr>
        <w:trPr>
          <w:trHeight w:val="296"/>
        </w:trPr>
        <w:tc>
          <w:tcPr>
            <w:tcW w:w="62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ind w:left="36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r>
      <w:tr>
        <w:trPr>
          <w:trHeight w:val="166"/>
        </w:trPr>
        <w:tc>
          <w:tcPr>
            <w:tcW w:w="62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54"/>
        </w:trPr>
        <w:tc>
          <w:tcPr>
            <w:tcW w:w="620" w:type="dxa"/>
            <w:vAlign w:val="bottom"/>
          </w:tcPr>
          <w:p>
            <w:pPr>
              <w:ind w:left="120"/>
              <w:spacing w:after="0" w:line="154" w:lineRule="exact"/>
              <w:rPr>
                <w:sz w:val="20"/>
                <w:szCs w:val="20"/>
                <w:color w:val="auto"/>
              </w:rPr>
            </w:pPr>
            <w:r>
              <w:rPr>
                <w:rFonts w:ascii="Times New Roman" w:cs="Times New Roman" w:eastAsia="Times New Roman" w:hAnsi="Times New Roman"/>
                <w:sz w:val="17"/>
                <w:szCs w:val="17"/>
                <w:color w:val="auto"/>
              </w:rPr>
              <w:t>B.</w:t>
            </w:r>
          </w:p>
        </w:tc>
        <w:tc>
          <w:tcPr>
            <w:tcW w:w="100" w:type="dxa"/>
            <w:vAlign w:val="bottom"/>
          </w:tcPr>
          <w:p>
            <w:pPr>
              <w:spacing w:after="0"/>
              <w:rPr>
                <w:sz w:val="13"/>
                <w:szCs w:val="13"/>
                <w:color w:val="auto"/>
              </w:rPr>
            </w:pPr>
          </w:p>
        </w:tc>
        <w:tc>
          <w:tcPr>
            <w:tcW w:w="6520" w:type="dxa"/>
            <w:vAlign w:val="bottom"/>
            <w:gridSpan w:val="5"/>
          </w:tcPr>
          <w:p>
            <w:pPr>
              <w:spacing w:after="0" w:line="154" w:lineRule="exact"/>
              <w:rPr>
                <w:sz w:val="20"/>
                <w:szCs w:val="20"/>
                <w:color w:val="auto"/>
              </w:rPr>
            </w:pPr>
            <w:r>
              <w:rPr>
                <w:rFonts w:ascii="Times New Roman" w:cs="Times New Roman" w:eastAsia="Times New Roman" w:hAnsi="Times New Roman"/>
                <w:sz w:val="17"/>
                <w:szCs w:val="17"/>
                <w:color w:val="auto"/>
              </w:rPr>
              <w:t>Amount of cash and cash equivalents maintained by Borrower and its Subsidiaries in</w:t>
            </w:r>
          </w:p>
        </w:tc>
        <w:tc>
          <w:tcPr>
            <w:tcW w:w="2300" w:type="dxa"/>
            <w:vAlign w:val="bottom"/>
          </w:tcPr>
          <w:p>
            <w:pPr>
              <w:ind w:left="100"/>
              <w:spacing w:after="0" w:line="154" w:lineRule="exact"/>
              <w:rPr>
                <w:sz w:val="20"/>
                <w:szCs w:val="20"/>
                <w:color w:val="auto"/>
              </w:rPr>
            </w:pPr>
            <w:r>
              <w:rPr>
                <w:rFonts w:ascii="Times New Roman" w:cs="Times New Roman" w:eastAsia="Times New Roman" w:hAnsi="Times New Roman"/>
                <w:sz w:val="17"/>
                <w:szCs w:val="17"/>
                <w:color w:val="auto"/>
              </w:rPr>
              <w:t>$_______________ (B. Total)</w:t>
            </w:r>
          </w:p>
        </w:tc>
        <w:tc>
          <w:tcPr>
            <w:tcW w:w="1700" w:type="dxa"/>
            <w:vAlign w:val="bottom"/>
          </w:tcPr>
          <w:p>
            <w:pPr>
              <w:spacing w:after="0"/>
              <w:rPr>
                <w:sz w:val="13"/>
                <w:szCs w:val="13"/>
                <w:color w:val="auto"/>
              </w:rPr>
            </w:pPr>
          </w:p>
        </w:tc>
      </w:tr>
      <w:tr>
        <w:trPr>
          <w:trHeight w:val="234"/>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with financial institutions other than Bank and Bank’s Affiliates at month end.</w:t>
            </w:r>
          </w:p>
        </w:tc>
        <w:tc>
          <w:tcPr>
            <w:tcW w:w="230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-1276985</wp:posOffset>
            </wp:positionV>
            <wp:extent cx="7132320" cy="60432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6043295"/>
                    </a:xfrm>
                    <a:prstGeom prst="rect">
                      <a:avLst/>
                    </a:prstGeom>
                    <a:noFill/>
                  </pic:spPr>
                </pic:pic>
              </a:graphicData>
            </a:graphic>
          </wp:anchor>
        </w:drawing>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Complete a line below for each financial institution and/or account: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320" w:type="dxa"/>
            <w:vAlign w:val="bottom"/>
            <w:tcBorders>
              <w:top w:val="single" w:sz="8" w:color="auto"/>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Financial Institution</w:t>
            </w:r>
          </w:p>
        </w:tc>
        <w:tc>
          <w:tcPr>
            <w:tcW w:w="2200" w:type="dxa"/>
            <w:vAlign w:val="bottom"/>
            <w:tcBorders>
              <w:top w:val="single" w:sz="8" w:color="auto"/>
            </w:tcBorders>
            <w:gridSpan w:val="3"/>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Account Number</w:t>
            </w:r>
          </w:p>
        </w:tc>
        <w:tc>
          <w:tcPr>
            <w:tcW w:w="230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600" w:type="dxa"/>
            <w:vAlign w:val="bottom"/>
          </w:tcPr>
          <w:p>
            <w:pPr>
              <w:spacing w:after="0"/>
              <w:rPr>
                <w:sz w:val="24"/>
                <w:szCs w:val="24"/>
                <w:color w:val="auto"/>
              </w:rPr>
            </w:pPr>
          </w:p>
        </w:tc>
        <w:tc>
          <w:tcPr>
            <w:tcW w:w="444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129"/>
        </w:trPr>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27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3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600" w:type="dxa"/>
            <w:vAlign w:val="bottom"/>
          </w:tcPr>
          <w:p>
            <w:pPr>
              <w:spacing w:after="0"/>
              <w:rPr>
                <w:sz w:val="24"/>
                <w:szCs w:val="24"/>
                <w:color w:val="auto"/>
              </w:rPr>
            </w:pPr>
          </w:p>
        </w:tc>
        <w:tc>
          <w:tcPr>
            <w:tcW w:w="444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129"/>
        </w:trPr>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27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3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600" w:type="dxa"/>
            <w:vAlign w:val="bottom"/>
          </w:tcPr>
          <w:p>
            <w:pPr>
              <w:spacing w:after="0"/>
              <w:rPr>
                <w:sz w:val="24"/>
                <w:szCs w:val="24"/>
                <w:color w:val="auto"/>
              </w:rPr>
            </w:pPr>
          </w:p>
        </w:tc>
        <w:tc>
          <w:tcPr>
            <w:tcW w:w="444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129"/>
        </w:trPr>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27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3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600" w:type="dxa"/>
            <w:vAlign w:val="bottom"/>
          </w:tcPr>
          <w:p>
            <w:pPr>
              <w:spacing w:after="0"/>
              <w:rPr>
                <w:sz w:val="24"/>
                <w:szCs w:val="24"/>
                <w:color w:val="auto"/>
              </w:rPr>
            </w:pPr>
          </w:p>
        </w:tc>
        <w:tc>
          <w:tcPr>
            <w:tcW w:w="444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129"/>
        </w:trPr>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27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3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600" w:type="dxa"/>
            <w:vAlign w:val="bottom"/>
          </w:tcPr>
          <w:p>
            <w:pPr>
              <w:spacing w:after="0"/>
              <w:rPr>
                <w:sz w:val="24"/>
                <w:szCs w:val="24"/>
                <w:color w:val="auto"/>
              </w:rPr>
            </w:pPr>
          </w:p>
        </w:tc>
        <w:tc>
          <w:tcPr>
            <w:tcW w:w="444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129"/>
        </w:trPr>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27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3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600" w:type="dxa"/>
            <w:vAlign w:val="bottom"/>
          </w:tcPr>
          <w:p>
            <w:pPr>
              <w:spacing w:after="0"/>
              <w:rPr>
                <w:sz w:val="24"/>
                <w:szCs w:val="24"/>
                <w:color w:val="auto"/>
              </w:rPr>
            </w:pPr>
          </w:p>
        </w:tc>
        <w:tc>
          <w:tcPr>
            <w:tcW w:w="444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c>
          <w:tcPr>
            <w:tcW w:w="0" w:type="dxa"/>
            <w:vAlign w:val="bottom"/>
          </w:tcPr>
          <w:p>
            <w:pPr>
              <w:spacing w:after="0"/>
              <w:rPr>
                <w:sz w:val="1"/>
                <w:szCs w:val="1"/>
                <w:color w:val="auto"/>
              </w:rPr>
            </w:pPr>
          </w:p>
        </w:tc>
      </w:tr>
      <w:tr>
        <w:trPr>
          <w:trHeight w:val="129"/>
        </w:trPr>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27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3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0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C.</w:t>
            </w:r>
          </w:p>
        </w:tc>
        <w:tc>
          <w:tcPr>
            <w:tcW w:w="120" w:type="dxa"/>
            <w:vAlign w:val="bottom"/>
          </w:tcPr>
          <w:p>
            <w:pPr>
              <w:spacing w:after="0"/>
              <w:rPr>
                <w:sz w:val="16"/>
                <w:szCs w:val="16"/>
                <w:color w:val="auto"/>
              </w:rPr>
            </w:pPr>
          </w:p>
        </w:tc>
        <w:tc>
          <w:tcPr>
            <w:tcW w:w="652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Total cash and cash equivalents of Borrower and its Subsidiaries (Line A plus the</w:t>
            </w:r>
          </w:p>
        </w:tc>
        <w:tc>
          <w:tcPr>
            <w:tcW w:w="23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of Line B)</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0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6"/>
                <w:szCs w:val="16"/>
                <w:color w:val="auto"/>
              </w:rPr>
            </w:pPr>
          </w:p>
        </w:tc>
        <w:tc>
          <w:tcPr>
            <w:tcW w:w="652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Percentage maintained with Bank and Bank’s Affiliates (Line A divided by Line C -</w:t>
            </w:r>
          </w:p>
        </w:tc>
        <w:tc>
          <w:tcPr>
            <w:tcW w:w="23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_______%</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expressed as a percentage)</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w:t>
            </w:r>
          </w:p>
        </w:tc>
        <w:tc>
          <w:tcPr>
            <w:tcW w:w="1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Outstanding Obligations of Borrower to Bank at month end</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2"/>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0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E.</w:t>
            </w:r>
          </w:p>
        </w:tc>
        <w:tc>
          <w:tcPr>
            <w:tcW w:w="120" w:type="dxa"/>
            <w:vAlign w:val="bottom"/>
          </w:tcPr>
          <w:p>
            <w:pPr>
              <w:spacing w:after="0"/>
              <w:rPr>
                <w:sz w:val="16"/>
                <w:szCs w:val="16"/>
                <w:color w:val="auto"/>
              </w:rPr>
            </w:pPr>
          </w:p>
        </w:tc>
        <w:tc>
          <w:tcPr>
            <w:tcW w:w="652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Has Borrower maintained compliance with Section 5.7 of the Agreement (which</w:t>
            </w:r>
          </w:p>
        </w:tc>
        <w:tc>
          <w:tcPr>
            <w:tcW w:w="230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requires that, upon the expiration of the Transition Period (a) account balances in the</w:t>
            </w:r>
          </w:p>
        </w:tc>
        <w:tc>
          <w:tcPr>
            <w:tcW w:w="230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name of Borrower at Bank and Bank’s Affiliates shall be in an amount equal to at least</w:t>
            </w:r>
          </w:p>
        </w:tc>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80.0% of the Dollar value of Borrower’s, its Subsidiaries’, and any Guarantor’s cash, in</w:t>
            </w:r>
          </w:p>
        </w:tc>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aggregate, wherever located, (b) each Permitted Account shall be subject to a Control</w:t>
            </w:r>
          </w:p>
        </w:tc>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Agreement in favor of Bank pursuant to the terms of Section 5.7(c) and (c) Borrower</w:t>
            </w:r>
          </w:p>
        </w:tc>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shall at all times have unrestricted and unencumbered cash in accounts maintained in the</w:t>
            </w:r>
          </w:p>
        </w:tc>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name of Borrower with Bank, in an amount equal to the lesser of (i) 100% of the Dollar</w:t>
            </w:r>
          </w:p>
        </w:tc>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value of all account balances of Borrower, its Subsidiaries, and any Guarantor, wherever</w:t>
            </w:r>
          </w:p>
        </w:tc>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located, and (ii) 110% of the then-outstanding Obligations of Borrower to Bank?</w:t>
            </w:r>
          </w:p>
        </w:tc>
        <w:tc>
          <w:tcPr>
            <w:tcW w:w="2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financial covenant analyses and information set forth in Schedule 1 attached hereto are true and correct as of the date of this Compliance Statement.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are the exceptions with respect to the statements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9" w:name="page50"/>
    <w:bookmarkEnd w:id="4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0" w:name="page51"/>
    <w:bookmarkEnd w:id="5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 to Compliance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Covenants of Borrower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a conflict between this Schedule and the Agreement, the terms of the Agreement shall govern.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Dated:</w:t>
        <w:tab/>
        <w:t>____________________</w:t>
      </w:r>
    </w:p>
    <w:p>
      <w:pPr>
        <w:spacing w:after="0" w:line="221" w:lineRule="exact"/>
        <w:rPr>
          <w:sz w:val="20"/>
          <w:szCs w:val="20"/>
          <w:color w:val="auto"/>
        </w:rPr>
      </w:pPr>
    </w:p>
    <w:p>
      <w:pPr>
        <w:ind w:left="360" w:hanging="352"/>
        <w:spacing w:after="0"/>
        <w:tabs>
          <w:tab w:leader="none" w:pos="3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Minimum Net Product Revenue (Section 5.8(a))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Upon the occurrence of Testing Event #1, and at all times thereafter, Borrower shall achieve, to be tested as of the last day of each fiscal quarter, trailing three (3) month Net Product Revenue of at least the following amounts*: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360" w:type="dxa"/>
            <w:vAlign w:val="bottom"/>
            <w:tcBorders>
              <w:top w:val="single" w:sz="8" w:color="auto"/>
              <w:left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gridSpan w:val="3"/>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Fiscal Quarter Ending</w:t>
            </w:r>
          </w:p>
        </w:tc>
        <w:tc>
          <w:tcPr>
            <w:tcW w:w="2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40" w:type="dxa"/>
            <w:vAlign w:val="bottom"/>
            <w:tcBorders>
              <w:top w:val="single" w:sz="8" w:color="auto"/>
              <w:right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5240" w:type="dxa"/>
            <w:vAlign w:val="bottom"/>
            <w:tcBorders>
              <w:top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Minimum Trailing Three (3) Month Net Product Revenue</w:t>
            </w:r>
          </w:p>
        </w:tc>
      </w:tr>
      <w:tr>
        <w:trPr>
          <w:trHeight w:val="227"/>
        </w:trPr>
        <w:tc>
          <w:tcPr>
            <w:tcW w:w="36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40" w:type="dxa"/>
            <w:vAlign w:val="bottom"/>
            <w:tcBorders>
              <w:bottom w:val="single" w:sz="8" w:color="auto"/>
              <w:right w:val="single" w:sz="8" w:color="auto"/>
            </w:tcBorders>
          </w:tcPr>
          <w:p>
            <w:pPr>
              <w:spacing w:after="0"/>
              <w:rPr>
                <w:sz w:val="19"/>
                <w:szCs w:val="19"/>
                <w:color w:val="auto"/>
              </w:rPr>
            </w:pPr>
          </w:p>
        </w:tc>
      </w:tr>
      <w:tr>
        <w:trPr>
          <w:trHeight w:val="194"/>
        </w:trPr>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3"/>
          </w:tcPr>
          <w:p>
            <w:pPr>
              <w:jc w:val="center"/>
              <w:ind w:left="1150"/>
              <w:spacing w:after="0" w:line="195" w:lineRule="exact"/>
              <w:rPr>
                <w:sz w:val="20"/>
                <w:szCs w:val="20"/>
                <w:color w:val="auto"/>
              </w:rPr>
            </w:pPr>
            <w:r>
              <w:rPr>
                <w:rFonts w:ascii="Times New Roman" w:cs="Times New Roman" w:eastAsia="Times New Roman" w:hAnsi="Times New Roman"/>
                <w:sz w:val="18"/>
                <w:szCs w:val="18"/>
                <w:color w:val="auto"/>
                <w:w w:val="99"/>
              </w:rPr>
              <w:t>June 30, 2025</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240" w:type="dxa"/>
            <w:vAlign w:val="bottom"/>
            <w:tcBorders>
              <w:right w:val="single" w:sz="8" w:color="auto"/>
            </w:tcBorders>
          </w:tcPr>
          <w:p>
            <w:pPr>
              <w:jc w:val="center"/>
              <w:ind w:right="310"/>
              <w:spacing w:after="0" w:line="195" w:lineRule="exact"/>
              <w:rPr>
                <w:sz w:val="20"/>
                <w:szCs w:val="20"/>
                <w:color w:val="auto"/>
              </w:rPr>
            </w:pPr>
            <w:r>
              <w:rPr>
                <w:rFonts w:ascii="Times New Roman" w:cs="Times New Roman" w:eastAsia="Times New Roman" w:hAnsi="Times New Roman"/>
                <w:sz w:val="18"/>
                <w:szCs w:val="18"/>
                <w:color w:val="auto"/>
                <w:w w:val="99"/>
              </w:rPr>
              <w:t>$[***]</w:t>
            </w:r>
          </w:p>
        </w:tc>
      </w:tr>
      <w:tr>
        <w:trPr>
          <w:trHeight w:val="194"/>
        </w:trPr>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240" w:type="dxa"/>
            <w:vAlign w:val="bottom"/>
            <w:tcBorders>
              <w:bottom w:val="single" w:sz="8" w:color="auto"/>
              <w:right w:val="single" w:sz="8" w:color="auto"/>
            </w:tcBorders>
          </w:tcPr>
          <w:p>
            <w:pPr>
              <w:spacing w:after="0"/>
              <w:rPr>
                <w:sz w:val="16"/>
                <w:szCs w:val="16"/>
                <w:color w:val="auto"/>
              </w:rPr>
            </w:pPr>
          </w:p>
        </w:tc>
      </w:tr>
      <w:tr>
        <w:trPr>
          <w:trHeight w:val="228"/>
        </w:trPr>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tcBorders>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240" w:type="dxa"/>
            <w:vAlign w:val="bottom"/>
            <w:tcBorders>
              <w:bottom w:val="single" w:sz="8" w:color="auto"/>
              <w:right w:val="single" w:sz="8" w:color="auto"/>
            </w:tcBorders>
          </w:tcPr>
          <w:p>
            <w:pPr>
              <w:spacing w:after="0"/>
              <w:rPr>
                <w:sz w:val="17"/>
                <w:szCs w:val="17"/>
                <w:color w:val="auto"/>
              </w:rPr>
            </w:pPr>
          </w:p>
        </w:tc>
      </w:tr>
      <w:tr>
        <w:trPr>
          <w:trHeight w:val="228"/>
        </w:trPr>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6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December 31, 2025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tcBorders>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240" w:type="dxa"/>
            <w:vAlign w:val="bottom"/>
            <w:tcBorders>
              <w:bottom w:val="single" w:sz="8" w:color="auto"/>
              <w:right w:val="single" w:sz="8" w:color="auto"/>
            </w:tcBorders>
          </w:tcPr>
          <w:p>
            <w:pPr>
              <w:spacing w:after="0"/>
              <w:rPr>
                <w:sz w:val="17"/>
                <w:szCs w:val="17"/>
                <w:color w:val="auto"/>
              </w:rPr>
            </w:pPr>
          </w:p>
        </w:tc>
      </w:tr>
      <w:tr>
        <w:trPr>
          <w:trHeight w:val="228"/>
        </w:trPr>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6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March 31, 2026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tcBorders>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240" w:type="dxa"/>
            <w:vAlign w:val="bottom"/>
            <w:tcBorders>
              <w:bottom w:val="single" w:sz="8" w:color="auto"/>
              <w:right w:val="single" w:sz="8" w:color="auto"/>
            </w:tcBorders>
          </w:tcPr>
          <w:p>
            <w:pPr>
              <w:spacing w:after="0"/>
              <w:rPr>
                <w:sz w:val="17"/>
                <w:szCs w:val="17"/>
                <w:color w:val="auto"/>
              </w:rPr>
            </w:pPr>
          </w:p>
        </w:tc>
      </w:tr>
      <w:tr>
        <w:trPr>
          <w:trHeight w:val="228"/>
        </w:trPr>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June 30, 2026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tcBorders>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240" w:type="dxa"/>
            <w:vAlign w:val="bottom"/>
            <w:tcBorders>
              <w:bottom w:val="single" w:sz="8" w:color="auto"/>
              <w:right w:val="single" w:sz="8" w:color="auto"/>
            </w:tcBorders>
          </w:tcPr>
          <w:p>
            <w:pPr>
              <w:spacing w:after="0"/>
              <w:rPr>
                <w:sz w:val="17"/>
                <w:szCs w:val="17"/>
                <w:color w:val="auto"/>
              </w:rPr>
            </w:pPr>
          </w:p>
        </w:tc>
      </w:tr>
      <w:tr>
        <w:trPr>
          <w:trHeight w:val="228"/>
        </w:trPr>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tcBorders>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240" w:type="dxa"/>
            <w:vAlign w:val="bottom"/>
            <w:tcBorders>
              <w:bottom w:val="single" w:sz="8" w:color="auto"/>
              <w:right w:val="single" w:sz="8" w:color="auto"/>
            </w:tcBorders>
          </w:tcPr>
          <w:p>
            <w:pPr>
              <w:spacing w:after="0"/>
              <w:rPr>
                <w:sz w:val="17"/>
                <w:szCs w:val="17"/>
                <w:color w:val="auto"/>
              </w:rPr>
            </w:pPr>
          </w:p>
        </w:tc>
      </w:tr>
      <w:tr>
        <w:trPr>
          <w:trHeight w:val="228"/>
        </w:trPr>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6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December 31, 2026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tcBorders>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240" w:type="dxa"/>
            <w:vAlign w:val="bottom"/>
            <w:tcBorders>
              <w:bottom w:val="single" w:sz="8" w:color="auto"/>
              <w:right w:val="single" w:sz="8" w:color="auto"/>
            </w:tcBorders>
          </w:tcPr>
          <w:p>
            <w:pPr>
              <w:spacing w:after="0"/>
              <w:rPr>
                <w:sz w:val="17"/>
                <w:szCs w:val="17"/>
                <w:color w:val="auto"/>
              </w:rPr>
            </w:pPr>
          </w:p>
        </w:tc>
      </w:tr>
      <w:tr>
        <w:trPr>
          <w:trHeight w:val="426"/>
        </w:trPr>
        <w:tc>
          <w:tcPr>
            <w:tcW w:w="60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See Section 5.8(a) for periods after December 31, 2026</w:t>
            </w:r>
          </w:p>
        </w:tc>
        <w:tc>
          <w:tcPr>
            <w:tcW w:w="5240" w:type="dxa"/>
            <w:vAlign w:val="bottom"/>
          </w:tcPr>
          <w:p>
            <w:pPr>
              <w:spacing w:after="0"/>
              <w:rPr>
                <w:sz w:val="24"/>
                <w:szCs w:val="24"/>
                <w:color w:val="auto"/>
              </w:rPr>
            </w:pPr>
          </w:p>
        </w:tc>
      </w:tr>
      <w:tr>
        <w:trPr>
          <w:trHeight w:val="391"/>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Actual:</w:t>
            </w:r>
          </w:p>
        </w:tc>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0"/>
        </w:trPr>
        <w:tc>
          <w:tcPr>
            <w:tcW w:w="3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453"/>
        </w:trPr>
        <w:tc>
          <w:tcPr>
            <w:tcW w:w="6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Has Borrower requested and Bank made a Term Loan Advance?</w:t>
            </w:r>
          </w:p>
        </w:tc>
        <w:tc>
          <w:tcPr>
            <w:tcW w:w="5240" w:type="dxa"/>
            <w:vAlign w:val="bottom"/>
          </w:tcPr>
          <w:p>
            <w:pPr>
              <w:spacing w:after="0"/>
              <w:rPr>
                <w:sz w:val="24"/>
                <w:szCs w:val="24"/>
                <w:color w:val="auto"/>
              </w:rPr>
            </w:pPr>
          </w:p>
        </w:tc>
      </w:tr>
      <w:tr>
        <w:trPr>
          <w:trHeight w:val="391"/>
        </w:trPr>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covenant not tested</w:t>
            </w: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Yes, covenant tested</w:t>
            </w:r>
          </w:p>
        </w:tc>
        <w:tc>
          <w:tcPr>
            <w:tcW w:w="5240" w:type="dxa"/>
            <w:vAlign w:val="bottom"/>
          </w:tcPr>
          <w:p>
            <w:pPr>
              <w:spacing w:after="0"/>
              <w:rPr>
                <w:sz w:val="24"/>
                <w:szCs w:val="24"/>
                <w:color w:val="auto"/>
              </w:rPr>
            </w:pPr>
          </w:p>
        </w:tc>
      </w:tr>
      <w:tr>
        <w:trPr>
          <w:trHeight w:val="669"/>
        </w:trPr>
        <w:tc>
          <w:tcPr>
            <w:tcW w:w="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528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Borrower’s trailing three (3) month Net Product Revenue</w:t>
            </w:r>
          </w:p>
        </w:tc>
        <w:tc>
          <w:tcPr>
            <w:tcW w:w="5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8"/>
                <w:szCs w:val="18"/>
                <w:b w:val="1"/>
                <w:bCs w:val="1"/>
                <w:color w:val="auto"/>
              </w:rPr>
              <w:t>____________</w:t>
            </w:r>
          </w:p>
        </w:tc>
      </w:tr>
      <w:tr>
        <w:trPr>
          <w:trHeight w:val="648"/>
        </w:trPr>
        <w:tc>
          <w:tcPr>
            <w:tcW w:w="3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 Line A equal to or greater than $__________*?</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432"/>
        </w:trPr>
        <w:tc>
          <w:tcPr>
            <w:tcW w:w="368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*The amount set forth above.</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91"/>
        </w:trPr>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 not in compliance</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Yes, in compliance</w:t>
            </w:r>
          </w:p>
        </w:tc>
        <w:tc>
          <w:tcPr>
            <w:tcW w:w="5240" w:type="dxa"/>
            <w:vAlign w:val="bottom"/>
          </w:tcPr>
          <w:p>
            <w:pPr>
              <w:spacing w:after="0"/>
              <w:rPr>
                <w:sz w:val="24"/>
                <w:szCs w:val="24"/>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II.</w:t>
        <w:tab/>
        <w:t>Minimum Cash or Minimum EBITDA (Section 5.8(b))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Upon the occurrence of Testing Event #2 and at all times thereafter, Borrower shall maintain, to be tested as of the last day of each fiscal quarter, </w:t>
      </w:r>
      <w:r>
        <w:rPr>
          <w:rFonts w:ascii="Times New Roman" w:cs="Times New Roman" w:eastAsia="Times New Roman" w:hAnsi="Times New Roman"/>
          <w:sz w:val="18"/>
          <w:szCs w:val="18"/>
          <w:u w:val="single" w:color="auto"/>
          <w:color w:val="auto"/>
        </w:rPr>
        <w:t>either A or B</w:t>
      </w:r>
      <w:r>
        <w:rPr>
          <w:rFonts w:ascii="Times New Roman" w:cs="Times New Roman" w:eastAsia="Times New Roman" w:hAnsi="Times New Roman"/>
          <w:sz w:val="18"/>
          <w:szCs w:val="18"/>
          <w:color w:val="auto"/>
        </w:rPr>
        <w:t xml:space="preserve"> (subject to Section 5.8(c) hereof):</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Is the current date on or after (a) December 31, 2025 or (b) the date on which the aggregate amount of outstanding Term Loan Advances exceeds $15,000,000.00?</w:t>
      </w:r>
    </w:p>
    <w:p>
      <w:pPr>
        <w:spacing w:after="0" w:line="162" w:lineRule="exact"/>
        <w:rPr>
          <w:sz w:val="20"/>
          <w:szCs w:val="20"/>
          <w:color w:val="auto"/>
        </w:rPr>
      </w:pPr>
    </w:p>
    <w:p>
      <w:pPr>
        <w:ind w:left="900"/>
        <w:spacing w:after="0"/>
        <w:tabs>
          <w:tab w:leader="none" w:pos="3320" w:val="left"/>
        </w:tabs>
        <w:rPr>
          <w:sz w:val="20"/>
          <w:szCs w:val="20"/>
          <w:color w:val="auto"/>
        </w:rPr>
      </w:pPr>
      <w:r>
        <w:rPr>
          <w:rFonts w:ascii="Times New Roman" w:cs="Times New Roman" w:eastAsia="Times New Roman" w:hAnsi="Times New Roman"/>
          <w:sz w:val="18"/>
          <w:szCs w:val="18"/>
          <w:color w:val="auto"/>
        </w:rPr>
        <w:t>No, proceed to III</w:t>
      </w:r>
      <w:r>
        <w:rPr>
          <w:sz w:val="20"/>
          <w:szCs w:val="20"/>
          <w:color w:val="auto"/>
        </w:rPr>
        <w:tab/>
      </w:r>
      <w:r>
        <w:rPr>
          <w:rFonts w:ascii="Times New Roman" w:cs="Times New Roman" w:eastAsia="Times New Roman" w:hAnsi="Times New Roman"/>
          <w:sz w:val="17"/>
          <w:szCs w:val="17"/>
          <w:color w:val="auto"/>
        </w:rPr>
        <w:t>Yes, covenant 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-7620</wp:posOffset>
            </wp:positionV>
            <wp:extent cx="2286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-7620</wp:posOffset>
            </wp:positionV>
            <wp:extent cx="2286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Minimum Cash:</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Required: Minimum Cash in an amount of at least the Minimum Cash Threshold.</w:t>
            </w:r>
          </w:p>
        </w:tc>
        <w:tc>
          <w:tcPr>
            <w:tcW w:w="22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412"/>
        </w:trPr>
        <w:tc>
          <w:tcPr>
            <w:tcW w:w="7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Actual:</w:t>
            </w:r>
          </w:p>
        </w:tc>
        <w:tc>
          <w:tcPr>
            <w:tcW w:w="2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34"/>
        </w:trPr>
        <w:tc>
          <w:tcPr>
            <w:tcW w:w="4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gridSpan w:val="2"/>
          </w:tcPr>
          <w:p>
            <w:pPr>
              <w:spacing w:after="0"/>
              <w:rPr>
                <w:sz w:val="24"/>
                <w:szCs w:val="24"/>
                <w:color w:val="auto"/>
              </w:rPr>
            </w:pPr>
          </w:p>
        </w:tc>
        <w:tc>
          <w:tcPr>
            <w:tcW w:w="81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Borrower’s unrestricted and unencumbered cash and Cash Equivalents in the name of Borrower maintained</w:t>
            </w:r>
          </w:p>
        </w:tc>
        <w:tc>
          <w:tcPr>
            <w:tcW w:w="2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$_________________</w:t>
            </w:r>
          </w:p>
        </w:tc>
      </w:tr>
      <w:tr>
        <w:trPr>
          <w:trHeight w:val="234"/>
        </w:trPr>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with Bank or Bank’s Affiliates</w:t>
            </w:r>
          </w:p>
        </w:tc>
        <w:tc>
          <w:tcPr>
            <w:tcW w:w="1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14"/>
        </w:trPr>
        <w:tc>
          <w:tcPr>
            <w:tcW w:w="7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81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Borrower’s unrestricted and unencumbered cash maintained in accounts subject to a Control Agreement in</w:t>
            </w:r>
          </w:p>
        </w:tc>
        <w:tc>
          <w:tcPr>
            <w:tcW w:w="2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$_________________</w:t>
            </w:r>
          </w:p>
        </w:tc>
      </w:tr>
      <w:tr>
        <w:trPr>
          <w:trHeight w:val="216"/>
        </w:trPr>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1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favor of Bank, provided that (i) Bank has a first priority perfected security interest in the amounts held in</w:t>
            </w:r>
          </w:p>
        </w:tc>
        <w:tc>
          <w:tcPr>
            <w:tcW w:w="240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1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such accounts and (ii) such accounts are permitted to be maintained pursuant to Section 5.7(a)</w:t>
            </w:r>
          </w:p>
        </w:tc>
        <w:tc>
          <w:tcPr>
            <w:tcW w:w="2400" w:type="dxa"/>
            <w:vAlign w:val="bottom"/>
          </w:tcPr>
          <w:p>
            <w:pPr>
              <w:spacing w:after="0"/>
              <w:rPr>
                <w:sz w:val="20"/>
                <w:szCs w:val="20"/>
                <w:color w:val="auto"/>
              </w:rPr>
            </w:pPr>
          </w:p>
        </w:tc>
      </w:tr>
      <w:tr>
        <w:trPr>
          <w:trHeight w:val="432"/>
        </w:trPr>
        <w:tc>
          <w:tcPr>
            <w:tcW w:w="7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Minimum Cash (line A plus line B)</w:t>
            </w: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$_________________</w:t>
            </w:r>
          </w:p>
        </w:tc>
      </w:tr>
      <w:tr>
        <w:trPr>
          <w:trHeight w:val="432"/>
        </w:trPr>
        <w:tc>
          <w:tcPr>
            <w:tcW w:w="7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w:t>
            </w:r>
          </w:p>
        </w:tc>
        <w:tc>
          <w:tcPr>
            <w:tcW w:w="81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Cash Burn (expressed as a positive number), plus the aggregate amount of outstanding Term Loan Advances</w:t>
            </w:r>
          </w:p>
        </w:tc>
        <w:tc>
          <w:tcPr>
            <w:tcW w:w="2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$_________________</w:t>
            </w:r>
          </w:p>
        </w:tc>
      </w:tr>
      <w:tr>
        <w:trPr>
          <w:trHeight w:val="432"/>
        </w:trPr>
        <w:tc>
          <w:tcPr>
            <w:tcW w:w="7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E.</w:t>
            </w:r>
          </w:p>
        </w:tc>
        <w:tc>
          <w:tcPr>
            <w:tcW w:w="58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of outstanding Term Loan Advances, multiplied by two (2)</w:t>
            </w:r>
          </w:p>
        </w:tc>
        <w:tc>
          <w:tcPr>
            <w:tcW w:w="2240" w:type="dxa"/>
            <w:vAlign w:val="bottom"/>
          </w:tcPr>
          <w:p>
            <w:pPr>
              <w:spacing w:after="0"/>
              <w:rPr>
                <w:sz w:val="24"/>
                <w:szCs w:val="24"/>
                <w:color w:val="auto"/>
              </w:rPr>
            </w:pPr>
          </w:p>
        </w:tc>
        <w:tc>
          <w:tcPr>
            <w:tcW w:w="2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$_________________</w:t>
            </w:r>
          </w:p>
        </w:tc>
      </w:tr>
      <w:tr>
        <w:trPr>
          <w:trHeight w:val="432"/>
        </w:trPr>
        <w:tc>
          <w:tcPr>
            <w:tcW w:w="7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w:t>
            </w:r>
          </w:p>
        </w:tc>
        <w:tc>
          <w:tcPr>
            <w:tcW w:w="58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Minimum Cash Threshold (greater of line D and line E)</w:t>
            </w:r>
          </w:p>
        </w:tc>
        <w:tc>
          <w:tcPr>
            <w:tcW w:w="2240" w:type="dxa"/>
            <w:vAlign w:val="bottom"/>
          </w:tcPr>
          <w:p>
            <w:pPr>
              <w:spacing w:after="0"/>
              <w:rPr>
                <w:sz w:val="24"/>
                <w:szCs w:val="24"/>
                <w:color w:val="auto"/>
              </w:rPr>
            </w:pPr>
          </w:p>
        </w:tc>
        <w:tc>
          <w:tcPr>
            <w:tcW w:w="2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$_________________</w:t>
            </w:r>
          </w:p>
        </w:tc>
      </w:tr>
      <w:tr>
        <w:trPr>
          <w:trHeight w:val="648"/>
        </w:trPr>
        <w:tc>
          <w:tcPr>
            <w:tcW w:w="3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 Line C greater than Line F?</w:t>
            </w: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91"/>
        </w:trPr>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not in compliance</w:t>
            </w:r>
          </w:p>
        </w:tc>
        <w:tc>
          <w:tcPr>
            <w:tcW w:w="360" w:type="dxa"/>
            <w:vAlign w:val="bottom"/>
            <w:tcBorders>
              <w:bottom w:val="single" w:sz="8" w:color="auto"/>
            </w:tcBorders>
          </w:tcPr>
          <w:p>
            <w:pPr>
              <w:spacing w:after="0"/>
              <w:rPr>
                <w:sz w:val="24"/>
                <w:szCs w:val="24"/>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Yes, in compliance</w:t>
            </w:r>
          </w:p>
        </w:tc>
        <w:tc>
          <w:tcPr>
            <w:tcW w:w="22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53"/>
        </w:trPr>
        <w:tc>
          <w:tcPr>
            <w:tcW w:w="39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B.  Minimum EBITDA:</w:t>
            </w: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91"/>
        </w:trPr>
        <w:tc>
          <w:tcPr>
            <w:tcW w:w="6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Required: Trailing three (3) month EBITDA of at least the following amounts*:</w:t>
            </w:r>
          </w:p>
        </w:tc>
        <w:tc>
          <w:tcPr>
            <w:tcW w:w="22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73"/>
        </w:trPr>
        <w:tc>
          <w:tcPr>
            <w:tcW w:w="36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640" w:type="dxa"/>
            <w:vAlign w:val="bottom"/>
            <w:tcBorders>
              <w:bottom w:val="single" w:sz="8" w:color="auto"/>
            </w:tcBorders>
            <w:gridSpan w:val="2"/>
          </w:tcPr>
          <w:p>
            <w:pPr>
              <w:spacing w:after="0"/>
              <w:rPr>
                <w:sz w:val="23"/>
                <w:szCs w:val="23"/>
                <w:color w:val="auto"/>
              </w:rPr>
            </w:pPr>
          </w:p>
        </w:tc>
      </w:tr>
      <w:tr>
        <w:trPr>
          <w:trHeight w:val="198"/>
        </w:trPr>
        <w:tc>
          <w:tcPr>
            <w:tcW w:w="36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40" w:type="dxa"/>
            <w:vAlign w:val="bottom"/>
            <w:gridSpan w:val="2"/>
          </w:tcPr>
          <w:p>
            <w:pPr>
              <w:jc w:val="center"/>
              <w:ind w:left="8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Fiscal Quarter Ending</w:t>
            </w:r>
          </w:p>
        </w:tc>
        <w:tc>
          <w:tcPr>
            <w:tcW w:w="166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4640" w:type="dxa"/>
            <w:vAlign w:val="bottom"/>
            <w:tcBorders>
              <w:right w:val="single" w:sz="8" w:color="auto"/>
            </w:tcBorders>
            <w:gridSpan w:val="2"/>
          </w:tcPr>
          <w:p>
            <w:pPr>
              <w:jc w:val="center"/>
              <w:ind w:right="8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Minimum Trailing Three (3) Month EBIDTA</w:t>
            </w:r>
          </w:p>
        </w:tc>
      </w:tr>
      <w:tr>
        <w:trPr>
          <w:trHeight w:val="227"/>
        </w:trPr>
        <w:tc>
          <w:tcPr>
            <w:tcW w:w="36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spacing w:after="0"/>
              <w:rPr>
                <w:sz w:val="19"/>
                <w:szCs w:val="19"/>
                <w:color w:val="auto"/>
              </w:rPr>
            </w:pPr>
          </w:p>
        </w:tc>
      </w:tr>
      <w:tr>
        <w:trPr>
          <w:trHeight w:val="194"/>
        </w:trPr>
        <w:tc>
          <w:tcPr>
            <w:tcW w:w="36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gridSpan w:val="2"/>
          </w:tcPr>
          <w:p>
            <w:pPr>
              <w:jc w:val="center"/>
              <w:ind w:left="870"/>
              <w:spacing w:after="0" w:line="195" w:lineRule="exact"/>
              <w:rPr>
                <w:sz w:val="20"/>
                <w:szCs w:val="20"/>
                <w:color w:val="auto"/>
              </w:rPr>
            </w:pPr>
            <w:r>
              <w:rPr>
                <w:rFonts w:ascii="Times New Roman" w:cs="Times New Roman" w:eastAsia="Times New Roman" w:hAnsi="Times New Roman"/>
                <w:sz w:val="18"/>
                <w:szCs w:val="18"/>
                <w:color w:val="auto"/>
                <w:w w:val="99"/>
              </w:rPr>
              <w:t>September 30, 2025</w:t>
            </w:r>
          </w:p>
        </w:tc>
        <w:tc>
          <w:tcPr>
            <w:tcW w:w="166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2240" w:type="dxa"/>
            <w:vAlign w:val="bottom"/>
          </w:tcPr>
          <w:p>
            <w:pPr>
              <w:jc w:val="center"/>
              <w:ind w:left="1310"/>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2400" w:type="dxa"/>
            <w:vAlign w:val="bottom"/>
            <w:tcBorders>
              <w:right w:val="single" w:sz="8" w:color="auto"/>
            </w:tcBorders>
          </w:tcPr>
          <w:p>
            <w:pPr>
              <w:spacing w:after="0"/>
              <w:rPr>
                <w:sz w:val="16"/>
                <w:szCs w:val="16"/>
                <w:color w:val="auto"/>
              </w:rPr>
            </w:pPr>
          </w:p>
        </w:tc>
      </w:tr>
      <w:tr>
        <w:trPr>
          <w:trHeight w:val="194"/>
        </w:trPr>
        <w:tc>
          <w:tcPr>
            <w:tcW w:w="360" w:type="dxa"/>
            <w:vAlign w:val="bottom"/>
            <w:tcBorders>
              <w:left w:val="single" w:sz="8" w:color="auto"/>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spacing w:after="0"/>
              <w:rPr>
                <w:sz w:val="16"/>
                <w:szCs w:val="16"/>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4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December 31, 2025</w:t>
            </w:r>
          </w:p>
        </w:tc>
        <w:tc>
          <w:tcPr>
            <w:tcW w:w="166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22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w:t>
            </w:r>
          </w:p>
        </w:tc>
        <w:tc>
          <w:tcPr>
            <w:tcW w:w="2400" w:type="dxa"/>
            <w:vAlign w:val="bottom"/>
            <w:tcBorders>
              <w:right w:val="single" w:sz="8" w:color="auto"/>
            </w:tcBorders>
          </w:tcPr>
          <w:p>
            <w:pPr>
              <w:spacing w:after="0"/>
              <w:rPr>
                <w:sz w:val="19"/>
                <w:szCs w:val="19"/>
                <w:color w:val="auto"/>
              </w:rPr>
            </w:pPr>
          </w:p>
        </w:tc>
      </w:tr>
      <w:tr>
        <w:trPr>
          <w:trHeight w:val="198"/>
        </w:trPr>
        <w:tc>
          <w:tcPr>
            <w:tcW w:w="36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4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March 31, 2026</w:t>
            </w:r>
          </w:p>
        </w:tc>
        <w:tc>
          <w:tcPr>
            <w:tcW w:w="166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22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w:t>
            </w:r>
          </w:p>
        </w:tc>
        <w:tc>
          <w:tcPr>
            <w:tcW w:w="2400" w:type="dxa"/>
            <w:vAlign w:val="bottom"/>
            <w:tcBorders>
              <w:right w:val="single" w:sz="8" w:color="auto"/>
            </w:tcBorders>
          </w:tcPr>
          <w:p>
            <w:pPr>
              <w:spacing w:after="0"/>
              <w:rPr>
                <w:sz w:val="19"/>
                <w:szCs w:val="19"/>
                <w:color w:val="auto"/>
              </w:rPr>
            </w:pPr>
          </w:p>
        </w:tc>
      </w:tr>
      <w:tr>
        <w:trPr>
          <w:trHeight w:val="198"/>
        </w:trPr>
        <w:tc>
          <w:tcPr>
            <w:tcW w:w="36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June 30, 2026</w:t>
            </w:r>
          </w:p>
        </w:tc>
        <w:tc>
          <w:tcPr>
            <w:tcW w:w="166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22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w:t>
            </w:r>
          </w:p>
        </w:tc>
        <w:tc>
          <w:tcPr>
            <w:tcW w:w="2400" w:type="dxa"/>
            <w:vAlign w:val="bottom"/>
            <w:tcBorders>
              <w:right w:val="single" w:sz="8" w:color="auto"/>
            </w:tcBorders>
          </w:tcPr>
          <w:p>
            <w:pPr>
              <w:spacing w:after="0"/>
              <w:rPr>
                <w:sz w:val="19"/>
                <w:szCs w:val="19"/>
                <w:color w:val="auto"/>
              </w:rPr>
            </w:pPr>
          </w:p>
        </w:tc>
      </w:tr>
      <w:tr>
        <w:trPr>
          <w:trHeight w:val="198"/>
        </w:trPr>
        <w:tc>
          <w:tcPr>
            <w:tcW w:w="36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166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22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w:t>
            </w:r>
          </w:p>
        </w:tc>
        <w:tc>
          <w:tcPr>
            <w:tcW w:w="2400" w:type="dxa"/>
            <w:vAlign w:val="bottom"/>
            <w:tcBorders>
              <w:right w:val="single" w:sz="8" w:color="auto"/>
            </w:tcBorders>
          </w:tcPr>
          <w:p>
            <w:pPr>
              <w:spacing w:after="0"/>
              <w:rPr>
                <w:sz w:val="19"/>
                <w:szCs w:val="19"/>
                <w:color w:val="auto"/>
              </w:rPr>
            </w:pPr>
          </w:p>
        </w:tc>
      </w:tr>
      <w:tr>
        <w:trPr>
          <w:trHeight w:val="198"/>
        </w:trPr>
        <w:tc>
          <w:tcPr>
            <w:tcW w:w="36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4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December 31, 2026</w:t>
            </w:r>
          </w:p>
        </w:tc>
        <w:tc>
          <w:tcPr>
            <w:tcW w:w="166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22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w:t>
            </w:r>
          </w:p>
        </w:tc>
        <w:tc>
          <w:tcPr>
            <w:tcW w:w="2400" w:type="dxa"/>
            <w:vAlign w:val="bottom"/>
            <w:tcBorders>
              <w:right w:val="single" w:sz="8" w:color="auto"/>
            </w:tcBorders>
          </w:tcPr>
          <w:p>
            <w:pPr>
              <w:spacing w:after="0"/>
              <w:rPr>
                <w:sz w:val="19"/>
                <w:szCs w:val="19"/>
                <w:color w:val="auto"/>
              </w:rPr>
            </w:pPr>
          </w:p>
        </w:tc>
      </w:tr>
      <w:tr>
        <w:trPr>
          <w:trHeight w:val="198"/>
        </w:trPr>
        <w:tc>
          <w:tcPr>
            <w:tcW w:w="36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r>
      <w:tr>
        <w:trPr>
          <w:trHeight w:val="1620"/>
        </w:trPr>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See Section 5.8(b) for periods after December 31,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Actual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0"/>
        <w:spacing w:after="0"/>
        <w:tabs>
          <w:tab w:leader="none" w:pos="880" w:val="left"/>
          <w:tab w:leader="none" w:pos="101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900" w:hanging="683"/>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the determination of Net Income</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34"/>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w:t>
            </w: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2.</w:t>
            </w: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3.</w:t>
            </w: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4.</w:t>
            </w: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5.</w:t>
            </w: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6.</w:t>
            </w: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Extraordinary one-time expenses in an aggregate amount not to exceed the lesser of (A)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0" w:type="dxa"/>
            <w:vAlign w:val="bottom"/>
          </w:tcPr>
          <w:p>
            <w:pPr>
              <w:spacing w:after="0"/>
              <w:rPr>
                <w:sz w:val="20"/>
                <w:szCs w:val="20"/>
                <w:color w:val="auto"/>
              </w:rPr>
            </w:pP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10.0% of total EBITDA</w:t>
            </w:r>
          </w:p>
        </w:tc>
        <w:tc>
          <w:tcPr>
            <w:tcW w:w="1220" w:type="dxa"/>
            <w:vAlign w:val="bottom"/>
          </w:tcPr>
          <w:p>
            <w:pPr>
              <w:spacing w:after="0"/>
              <w:rPr>
                <w:sz w:val="20"/>
                <w:szCs w:val="20"/>
                <w:color w:val="auto"/>
              </w:rPr>
            </w:pPr>
          </w:p>
        </w:tc>
      </w:tr>
      <w:tr>
        <w:trPr>
          <w:trHeight w:val="256"/>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7.</w:t>
            </w: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one-time expenses, as approved by Bank in writing in its sole and absolute discretion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8.</w:t>
            </w: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sum of lines 1 through 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900" w:hanging="683"/>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(line A plus line B.8)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Line C equal to or greater than $__________*?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amount set forth above.</w:t>
      </w:r>
    </w:p>
    <w:p>
      <w:pPr>
        <w:sectPr>
          <w:pgSz w:w="11900" w:h="16838" w:orient="portrait"/>
          <w:cols w:equalWidth="0" w:num="1">
            <w:col w:w="11240"/>
          </w:cols>
          <w:pgMar w:left="320" w:top="1440" w:right="339" w:bottom="1440" w:gutter="0" w:footer="0" w:header="0"/>
        </w:sectPr>
      </w:pP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No, not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-635</wp:posOffset>
            </wp:positionV>
            <wp:extent cx="2286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Yes,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wp:posOffset>
            </wp:positionV>
            <wp:extent cx="2286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720"/>
            <w:col w:w="6820"/>
          </w:cols>
          <w:pgMar w:left="320" w:top="1440" w:right="33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Minimum Cash Trigger (Section 5.8(c))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Notwithstanding the provisions of Section 5.8(b), upon the occurrence of the Minimum Cash Trigger Event, and at all times thereafter, Borrower shall maintain, to be tested as of the last day of each fiscal quarter, Minimum Cash in an amount of at least than the Minimum Cash Threshold.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Actual:</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Has Borrower failed to maintain active sales of a product under emergency use authorization, biologics license application, and/or any other approval by the FDA, as determined by Bank in its sole and absolute discretion?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covenant not tested</w:t>
            </w:r>
          </w:p>
        </w:tc>
        <w:tc>
          <w:tcPr>
            <w:tcW w:w="360" w:type="dxa"/>
            <w:vAlign w:val="bottom"/>
            <w:tcBorders>
              <w:bottom w:val="single" w:sz="8" w:color="auto"/>
            </w:tcBorders>
          </w:tcPr>
          <w:p>
            <w:pPr>
              <w:spacing w:after="0"/>
              <w:rPr>
                <w:sz w:val="18"/>
                <w:szCs w:val="18"/>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Yes, covenant tested</w:t>
            </w:r>
          </w:p>
        </w:tc>
        <w:tc>
          <w:tcPr>
            <w:tcW w:w="2440" w:type="dxa"/>
            <w:vAlign w:val="bottom"/>
          </w:tcPr>
          <w:p>
            <w:pPr>
              <w:spacing w:after="0"/>
              <w:rPr>
                <w:sz w:val="18"/>
                <w:szCs w:val="18"/>
                <w:color w:val="auto"/>
              </w:rPr>
            </w:pPr>
          </w:p>
        </w:tc>
      </w:tr>
      <w:tr>
        <w:trPr>
          <w:trHeight w:val="650"/>
        </w:trPr>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Borrower’s unrestricted and unencumbered cash and Cash Equivalents in the name of Borrower maintained</w:t>
            </w:r>
          </w:p>
        </w:tc>
        <w:tc>
          <w:tcPr>
            <w:tcW w:w="24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$_________________</w:t>
            </w:r>
          </w:p>
        </w:tc>
      </w:tr>
      <w:tr>
        <w:trPr>
          <w:trHeight w:val="234"/>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 Bank or Bank’s Affiliates</w:t>
            </w:r>
          </w:p>
        </w:tc>
        <w:tc>
          <w:tcPr>
            <w:tcW w:w="3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1627"/>
        </w:trPr>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3" w:name="page54"/>
    <w:bookmarkEnd w:id="53"/>
    <w:tbl>
      <w:tblPr>
        <w:tblLayout w:type="fixed"/>
        <w:tblInd w:w="2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Borrower’s unrestricted and unencumbered cash maintained in accounts subject to a Control Agreement in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w:t>
            </w:r>
          </w:p>
        </w:tc>
      </w:tr>
      <w:tr>
        <w:trPr>
          <w:trHeight w:val="216"/>
        </w:trPr>
        <w:tc>
          <w:tcPr>
            <w:tcW w:w="42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favor of Bank, provided that (i) Bank has a first priority perfected security interest in the amounts held in</w:t>
            </w:r>
          </w:p>
        </w:tc>
        <w:tc>
          <w:tcPr>
            <w:tcW w:w="176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such accounts and (ii) such accounts are permitted to be maintained pursuant to Section 5.7(a)</w:t>
            </w:r>
          </w:p>
        </w:tc>
        <w:tc>
          <w:tcPr>
            <w:tcW w:w="176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Minimum Cash (line A plus line B)</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Burn (expressed as a positive number), plus the aggregate amount of outstanding Term Loan Advances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Aggregate amount of outstanding Term Loan Advances, multiplied by two (2)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Minimum Cash Threshold (greater of line D and line 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Line C greater than Line F?</w:t>
      </w:r>
    </w:p>
    <w:p>
      <w:pPr>
        <w:spacing w:after="0" w:line="225" w:lineRule="exact"/>
        <w:rPr>
          <w:sz w:val="20"/>
          <w:szCs w:val="20"/>
          <w:color w:val="auto"/>
        </w:rPr>
      </w:pPr>
    </w:p>
    <w:p>
      <w:pPr>
        <w:ind w:left="820"/>
        <w:spacing w:after="0"/>
        <w:tabs>
          <w:tab w:leader="none" w:pos="4040" w:val="left"/>
        </w:tabs>
        <w:rPr>
          <w:sz w:val="20"/>
          <w:szCs w:val="20"/>
          <w:color w:val="auto"/>
        </w:rPr>
      </w:pPr>
      <w:r>
        <w:rPr>
          <w:rFonts w:ascii="Times New Roman" w:cs="Times New Roman" w:eastAsia="Times New Roman" w:hAnsi="Times New Roman"/>
          <w:sz w:val="18"/>
          <w:szCs w:val="18"/>
          <w:color w:val="auto"/>
        </w:rPr>
        <w:t>No, not in compliance</w:t>
      </w:r>
      <w:r>
        <w:rPr>
          <w:sz w:val="20"/>
          <w:szCs w:val="20"/>
          <w:color w:val="auto"/>
        </w:rPr>
        <w:tab/>
      </w:r>
      <w:r>
        <w:rPr>
          <w:rFonts w:ascii="Times New Roman" w:cs="Times New Roman" w:eastAsia="Times New Roman" w:hAnsi="Times New Roman"/>
          <w:sz w:val="17"/>
          <w:szCs w:val="17"/>
          <w:color w:val="auto"/>
        </w:rPr>
        <w:t>Yes,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1444625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-7620</wp:posOffset>
            </wp:positionV>
            <wp:extent cx="2286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2290445</wp:posOffset>
            </wp:positionH>
            <wp:positionV relativeFrom="paragraph">
              <wp:posOffset>-7620</wp:posOffset>
            </wp:positionV>
            <wp:extent cx="2286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ectPr>
          <w:pgSz w:w="11900" w:h="16838" w:orient="portrait"/>
          <w:cols w:equalWidth="0" w:num="1">
            <w:col w:w="10600"/>
          </w:cols>
          <w:pgMar w:left="320" w:top="1417" w:right="979" w:bottom="1440" w:gutter="0" w:footer="0" w:header="0"/>
        </w:sectPr>
      </w:pPr>
    </w:p>
    <w:bookmarkStart w:id="54" w:name="page55"/>
    <w:bookmarkEnd w:id="5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LOAN PAYMENT/ADVANCE REQUEST FORM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eadline for same day processing 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acific</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ime</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Date:</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260" w:type="dxa"/>
            <w:vAlign w:val="bottom"/>
            <w:tcBorders>
              <w:bottom w:val="single" w:sz="8" w:color="auto"/>
            </w:tcBorders>
          </w:tcPr>
          <w:p>
            <w:pPr>
              <w:spacing w:after="0"/>
              <w:rPr>
                <w:sz w:val="7"/>
                <w:szCs w:val="7"/>
                <w:color w:val="auto"/>
              </w:rPr>
            </w:pPr>
          </w:p>
        </w:tc>
        <w:tc>
          <w:tcPr>
            <w:tcW w:w="25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120" w:type="dxa"/>
            <w:vAlign w:val="bottom"/>
            <w:tcBorders>
              <w:top w:val="single" w:sz="8" w:color="auto"/>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480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oan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w:t>
            </w:r>
          </w:p>
        </w:tc>
        <w:tc>
          <w:tcPr>
            <w:tcW w:w="5860" w:type="dxa"/>
            <w:vAlign w:val="bottom"/>
            <w:gridSpan w:val="5"/>
            <w:vMerge w:val="restart"/>
          </w:tcPr>
          <w:p>
            <w:pPr>
              <w:ind w:left="220"/>
              <w:spacing w:after="0"/>
              <w:rPr>
                <w:sz w:val="20"/>
                <w:szCs w:val="20"/>
                <w:color w:val="auto"/>
              </w:rPr>
            </w:pPr>
            <w:r>
              <w:rPr>
                <w:rFonts w:ascii="Times New Roman" w:cs="Times New Roman" w:eastAsia="Times New Roman" w:hAnsi="Times New Roman"/>
                <w:sz w:val="18"/>
                <w:szCs w:val="18"/>
                <w:color w:val="auto"/>
              </w:rPr>
              <w:t>INVIVYD, INC.</w:t>
            </w:r>
          </w:p>
        </w:tc>
        <w:tc>
          <w:tcPr>
            <w:tcW w:w="30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260" w:type="dxa"/>
            <w:vAlign w:val="bottom"/>
            <w:tcBorders>
              <w:left w:val="single" w:sz="8" w:color="auto"/>
            </w:tcBorders>
          </w:tcPr>
          <w:p>
            <w:pPr>
              <w:spacing w:after="0"/>
              <w:rPr>
                <w:sz w:val="16"/>
                <w:szCs w:val="16"/>
                <w:color w:val="auto"/>
              </w:rPr>
            </w:pPr>
          </w:p>
        </w:tc>
        <w:tc>
          <w:tcPr>
            <w:tcW w:w="2540" w:type="dxa"/>
            <w:vAlign w:val="bottom"/>
          </w:tcPr>
          <w:p>
            <w:pPr>
              <w:spacing w:after="0"/>
              <w:rPr>
                <w:sz w:val="16"/>
                <w:szCs w:val="16"/>
                <w:color w:val="auto"/>
              </w:rPr>
            </w:pPr>
          </w:p>
        </w:tc>
        <w:tc>
          <w:tcPr>
            <w:tcW w:w="5860" w:type="dxa"/>
            <w:vAlign w:val="bottom"/>
            <w:gridSpan w:val="5"/>
            <w:vMerge w:val="continue"/>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80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From Account #</w:t>
            </w:r>
          </w:p>
        </w:tc>
        <w:tc>
          <w:tcPr>
            <w:tcW w:w="600" w:type="dxa"/>
            <w:vAlign w:val="bottom"/>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To Account #</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tcBorders>
          </w:tcPr>
          <w:p>
            <w:pPr>
              <w:spacing w:after="0"/>
              <w:rPr>
                <w:sz w:val="18"/>
                <w:szCs w:val="18"/>
                <w:color w:val="auto"/>
              </w:rPr>
            </w:pPr>
          </w:p>
        </w:tc>
        <w:tc>
          <w:tcPr>
            <w:tcW w:w="25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(Deposit Account #)</w:t>
            </w:r>
          </w:p>
        </w:tc>
        <w:tc>
          <w:tcPr>
            <w:tcW w:w="600" w:type="dxa"/>
            <w:vAlign w:val="bottom"/>
            <w:tcBorders>
              <w:top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(Loan Account #)</w:t>
            </w:r>
          </w:p>
        </w:tc>
        <w:tc>
          <w:tcPr>
            <w:tcW w:w="300" w:type="dxa"/>
            <w:vAlign w:val="bottom"/>
            <w:tcBorders>
              <w:top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2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Principal $</w:t>
            </w:r>
          </w:p>
        </w:tc>
        <w:tc>
          <w:tcPr>
            <w:tcW w:w="2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and/or Interest $</w:t>
            </w:r>
          </w:p>
        </w:tc>
        <w:tc>
          <w:tcPr>
            <w:tcW w:w="3600" w:type="dxa"/>
            <w:vAlign w:val="bottom"/>
            <w:tcBorders>
              <w:bottom w:val="single" w:sz="8" w:color="auto"/>
            </w:tcBorders>
            <w:gridSpan w:val="2"/>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26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Authorized Signature:</w:t>
            </w:r>
          </w:p>
        </w:tc>
        <w:tc>
          <w:tcPr>
            <w:tcW w:w="2540" w:type="dxa"/>
            <w:vAlign w:val="bottom"/>
            <w:vMerge w:val="restart"/>
          </w:tcPr>
          <w:p>
            <w:pPr>
              <w:spacing w:after="0"/>
              <w:rPr>
                <w:sz w:val="7"/>
                <w:szCs w:val="7"/>
                <w:color w:val="auto"/>
              </w:rPr>
            </w:pPr>
          </w:p>
        </w:tc>
        <w:tc>
          <w:tcPr>
            <w:tcW w:w="600" w:type="dxa"/>
            <w:vAlign w:val="bottom"/>
          </w:tcPr>
          <w:p>
            <w:pPr>
              <w:spacing w:after="0"/>
              <w:rPr>
                <w:sz w:val="7"/>
                <w:szCs w:val="7"/>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Phone Number:</w:t>
            </w:r>
          </w:p>
        </w:tc>
        <w:tc>
          <w:tcPr>
            <w:tcW w:w="3600" w:type="dxa"/>
            <w:vAlign w:val="bottom"/>
            <w:gridSpan w:val="2"/>
            <w:vMerge w:val="restart"/>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260" w:type="dxa"/>
            <w:vAlign w:val="bottom"/>
            <w:tcBorders>
              <w:left w:val="single" w:sz="8" w:color="auto"/>
            </w:tcBorders>
            <w:vMerge w:val="continue"/>
          </w:tcPr>
          <w:p>
            <w:pPr>
              <w:spacing w:after="0"/>
              <w:rPr>
                <w:sz w:val="24"/>
                <w:szCs w:val="24"/>
                <w:color w:val="auto"/>
              </w:rPr>
            </w:pPr>
          </w:p>
        </w:tc>
        <w:tc>
          <w:tcPr>
            <w:tcW w:w="254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60" w:type="dxa"/>
            <w:vAlign w:val="bottom"/>
            <w:gridSpan w:val="2"/>
            <w:vMerge w:val="continue"/>
          </w:tcPr>
          <w:p>
            <w:pPr>
              <w:spacing w:after="0"/>
              <w:rPr>
                <w:sz w:val="24"/>
                <w:szCs w:val="24"/>
                <w:color w:val="auto"/>
              </w:rPr>
            </w:pPr>
          </w:p>
        </w:tc>
        <w:tc>
          <w:tcPr>
            <w:tcW w:w="3600" w:type="dxa"/>
            <w:vAlign w:val="bottom"/>
            <w:tcBorders>
              <w:bottom w:val="single" w:sz="8" w:color="auto"/>
            </w:tcBorders>
            <w:gridSpan w:val="2"/>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0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Print Name/Title:</w:t>
            </w: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260" w:type="dxa"/>
            <w:vAlign w:val="bottom"/>
            <w:tcBorders>
              <w:left w:val="single" w:sz="8" w:color="auto"/>
              <w:bottom w:val="single" w:sz="8" w:color="auto"/>
            </w:tcBorders>
          </w:tcPr>
          <w:p>
            <w:pPr>
              <w:spacing w:after="0"/>
              <w:rPr>
                <w:sz w:val="7"/>
                <w:szCs w:val="7"/>
                <w:color w:val="auto"/>
              </w:rPr>
            </w:pPr>
          </w:p>
        </w:tc>
        <w:tc>
          <w:tcPr>
            <w:tcW w:w="254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3120" w:type="dxa"/>
            <w:vAlign w:val="bottom"/>
            <w:tcBorders>
              <w:top w:val="single" w:sz="8" w:color="auto"/>
              <w:bottom w:val="single" w:sz="8" w:color="auto"/>
            </w:tcBorders>
          </w:tcPr>
          <w:p>
            <w:pPr>
              <w:spacing w:after="0"/>
              <w:rPr>
                <w:sz w:val="7"/>
                <w:szCs w:val="7"/>
                <w:color w:val="auto"/>
              </w:rPr>
            </w:pPr>
          </w:p>
        </w:tc>
        <w:tc>
          <w:tcPr>
            <w:tcW w:w="300" w:type="dxa"/>
            <w:vAlign w:val="bottom"/>
            <w:tcBorders>
              <w:top w:val="single" w:sz="8" w:color="auto"/>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-1126490</wp:posOffset>
            </wp:positionV>
            <wp:extent cx="33655"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24003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-774700</wp:posOffset>
            </wp:positionV>
            <wp:extent cx="33655" cy="7194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719455"/>
                    </a:xfrm>
                    <a:prstGeom prst="rect">
                      <a:avLst/>
                    </a:prstGeom>
                    <a:noFill/>
                  </pic:spPr>
                </pic:pic>
              </a:graphicData>
            </a:graphic>
          </wp:anchor>
        </w:drawing>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oan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dvance</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45020" cy="24174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5020" cy="2417445"/>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Complete </w:t>
      </w:r>
      <w:r>
        <w:rPr>
          <w:rFonts w:ascii="Times New Roman" w:cs="Times New Roman" w:eastAsia="Times New Roman" w:hAnsi="Times New Roman"/>
          <w:sz w:val="18"/>
          <w:szCs w:val="18"/>
          <w:i w:val="1"/>
          <w:iCs w:val="1"/>
          <w:color w:val="auto"/>
        </w:rPr>
        <w:t>Outgoing Wire Request</w:t>
      </w:r>
      <w:r>
        <w:rPr>
          <w:rFonts w:ascii="Times New Roman" w:cs="Times New Roman" w:eastAsia="Times New Roman" w:hAnsi="Times New Roman"/>
          <w:sz w:val="18"/>
          <w:szCs w:val="18"/>
          <w:color w:val="auto"/>
        </w:rPr>
        <w:t xml:space="preserve"> section below if all or a portion of the funds from this loan advance are for an outgoing wire.</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Account #</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Account #</w:t>
            </w:r>
          </w:p>
        </w:tc>
      </w:tr>
      <w:tr>
        <w:trPr>
          <w:trHeight w:val="228"/>
        </w:trPr>
        <w:tc>
          <w:tcPr>
            <w:tcW w:w="2140" w:type="dxa"/>
            <w:vAlign w:val="bottom"/>
          </w:tcPr>
          <w:p>
            <w:pPr>
              <w:spacing w:after="0"/>
              <w:rPr>
                <w:sz w:val="19"/>
                <w:szCs w:val="19"/>
                <w:color w:val="auto"/>
              </w:rPr>
            </w:pPr>
          </w:p>
        </w:tc>
        <w:tc>
          <w:tcPr>
            <w:tcW w:w="314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(Loan Account #)</w:t>
            </w:r>
          </w:p>
        </w:tc>
        <w:tc>
          <w:tcPr>
            <w:tcW w:w="1360" w:type="dxa"/>
            <w:vAlign w:val="bottom"/>
          </w:tcPr>
          <w:p>
            <w:pPr>
              <w:spacing w:after="0"/>
              <w:rPr>
                <w:sz w:val="19"/>
                <w:szCs w:val="19"/>
                <w:color w:val="auto"/>
              </w:rPr>
            </w:pPr>
          </w:p>
        </w:tc>
        <w:tc>
          <w:tcPr>
            <w:tcW w:w="4200" w:type="dxa"/>
            <w:vAlign w:val="bottom"/>
            <w:tcBorders>
              <w:top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(Deposit Account #)</w:t>
            </w:r>
          </w:p>
        </w:tc>
      </w:tr>
    </w:tbl>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Amount of Advance $ ______________________ </w:t>
      </w:r>
      <w:r>
        <w:rPr>
          <w:rFonts w:ascii="Times New Roman" w:cs="Times New Roman" w:eastAsia="Times New Roman" w:hAnsi="Times New Roman"/>
          <w:sz w:val="18"/>
          <w:szCs w:val="18"/>
          <w:i w:val="1"/>
          <w:iCs w:val="1"/>
          <w:color w:val="auto"/>
        </w:rPr>
        <w:t>(complete if requesting from Revolving Line)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Amount of Term Loan Advance $ ______________________ </w:t>
      </w:r>
      <w:r>
        <w:rPr>
          <w:rFonts w:ascii="Times New Roman" w:cs="Times New Roman" w:eastAsia="Times New Roman" w:hAnsi="Times New Roman"/>
          <w:sz w:val="18"/>
          <w:szCs w:val="18"/>
          <w:i w:val="1"/>
          <w:iCs w:val="1"/>
          <w:color w:val="auto"/>
        </w:rPr>
        <w:t>(complete if requesting from Term Loan Availability Amount)</w:t>
      </w:r>
    </w:p>
    <w:p>
      <w:pPr>
        <w:spacing w:after="0" w:line="227" w:lineRule="exact"/>
        <w:rPr>
          <w:sz w:val="20"/>
          <w:szCs w:val="20"/>
          <w:color w:val="auto"/>
        </w:rPr>
      </w:pPr>
    </w:p>
    <w:p>
      <w:pPr>
        <w:jc w:val="both"/>
        <w:ind w:left="120" w:right="380"/>
        <w:spacing w:after="0" w:line="261" w:lineRule="auto"/>
        <w:rPr>
          <w:sz w:val="20"/>
          <w:szCs w:val="20"/>
          <w:color w:val="auto"/>
        </w:rPr>
      </w:pPr>
      <w:r>
        <w:rPr>
          <w:rFonts w:ascii="Times New Roman" w:cs="Times New Roman" w:eastAsia="Times New Roman" w:hAnsi="Times New Roman"/>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w:t>
      </w:r>
    </w:p>
    <w:p>
      <w:pPr>
        <w:spacing w:after="0" w:line="166" w:lineRule="exact"/>
        <w:rPr>
          <w:sz w:val="20"/>
          <w:szCs w:val="20"/>
          <w:color w:val="auto"/>
        </w:rPr>
      </w:pPr>
    </w:p>
    <w:p>
      <w:pPr>
        <w:ind w:left="120"/>
        <w:spacing w:after="0"/>
        <w:tabs>
          <w:tab w:leader="none" w:pos="5480" w:val="left"/>
        </w:tabs>
        <w:rPr>
          <w:sz w:val="20"/>
          <w:szCs w:val="20"/>
          <w:color w:val="auto"/>
        </w:rPr>
      </w:pPr>
      <w:r>
        <w:rPr>
          <w:rFonts w:ascii="Times New Roman" w:cs="Times New Roman" w:eastAsia="Times New Roman" w:hAnsi="Times New Roman"/>
          <w:sz w:val="18"/>
          <w:szCs w:val="18"/>
          <w:color w:val="auto"/>
        </w:rPr>
        <w:t>Authorized Signature:</w:t>
      </w:r>
      <w:r>
        <w:rPr>
          <w:sz w:val="20"/>
          <w:szCs w:val="20"/>
          <w:color w:val="auto"/>
        </w:rPr>
        <w:tab/>
      </w:r>
      <w:r>
        <w:rPr>
          <w:rFonts w:ascii="Times New Roman" w:cs="Times New Roman" w:eastAsia="Times New Roman" w:hAnsi="Times New Roman"/>
          <w:sz w:val="17"/>
          <w:szCs w:val="17"/>
          <w:color w:val="auto"/>
        </w:rPr>
        <w:t>Phone Number:</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Print Name/Title:</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utgoing</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ire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equest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45020" cy="1054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5020" cy="105410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Complete only if all or a portion of funds from the loan advance above is to be wired.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Deadline for same day processing is noon, Pacific Time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Beneficiary Name:</w:t>
            </w:r>
          </w:p>
        </w:tc>
        <w:tc>
          <w:tcPr>
            <w:tcW w:w="3500" w:type="dxa"/>
            <w:vAlign w:val="bottom"/>
            <w:tcBorders>
              <w:bottom w:val="single" w:sz="8" w:color="auto"/>
            </w:tcBorders>
          </w:tcPr>
          <w:p>
            <w:pPr>
              <w:spacing w:after="0"/>
              <w:rPr>
                <w:sz w:val="20"/>
                <w:szCs w:val="20"/>
                <w:color w:val="auto"/>
              </w:rPr>
            </w:pPr>
          </w:p>
        </w:tc>
        <w:tc>
          <w:tcPr>
            <w:tcW w:w="2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of Wire: $</w:t>
            </w:r>
          </w:p>
        </w:tc>
        <w:tc>
          <w:tcPr>
            <w:tcW w:w="3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318"/>
        </w:trPr>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Beneficiary Bank:</w:t>
            </w:r>
          </w:p>
        </w:tc>
        <w:tc>
          <w:tcPr>
            <w:tcW w:w="3500" w:type="dxa"/>
            <w:vAlign w:val="bottom"/>
          </w:tcPr>
          <w:p>
            <w:pPr>
              <w:spacing w:after="0"/>
              <w:rPr>
                <w:sz w:val="24"/>
                <w:szCs w:val="24"/>
                <w:color w:val="auto"/>
              </w:rPr>
            </w:pPr>
          </w:p>
        </w:tc>
        <w:tc>
          <w:tcPr>
            <w:tcW w:w="5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Account Number:</w:t>
            </w:r>
          </w:p>
        </w:tc>
      </w:tr>
      <w:tr>
        <w:trPr>
          <w:trHeight w:val="304"/>
        </w:trPr>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City and State</w:t>
            </w:r>
          </w:p>
        </w:tc>
        <w:tc>
          <w:tcPr>
            <w:tcW w:w="3500" w:type="dxa"/>
            <w:vAlign w:val="bottom"/>
            <w:tcBorders>
              <w:top w:val="single" w:sz="8" w:color="auto"/>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350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1404"/>
        </w:trPr>
        <w:tc>
          <w:tcPr>
            <w:tcW w:w="19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899160</wp:posOffset>
            </wp:positionV>
            <wp:extent cx="7145020" cy="21297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5020" cy="2129790"/>
                    </a:xfrm>
                    <a:prstGeom prst="rect">
                      <a:avLst/>
                    </a:prstGeom>
                    <a:noFill/>
                  </pic:spPr>
                </pic:pic>
              </a:graphicData>
            </a:graphic>
          </wp:anchor>
        </w:drawing>
      </w:r>
    </w:p>
    <w:p>
      <w:pPr>
        <w:ind w:left="120"/>
        <w:spacing w:after="0"/>
        <w:tabs>
          <w:tab w:leader="none" w:pos="5480" w:val="left"/>
        </w:tabs>
        <w:rPr>
          <w:sz w:val="20"/>
          <w:szCs w:val="20"/>
          <w:color w:val="auto"/>
        </w:rPr>
      </w:pPr>
      <w:r>
        <w:rPr>
          <w:rFonts w:ascii="Times New Roman" w:cs="Times New Roman" w:eastAsia="Times New Roman" w:hAnsi="Times New Roman"/>
          <w:sz w:val="18"/>
          <w:szCs w:val="18"/>
          <w:color w:val="auto"/>
        </w:rPr>
        <w:t>Beneficiary Bank Transit (ABA) #:</w:t>
      </w:r>
      <w:r>
        <w:rPr>
          <w:sz w:val="20"/>
          <w:szCs w:val="20"/>
          <w:color w:val="auto"/>
        </w:rPr>
        <w:tab/>
      </w:r>
      <w:r>
        <w:rPr>
          <w:rFonts w:ascii="Times New Roman" w:cs="Times New Roman" w:eastAsia="Times New Roman" w:hAnsi="Times New Roman"/>
          <w:sz w:val="18"/>
          <w:szCs w:val="18"/>
          <w:color w:val="auto"/>
        </w:rPr>
        <w:t xml:space="preserve">Beneficiary Bank Code </w:t>
      </w:r>
      <w:r>
        <w:rPr>
          <w:rFonts w:ascii="Times New Roman" w:cs="Times New Roman" w:eastAsia="Times New Roman" w:hAnsi="Times New Roman"/>
          <w:sz w:val="16"/>
          <w:szCs w:val="16"/>
          <w:color w:val="auto"/>
        </w:rPr>
        <w:t>(Swift, Sort, Chip, etc.)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(For International Wires Only)</w:t>
      </w:r>
    </w:p>
    <w:p>
      <w:pPr>
        <w:spacing w:after="0" w:line="112" w:lineRule="exact"/>
        <w:rPr>
          <w:sz w:val="20"/>
          <w:szCs w:val="20"/>
          <w:color w:val="auto"/>
        </w:rPr>
      </w:pPr>
    </w:p>
    <w:p>
      <w:pPr>
        <w:ind w:left="120"/>
        <w:spacing w:after="0"/>
        <w:tabs>
          <w:tab w:leader="none" w:pos="5480" w:val="left"/>
        </w:tabs>
        <w:rPr>
          <w:sz w:val="20"/>
          <w:szCs w:val="20"/>
          <w:color w:val="auto"/>
        </w:rPr>
      </w:pPr>
      <w:r>
        <w:rPr>
          <w:rFonts w:ascii="Times New Roman" w:cs="Times New Roman" w:eastAsia="Times New Roman" w:hAnsi="Times New Roman"/>
          <w:sz w:val="18"/>
          <w:szCs w:val="18"/>
          <w:color w:val="auto"/>
        </w:rPr>
        <w:t>Intermediary Bank:</w:t>
      </w:r>
      <w:r>
        <w:rPr>
          <w:sz w:val="20"/>
          <w:szCs w:val="20"/>
          <w:color w:val="auto"/>
        </w:rPr>
        <w:tab/>
      </w:r>
      <w:r>
        <w:rPr>
          <w:rFonts w:ascii="Times New Roman" w:cs="Times New Roman" w:eastAsia="Times New Roman" w:hAnsi="Times New Roman"/>
          <w:sz w:val="17"/>
          <w:szCs w:val="17"/>
          <w:color w:val="auto"/>
        </w:rPr>
        <w:t>Transit (ABA) #:</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Further Credit to:</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Special Instructions</w:t>
      </w:r>
    </w:p>
    <w:p>
      <w:pPr>
        <w:spacing w:after="0" w:line="237" w:lineRule="exact"/>
        <w:rPr>
          <w:sz w:val="20"/>
          <w:szCs w:val="20"/>
          <w:color w:val="auto"/>
        </w:rPr>
      </w:pPr>
    </w:p>
    <w:p>
      <w:pPr>
        <w:ind w:left="120" w:right="120"/>
        <w:spacing w:after="0" w:line="284" w:lineRule="auto"/>
        <w:rPr>
          <w:sz w:val="20"/>
          <w:szCs w:val="20"/>
          <w:color w:val="auto"/>
        </w:rPr>
      </w:pPr>
      <w:r>
        <w:rPr>
          <w:rFonts w:ascii="Times New Roman" w:cs="Times New Roman" w:eastAsia="Times New Roman" w:hAnsi="Times New Roman"/>
          <w:sz w:val="18"/>
          <w:szCs w:val="18"/>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Authorized Signature:</w:t>
            </w:r>
          </w:p>
        </w:tc>
        <w:tc>
          <w:tcPr>
            <w:tcW w:w="3040" w:type="dxa"/>
            <w:vAlign w:val="bottom"/>
            <w:tcBorders>
              <w:bottom w:val="single" w:sz="8" w:color="auto"/>
            </w:tcBorders>
          </w:tcPr>
          <w:p>
            <w:pPr>
              <w:spacing w:after="0"/>
              <w:rPr>
                <w:sz w:val="23"/>
                <w:szCs w:val="23"/>
                <w:color w:val="auto"/>
              </w:rPr>
            </w:pP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Signature </w:t>
            </w:r>
            <w:r>
              <w:rPr>
                <w:rFonts w:ascii="Times New Roman" w:cs="Times New Roman" w:eastAsia="Times New Roman" w:hAnsi="Times New Roman"/>
                <w:sz w:val="16"/>
                <w:szCs w:val="16"/>
                <w:color w:val="auto"/>
              </w:rPr>
              <w:t>(if required)</w:t>
            </w:r>
            <w:r>
              <w:rPr>
                <w:rFonts w:ascii="Times New Roman" w:cs="Times New Roman" w:eastAsia="Times New Roman" w:hAnsi="Times New Roman"/>
                <w:sz w:val="18"/>
                <w:szCs w:val="18"/>
                <w:color w:val="auto"/>
              </w:rPr>
              <w:t>:</w:t>
            </w:r>
          </w:p>
        </w:tc>
        <w:tc>
          <w:tcPr>
            <w:tcW w:w="304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r>
      <w:tr>
        <w:trPr>
          <w:trHeight w:val="318"/>
        </w:trPr>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Print Name/Title:</w:t>
            </w:r>
          </w:p>
        </w:tc>
        <w:tc>
          <w:tcPr>
            <w:tcW w:w="4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Print Name/Title:</w:t>
            </w:r>
          </w:p>
        </w:tc>
        <w:tc>
          <w:tcPr>
            <w:tcW w:w="3740" w:type="dxa"/>
            <w:vAlign w:val="bottom"/>
            <w:tcBorders>
              <w:bottom w:val="single" w:sz="8" w:color="auto"/>
            </w:tcBorders>
            <w:gridSpan w:val="2"/>
          </w:tcPr>
          <w:p>
            <w:pPr>
              <w:spacing w:after="0"/>
              <w:rPr>
                <w:sz w:val="24"/>
                <w:szCs w:val="24"/>
                <w:color w:val="auto"/>
              </w:rPr>
            </w:pPr>
          </w:p>
        </w:tc>
        <w:tc>
          <w:tcPr>
            <w:tcW w:w="280" w:type="dxa"/>
            <w:vAlign w:val="bottom"/>
          </w:tcPr>
          <w:p>
            <w:pPr>
              <w:spacing w:after="0"/>
              <w:rPr>
                <w:sz w:val="24"/>
                <w:szCs w:val="24"/>
                <w:color w:val="auto"/>
              </w:rPr>
            </w:pPr>
          </w:p>
        </w:tc>
      </w:tr>
      <w:tr>
        <w:trPr>
          <w:trHeight w:val="318"/>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Phone Number:</w:t>
            </w:r>
          </w:p>
        </w:tc>
        <w:tc>
          <w:tcPr>
            <w:tcW w:w="3040" w:type="dxa"/>
            <w:vAlign w:val="bottom"/>
          </w:tcPr>
          <w:p>
            <w:pPr>
              <w:spacing w:after="0"/>
              <w:rPr>
                <w:sz w:val="24"/>
                <w:szCs w:val="24"/>
                <w:color w:val="auto"/>
              </w:rPr>
            </w:pPr>
          </w:p>
        </w:tc>
        <w:tc>
          <w:tcPr>
            <w:tcW w:w="58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Phone Number:</w:t>
            </w:r>
          </w:p>
        </w:tc>
      </w:tr>
      <w:tr>
        <w:trPr>
          <w:trHeight w:val="2161"/>
        </w:trPr>
        <w:tc>
          <w:tcPr>
            <w:tcW w:w="1920" w:type="dxa"/>
            <w:vAlign w:val="bottom"/>
            <w:tcBorders>
              <w:bottom w:val="single" w:sz="8" w:color="9A9A9A"/>
            </w:tcBorders>
          </w:tcPr>
          <w:p>
            <w:pPr>
              <w:spacing w:after="0"/>
              <w:rPr>
                <w:sz w:val="24"/>
                <w:szCs w:val="24"/>
                <w:color w:val="auto"/>
              </w:rPr>
            </w:pPr>
          </w:p>
        </w:tc>
        <w:tc>
          <w:tcPr>
            <w:tcW w:w="440" w:type="dxa"/>
            <w:vAlign w:val="bottom"/>
            <w:tcBorders>
              <w:top w:val="single" w:sz="8" w:color="auto"/>
              <w:bottom w:val="single" w:sz="8" w:color="9A9A9A"/>
            </w:tcBorders>
          </w:tcPr>
          <w:p>
            <w:pPr>
              <w:spacing w:after="0"/>
              <w:rPr>
                <w:sz w:val="24"/>
                <w:szCs w:val="24"/>
                <w:color w:val="auto"/>
              </w:rPr>
            </w:pPr>
          </w:p>
        </w:tc>
        <w:tc>
          <w:tcPr>
            <w:tcW w:w="3040" w:type="dxa"/>
            <w:vAlign w:val="bottom"/>
            <w:tcBorders>
              <w:top w:val="single" w:sz="8" w:color="auto"/>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700" w:type="dxa"/>
            <w:vAlign w:val="bottom"/>
            <w:tcBorders>
              <w:top w:val="single" w:sz="8" w:color="auto"/>
              <w:bottom w:val="single" w:sz="8" w:color="9A9A9A"/>
            </w:tcBorders>
          </w:tcPr>
          <w:p>
            <w:pPr>
              <w:spacing w:after="0"/>
              <w:rPr>
                <w:sz w:val="24"/>
                <w:szCs w:val="24"/>
                <w:color w:val="auto"/>
              </w:rPr>
            </w:pPr>
          </w:p>
        </w:tc>
        <w:tc>
          <w:tcPr>
            <w:tcW w:w="304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2057400" cy="308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Invivyd Announces $30M Non-dilutive Loan Facility with Silicon Valley Bank</w:t>
      </w:r>
    </w:p>
    <w:p>
      <w:pPr>
        <w:spacing w:after="0" w:line="145"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WALTHAM, Mass., April 21, 2025 (GLOBE NEWSWIRE) – Invivyd, Inc. (Nasdaq: IVVD), a biopharmaceutical company devoted to delivering protection from serious viral infectious diseases, today announced that it has signed a $30 million term loan facility with Silicon Valley Bank (SVB), a division of First Citizens Bank. The deal allows for drawdown of capital in the future if certain conditions and milestones are met.</w:t>
      </w:r>
    </w:p>
    <w:p>
      <w:pPr>
        <w:spacing w:after="0" w:line="64"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“We are pleased to have secured this term loan facility ahead of important anticipated catalysts, including gaining alignment with the FDA on the regulatory pathway of our pipeline candidate, VYD2311,” said Bill Duke, Chief Financial Officer of Invivyd. “The non-dilutive nature of this financing facility supports balance sheet optionality so the company can focus on per-share value creation.”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VYD2311</w:t>
      </w:r>
    </w:p>
    <w:p>
      <w:pPr>
        <w:spacing w:after="0" w:line="96"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p>
    <w:p>
      <w:pPr>
        <w:spacing w:after="0" w:line="64" w:lineRule="exact"/>
        <w:rPr>
          <w:sz w:val="20"/>
          <w:szCs w:val="20"/>
          <w:color w:val="auto"/>
        </w:rPr>
      </w:pPr>
    </w:p>
    <w:p>
      <w:pPr>
        <w:ind w:right="240"/>
        <w:spacing w:after="0" w:line="233" w:lineRule="auto"/>
        <w:rPr>
          <w:sz w:val="20"/>
          <w:szCs w:val="20"/>
          <w:color w:val="auto"/>
        </w:rPr>
      </w:pPr>
      <w:r>
        <w:rPr>
          <w:rFonts w:ascii="Arial" w:cs="Arial" w:eastAsia="Arial" w:hAnsi="Arial"/>
          <w:sz w:val="20"/>
          <w:szCs w:val="20"/>
          <w:color w:val="auto"/>
        </w:rPr>
        <w:t>VYD2311 was engineered using Invivyd’s proprietary integrated technology platform and is the product of serial molecular evolution designed to generate an antibody optimized for neutralizing contemporary virus lineages. VYD2311 leverages the same antibody backbone as 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PEMGARDA</w:t>
      </w:r>
    </w:p>
    <w:p>
      <w:pPr>
        <w:spacing w:after="0" w:line="96"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PEMGARDA™ (pemivibart) is a half-life extended investigational monoclonal antibody (mAb). PEMGARDA was engineered from adintrevimab, Invivyd’s investigational mAb that has a robust safety data package and provided evidence of clinical efficacy in global Phase 2/3 clinical trials for the prevention and treatment of COVID-19. PEMGARDA has demonstrated in vitro neutralizing activity against major SARS-CoV-2 variants, including JN.1, KP.3.1.1, XEC and LP.8.1. PEMGARDA targets the SARS-CoV-2 spike protein receptor binding domain (RBD), thereby inhibiting virus attachment to the human ACE2 receptor on host cells.</w:t>
      </w:r>
    </w:p>
    <w:p>
      <w:pPr>
        <w:spacing w:after="0" w:line="64"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7" w:name="page58"/>
    <w:bookmarkEnd w:id="57"/>
    <w:p>
      <w:pPr>
        <w:ind w:right="20"/>
        <w:spacing w:after="0" w:line="248" w:lineRule="auto"/>
        <w:rPr>
          <w:sz w:val="20"/>
          <w:szCs w:val="20"/>
          <w:color w:val="auto"/>
        </w:rPr>
      </w:pPr>
      <w:r>
        <w:rPr>
          <w:rFonts w:ascii="Arial" w:cs="Arial" w:eastAsia="Arial" w:hAnsi="Arial"/>
          <w:sz w:val="19"/>
          <w:szCs w:val="19"/>
          <w:color w:val="auto"/>
        </w:rPr>
        <w:t>PEMGARDA is not authorized for use for treatment of COVID-19 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pacing w:after="0" w:line="59"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 For additional information, please see the PEMGARDA full product Fact Sheet for Healthcare Providers, including important safety information and boxed warning.</w:t>
      </w:r>
    </w:p>
    <w:p>
      <w:pPr>
        <w:spacing w:after="0" w:line="54"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64" w:lineRule="exact"/>
        <w:rPr>
          <w:sz w:val="20"/>
          <w:szCs w:val="20"/>
          <w:color w:val="auto"/>
        </w:rPr>
      </w:pPr>
    </w:p>
    <w:p>
      <w:pPr>
        <w:ind w:right="80"/>
        <w:spacing w:after="0" w:line="233" w:lineRule="auto"/>
        <w:rPr>
          <w:sz w:val="20"/>
          <w:szCs w:val="20"/>
          <w:color w:val="auto"/>
        </w:rPr>
      </w:pPr>
      <w:r>
        <w:rPr>
          <w:rFonts w:ascii="Arial" w:cs="Arial" w:eastAsia="Arial" w:hAnsi="Arial"/>
          <w:sz w:val="20"/>
          <w:szCs w:val="20"/>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Invivyd</w:t>
      </w:r>
    </w:p>
    <w:p>
      <w:pPr>
        <w:spacing w:after="0" w:line="96"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 Looking Statements</w:t>
      </w:r>
    </w:p>
    <w:p>
      <w:pPr>
        <w:spacing w:after="0" w:line="96" w:lineRule="exact"/>
        <w:rPr>
          <w:sz w:val="20"/>
          <w:szCs w:val="20"/>
          <w:color w:val="auto"/>
        </w:rPr>
      </w:pPr>
    </w:p>
    <w:p>
      <w:pPr>
        <w:jc w:val="both"/>
        <w:ind w:right="320"/>
        <w:spacing w:after="0" w:line="241"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Words such as “anticipates,” “believes,” “could,” “expects,” “estimates,” “intends,” “potential,” “predicts,” “projects,” and “future” or similar expressions (as well as other words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58" w:name="page59"/>
    <w:bookmarkEnd w:id="58"/>
    <w:p>
      <w:pPr>
        <w:spacing w:after="0" w:line="227" w:lineRule="auto"/>
        <w:rPr>
          <w:sz w:val="20"/>
          <w:szCs w:val="20"/>
          <w:color w:val="auto"/>
        </w:rPr>
      </w:pPr>
      <w:r>
        <w:rPr>
          <w:rFonts w:ascii="Arial" w:cs="Arial" w:eastAsia="Arial" w:hAnsi="Arial"/>
          <w:sz w:val="20"/>
          <w:szCs w:val="20"/>
          <w:color w:val="auto"/>
        </w:rPr>
        <w:t>or expressions referencing future events, conditions or circumstances) are intended to identify forward-looking statements. Forward-looking statements include statements concerning, among other things, expectations related to the company’s term loan facility with SVB; the potential drawdown of capital in the future if certain conditions and milestones are met; the expected benefits of the financing facility; the company’s intention to focus on per-share value creation; anticipated catalysts of the company; the company’s expectation of gaining alignment with the FDA on the regulatory pathway for the company’s next product candidate; the company’s devotion to delivering protection from serious viral infectious diseases, beginning with SARS-CoV-2;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discovery, preclinical and clinical development activities; how long the EUA granted by the U.S. FDA for PEMGARDA will remain in effect and whether the EUA is revised or revoked by the U.S. FDA; the ability to maintain a continued acceptable safety, tolerability and efficacy profile of any product candidate following regulatory authorization or approval; uncertainties related to the regulatory authorization or approval process, and available development and regulatory pathways; changes in the regulatory environment; the outcome of the company’s engagement with regulators; the company’s ability to maintain and expand sales, marketing and distribution capabilities to successfully commercialize any authorized or approved product candidate; changes in expected or existing competition; the company’s reliance on third parties; the complexities of manufacturing mAb therapies; macroeconomic and political uncertainties; the company’s ability to realize the anticipated benefits of the company’s term loan facility with SVB;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2024, as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This press release contains hyperlinks to information that is not deemed to be incorporated by reference in this press release.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6" w:lineRule="exact"/>
        <w:rPr>
          <w:sz w:val="20"/>
          <w:szCs w:val="20"/>
          <w:color w:val="auto"/>
        </w:rPr>
      </w:pPr>
    </w:p>
    <w:p>
      <w:pPr>
        <w:ind w:right="9400" w:firstLine="8"/>
        <w:spacing w:after="0" w:line="264" w:lineRule="auto"/>
        <w:tabs>
          <w:tab w:leader="none" w:pos="517" w:val="left"/>
        </w:tabs>
        <w:numPr>
          <w:ilvl w:val="0"/>
          <w:numId w:val="85"/>
        </w:numPr>
        <w:rPr>
          <w:rFonts w:ascii="Arial" w:cs="Arial" w:eastAsia="Arial" w:hAnsi="Arial"/>
          <w:sz w:val="19"/>
          <w:szCs w:val="19"/>
          <w:color w:val="auto"/>
        </w:rPr>
      </w:pPr>
      <w:r>
        <w:rPr>
          <w:rFonts w:ascii="Arial" w:cs="Arial" w:eastAsia="Arial" w:hAnsi="Arial"/>
          <w:sz w:val="19"/>
          <w:szCs w:val="19"/>
          <w:color w:val="auto"/>
        </w:rPr>
        <w:t>208-1747 media@invivyd.com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6" w:lineRule="exact"/>
        <w:rPr>
          <w:sz w:val="20"/>
          <w:szCs w:val="20"/>
          <w:color w:val="auto"/>
        </w:rPr>
      </w:pPr>
    </w:p>
    <w:p>
      <w:pPr>
        <w:ind w:right="9140" w:firstLine="8"/>
        <w:spacing w:after="0" w:line="264" w:lineRule="auto"/>
        <w:tabs>
          <w:tab w:leader="none" w:pos="517" w:val="left"/>
        </w:tabs>
        <w:numPr>
          <w:ilvl w:val="0"/>
          <w:numId w:val="86"/>
        </w:numPr>
        <w:rPr>
          <w:rFonts w:ascii="Arial" w:cs="Arial" w:eastAsia="Arial" w:hAnsi="Arial"/>
          <w:sz w:val="19"/>
          <w:szCs w:val="19"/>
          <w:color w:val="auto"/>
        </w:rPr>
      </w:pPr>
      <w:r>
        <w:rPr>
          <w:rFonts w:ascii="Arial" w:cs="Arial" w:eastAsia="Arial" w:hAnsi="Arial"/>
          <w:sz w:val="19"/>
          <w:szCs w:val="19"/>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4" w:right="39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lvl w:ilvl="1">
      <w:lvlJc w:val="left"/>
      <w:lvlText w:val="%2"/>
      <w:numFmt w:val="decimal"/>
      <w:start w:val="104"/>
    </w:lvl>
  </w:abstractNum>
  <w:abstractNum w:abstractNumId="2">
    <w:nsid w:val="2CD89A32"/>
    <w:multiLevelType w:val="hybridMultilevel"/>
    <w:lvl w:ilvl="0">
      <w:lvlJc w:val="left"/>
      <w:lvlText w:val="(%1)"/>
      <w:numFmt w:val="upperLetter"/>
      <w:start w:val="9"/>
    </w:lvl>
  </w:abstractNum>
  <w:abstractNum w:abstractNumId="3">
    <w:nsid w:val="57E4CCAF"/>
    <w:multiLevelType w:val="hybridMultilevel"/>
    <w:lvl w:ilvl="0">
      <w:lvlJc w:val="left"/>
      <w:lvlText w:val="1"/>
      <w:numFmt w:val="bullet"/>
      <w:start w:val="1"/>
    </w:lvl>
    <w:lvl w:ilvl="1">
      <w:lvlJc w:val="left"/>
      <w:lvlText w:val="(%2)"/>
      <w:numFmt w:val="lowerLetter"/>
      <w:start w:val="1"/>
    </w:lvl>
  </w:abstractNum>
  <w:abstractNum w:abstractNumId="4">
    <w:nsid w:val="7A6D8D3C"/>
    <w:multiLevelType w:val="hybridMultilevel"/>
    <w:lvl w:ilvl="0">
      <w:lvlJc w:val="left"/>
      <w:lvlText w:val="(%1)"/>
      <w:numFmt w:val="lowerLetter"/>
      <w:start w:val="1"/>
    </w:lvl>
  </w:abstractNum>
  <w:abstractNum w:abstractNumId="5">
    <w:nsid w:val="4B588F54"/>
    <w:multiLevelType w:val="hybridMultilevel"/>
    <w:lvl w:ilvl="0">
      <w:lvlJc w:val="left"/>
      <w:lvlText w:val="%1"/>
      <w:numFmt w:val="lowerLetter"/>
      <w:start w:val="1"/>
    </w:lvl>
    <w:lvl w:ilvl="1">
      <w:lvlJc w:val="left"/>
      <w:lvlText w:val="(%2)"/>
      <w:numFmt w:val="lowerRoman"/>
      <w:start w:val="1"/>
    </w:lvl>
  </w:abstractNum>
  <w:abstractNum w:abstractNumId="6">
    <w:nsid w:val="542289EC"/>
    <w:multiLevelType w:val="hybridMultilevel"/>
    <w:lvl w:ilvl="0">
      <w:lvlJc w:val="left"/>
      <w:lvlText w:val="(%1)"/>
      <w:numFmt w:val="lowerLetter"/>
      <w:start w:val="3"/>
    </w:lvl>
    <w:lvl w:ilvl="1">
      <w:lvlJc w:val="left"/>
      <w:lvlText w:val="%2"/>
      <w:numFmt w:val="lowerRoman"/>
      <w:start w:val="1"/>
    </w:lvl>
  </w:abstractNum>
  <w:abstractNum w:abstractNumId="7">
    <w:nsid w:val="6DE91B18"/>
    <w:multiLevelType w:val="hybridMultilevel"/>
    <w:lvl w:ilvl="0">
      <w:lvlJc w:val="left"/>
      <w:lvlText w:val="(%1)"/>
      <w:numFmt w:val="lowerLetter"/>
      <w:start w:val="1"/>
    </w:lvl>
  </w:abstractNum>
  <w:abstractNum w:abstractNumId="8">
    <w:nsid w:val="38437FDB"/>
    <w:multiLevelType w:val="hybridMultilevel"/>
    <w:lvl w:ilvl="0">
      <w:lvlJc w:val="left"/>
      <w:lvlText w:val="(%1)"/>
      <w:numFmt w:val="lowerLetter"/>
      <w:start w:val="1"/>
    </w:lvl>
  </w:abstractNum>
  <w:abstractNum w:abstractNumId="9">
    <w:nsid w:val="7644A45C"/>
    <w:multiLevelType w:val="hybridMultilevel"/>
    <w:lvl w:ilvl="0">
      <w:lvlJc w:val="left"/>
      <w:lvlText w:val="(%1)"/>
      <w:numFmt w:val="lowerLetter"/>
      <w:start w:val="3"/>
    </w:lvl>
  </w:abstractNum>
  <w:abstractNum w:abstractNumId="10">
    <w:nsid w:val="32FFF902"/>
    <w:multiLevelType w:val="hybridMultilevel"/>
    <w:lvl w:ilvl="0">
      <w:lvlJc w:val="left"/>
      <w:lvlText w:val="%1"/>
      <w:numFmt w:val="lowerLetter"/>
      <w:start w:val="1"/>
    </w:lvl>
    <w:lvl w:ilvl="1">
      <w:lvlJc w:val="left"/>
      <w:lvlText w:val="(%2)"/>
      <w:numFmt w:val="lowerLetter"/>
      <w:start w:val="1"/>
    </w:lvl>
  </w:abstractNum>
  <w:abstractNum w:abstractNumId="11">
    <w:nsid w:val="684A481A"/>
    <w:multiLevelType w:val="hybridMultilevel"/>
    <w:lvl w:ilvl="0">
      <w:lvlJc w:val="left"/>
      <w:lvlText w:val="(%1)"/>
      <w:numFmt w:val="lowerLetter"/>
      <w:start w:val="1"/>
    </w:lvl>
    <w:lvl w:ilvl="1">
      <w:lvlJc w:val="left"/>
      <w:lvlText w:val="%2"/>
      <w:numFmt w:val="lowerLetter"/>
      <w:start w:val="1"/>
    </w:lvl>
  </w:abstractNum>
  <w:abstractNum w:abstractNumId="12">
    <w:nsid w:val="579478FE"/>
    <w:multiLevelType w:val="hybridMultilevel"/>
    <w:lvl w:ilvl="0">
      <w:lvlJc w:val="left"/>
      <w:lvlText w:val="(%1)"/>
      <w:numFmt w:val="lowerLetter"/>
      <w:start w:val="1"/>
    </w:lvl>
  </w:abstractNum>
  <w:abstractNum w:abstractNumId="13">
    <w:nsid w:val="749ABB43"/>
    <w:multiLevelType w:val="hybridMultilevel"/>
    <w:lvl w:ilvl="0">
      <w:lvlJc w:val="left"/>
      <w:lvlText w:val="(%1)"/>
      <w:numFmt w:val="lowerLetter"/>
      <w:start w:val="4"/>
    </w:lvl>
  </w:abstractNum>
  <w:abstractNum w:abstractNumId="14">
    <w:nsid w:val="3DC240FB"/>
    <w:multiLevelType w:val="hybridMultilevel"/>
    <w:lvl w:ilvl="0">
      <w:lvlJc w:val="left"/>
      <w:lvlText w:val="(%1)"/>
      <w:numFmt w:val="lowerLetter"/>
      <w:start w:val="1"/>
    </w:lvl>
  </w:abstractNum>
  <w:abstractNum w:abstractNumId="15">
    <w:nsid w:val="1BA026FA"/>
    <w:multiLevelType w:val="hybridMultilevel"/>
    <w:lvl w:ilvl="0">
      <w:lvlJc w:val="left"/>
      <w:lvlText w:val="2"/>
      <w:numFmt w:val="bullet"/>
      <w:start w:val="1"/>
    </w:lvl>
  </w:abstractNum>
  <w:abstractNum w:abstractNumId="16">
    <w:nsid w:val="79A1DEAA"/>
    <w:multiLevelType w:val="hybridMultilevel"/>
    <w:lvl w:ilvl="0">
      <w:lvlJc w:val="left"/>
      <w:lvlText w:val="(%1)"/>
      <w:numFmt w:val="lowerLetter"/>
      <w:start w:val="1"/>
    </w:lvl>
  </w:abstractNum>
  <w:abstractNum w:abstractNumId="17">
    <w:nsid w:val="75C6C33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8">
    <w:nsid w:val="12E685F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9">
    <w:nsid w:val="70C6A529"/>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0">
    <w:nsid w:val="520EEDD1"/>
    <w:multiLevelType w:val="hybridMultilevel"/>
    <w:lvl w:ilvl="0">
      <w:lvlJc w:val="left"/>
      <w:lvlText w:val="(%1)"/>
      <w:numFmt w:val="lowerLetter"/>
      <w:start w:val="1"/>
    </w:lvl>
  </w:abstractNum>
  <w:abstractNum w:abstractNumId="21">
    <w:nsid w:val="374A3FE6"/>
    <w:multiLevelType w:val="hybridMultilevel"/>
    <w:lvl w:ilvl="0">
      <w:lvlJc w:val="left"/>
      <w:lvlText w:val="%1"/>
      <w:numFmt w:val="lowerLetter"/>
      <w:start w:val="1"/>
    </w:lvl>
    <w:lvl w:ilvl="1">
      <w:lvlJc w:val="left"/>
      <w:lvlText w:val="(%2)"/>
      <w:numFmt w:val="lowerLetter"/>
      <w:start w:val="3"/>
    </w:lvl>
  </w:abstractNum>
  <w:abstractNum w:abstractNumId="22">
    <w:nsid w:val="4F4EF005"/>
    <w:multiLevelType w:val="hybridMultilevel"/>
    <w:lvl w:ilvl="0">
      <w:lvlJc w:val="left"/>
      <w:lvlText w:val="(%1)"/>
      <w:numFmt w:val="lowerLetter"/>
      <w:start w:val="35"/>
    </w:lvl>
    <w:lvl w:ilvl="1">
      <w:lvlJc w:val="left"/>
      <w:lvlText w:val="%2"/>
      <w:numFmt w:val="lowerLetter"/>
      <w:start w:val="1"/>
    </w:lvl>
  </w:abstractNum>
  <w:abstractNum w:abstractNumId="23">
    <w:nsid w:val="23F9C13C"/>
    <w:multiLevelType w:val="hybridMultilevel"/>
    <w:lvl w:ilvl="0">
      <w:lvlJc w:val="left"/>
      <w:lvlText w:val="3"/>
      <w:numFmt w:val="bullet"/>
      <w:start w:val="1"/>
    </w:lvl>
    <w:lvl w:ilvl="1">
      <w:lvlJc w:val="left"/>
      <w:lvlText w:val="(%2)"/>
      <w:numFmt w:val="lowerLetter"/>
      <w:start w:val="1"/>
    </w:lvl>
  </w:abstractNum>
  <w:abstractNum w:abstractNumId="24">
    <w:nsid w:val="649BB77C"/>
    <w:multiLevelType w:val="hybridMultilevel"/>
    <w:lvl w:ilvl="0">
      <w:lvlJc w:val="left"/>
      <w:lvlText w:val="4"/>
      <w:numFmt w:val="bullet"/>
      <w:start w:val="1"/>
    </w:lvl>
  </w:abstractNum>
  <w:abstractNum w:abstractNumId="25">
    <w:nsid w:val="275AC794"/>
    <w:multiLevelType w:val="hybridMultilevel"/>
    <w:lvl w:ilvl="0">
      <w:lvlJc w:val="left"/>
      <w:lvlText w:val="(%1)"/>
      <w:numFmt w:val="lowerLetter"/>
      <w:start w:val="1"/>
    </w:lvl>
  </w:abstractNum>
  <w:abstractNum w:abstractNumId="26">
    <w:nsid w:val="39386575"/>
    <w:multiLevelType w:val="hybridMultilevel"/>
    <w:lvl w:ilvl="0">
      <w:lvlJc w:val="left"/>
      <w:lvlText w:val="(%1)"/>
      <w:numFmt w:val="lowerLetter"/>
      <w:start w:val="1"/>
    </w:lvl>
  </w:abstractNum>
  <w:abstractNum w:abstractNumId="27">
    <w:nsid w:val="1CF10FD8"/>
    <w:multiLevelType w:val="hybridMultilevel"/>
    <w:lvl w:ilvl="0">
      <w:lvlJc w:val="left"/>
      <w:lvlText w:val="(%1)"/>
      <w:numFmt w:val="lowerLetter"/>
      <w:start w:val="4"/>
    </w:lvl>
  </w:abstractNum>
  <w:abstractNum w:abstractNumId="28">
    <w:nsid w:val="180115BE"/>
    <w:multiLevelType w:val="hybridMultilevel"/>
    <w:lvl w:ilvl="0">
      <w:lvlJc w:val="left"/>
      <w:lvlText w:val="(%1)"/>
      <w:numFmt w:val="lowerLetter"/>
      <w:start w:val="1"/>
    </w:lvl>
  </w:abstractNum>
  <w:abstractNum w:abstractNumId="29">
    <w:nsid w:val="235BA861"/>
    <w:multiLevelType w:val="hybridMultilevel"/>
    <w:lvl w:ilvl="0">
      <w:lvlJc w:val="left"/>
      <w:lvlText w:val="(%1)"/>
      <w:numFmt w:val="lowerLetter"/>
      <w:start w:val="2"/>
    </w:lvl>
  </w:abstractNum>
  <w:abstractNum w:abstractNumId="30">
    <w:nsid w:val="47398C89"/>
    <w:multiLevelType w:val="hybridMultilevel"/>
    <w:lvl w:ilvl="0">
      <w:lvlJc w:val="left"/>
      <w:lvlText w:val="(%1)"/>
      <w:numFmt w:val="lowerLetter"/>
      <w:start w:val="1"/>
    </w:lvl>
  </w:abstractNum>
  <w:abstractNum w:abstractNumId="31">
    <w:nsid w:val="354FE9F9"/>
    <w:multiLevelType w:val="hybridMultilevel"/>
    <w:lvl w:ilvl="0">
      <w:lvlJc w:val="left"/>
      <w:lvlText w:val="5"/>
      <w:numFmt w:val="bullet"/>
      <w:start w:val="1"/>
    </w:lvl>
  </w:abstractNum>
  <w:abstractNum w:abstractNumId="32">
    <w:nsid w:val="15B5AF5C"/>
    <w:multiLevelType w:val="hybridMultilevel"/>
    <w:lvl w:ilvl="0">
      <w:lvlJc w:val="left"/>
      <w:lvlText w:val="(%1)"/>
      <w:numFmt w:val="lowerLetter"/>
      <w:start w:val="1"/>
    </w:lvl>
  </w:abstractNum>
  <w:abstractNum w:abstractNumId="33">
    <w:nsid w:val="741226BB"/>
    <w:multiLevelType w:val="hybridMultilevel"/>
    <w:lvl w:ilvl="0">
      <w:lvlJc w:val="left"/>
      <w:lvlText w:val="(%1)"/>
      <w:numFmt w:val="lowerLetter"/>
      <w:start w:val="1"/>
    </w:lvl>
  </w:abstractNum>
  <w:abstractNum w:abstractNumId="34">
    <w:nsid w:val="D34B6A8"/>
    <w:multiLevelType w:val="hybridMultilevel"/>
    <w:lvl w:ilvl="0">
      <w:lvlJc w:val="left"/>
      <w:lvlText w:val="(%1)"/>
      <w:numFmt w:val="lowerLetter"/>
      <w:start w:val="5"/>
    </w:lvl>
  </w:abstractNum>
  <w:abstractNum w:abstractNumId="35">
    <w:nsid w:val="10233C99"/>
    <w:multiLevelType w:val="hybridMultilevel"/>
    <w:lvl w:ilvl="0">
      <w:lvlJc w:val="left"/>
      <w:lvlText w:val="(%1)"/>
      <w:numFmt w:val="lowerLetter"/>
      <w:start w:val="1"/>
    </w:lvl>
  </w:abstractNum>
  <w:abstractNum w:abstractNumId="36">
    <w:nsid w:val="3F6AB60F"/>
    <w:multiLevelType w:val="hybridMultilevel"/>
    <w:lvl w:ilvl="0">
      <w:lvlJc w:val="left"/>
      <w:lvlText w:val="(%1)"/>
      <w:numFmt w:val="lowerLetter"/>
      <w:start w:val="1"/>
    </w:lvl>
  </w:abstractNum>
  <w:abstractNum w:abstractNumId="37">
    <w:nsid w:val="61574095"/>
    <w:multiLevelType w:val="hybridMultilevel"/>
    <w:lvl w:ilvl="0">
      <w:lvlJc w:val="left"/>
      <w:lvlText w:val="(%1)"/>
      <w:numFmt w:val="lowerLetter"/>
      <w:start w:val="4"/>
    </w:lvl>
  </w:abstractNum>
  <w:abstractNum w:abstractNumId="38">
    <w:nsid w:val="7E0C57B1"/>
    <w:multiLevelType w:val="hybridMultilevel"/>
    <w:lvl w:ilvl="0">
      <w:lvlJc w:val="left"/>
      <w:lvlText w:val="(%1)"/>
      <w:numFmt w:val="lowerLetter"/>
      <w:start w:val="1"/>
    </w:lvl>
  </w:abstractNum>
  <w:abstractNum w:abstractNumId="39">
    <w:nsid w:val="77AE35EB"/>
    <w:multiLevelType w:val="hybridMultilevel"/>
    <w:lvl w:ilvl="0">
      <w:lvlJc w:val="left"/>
      <w:lvlText w:val="(%1)"/>
      <w:numFmt w:val="lowerLetter"/>
      <w:start w:val="1"/>
    </w:lvl>
  </w:abstractNum>
  <w:abstractNum w:abstractNumId="40">
    <w:nsid w:val="579BE4F1"/>
    <w:multiLevelType w:val="hybridMultilevel"/>
    <w:lvl w:ilvl="0">
      <w:lvlJc w:val="left"/>
      <w:lvlText w:val="(%1)"/>
      <w:numFmt w:val="lowerRoman"/>
      <w:start w:val="1"/>
    </w:lvl>
  </w:abstractNum>
  <w:abstractNum w:abstractNumId="41">
    <w:nsid w:val="310C50B3"/>
    <w:multiLevelType w:val="hybridMultilevel"/>
    <w:lvl w:ilvl="0">
      <w:lvlJc w:val="left"/>
      <w:lvlText w:val="(%1)"/>
      <w:numFmt w:val="lowerLetter"/>
      <w:start w:val="2"/>
    </w:lvl>
  </w:abstractNum>
  <w:abstractNum w:abstractNumId="42">
    <w:nsid w:val="5FF87E05"/>
    <w:multiLevelType w:val="hybridMultilevel"/>
    <w:lvl w:ilvl="0">
      <w:lvlJc w:val="left"/>
      <w:lvlText w:val="(%1)"/>
      <w:numFmt w:val="lowerRoman"/>
      <w:start w:val="1"/>
    </w:lvl>
  </w:abstractNum>
  <w:abstractNum w:abstractNumId="43">
    <w:nsid w:val="2F305DEF"/>
    <w:multiLevelType w:val="hybridMultilevel"/>
    <w:lvl w:ilvl="0">
      <w:lvlJc w:val="left"/>
      <w:lvlText w:val="(%1)"/>
      <w:numFmt w:val="lowerRoman"/>
      <w:start w:val="3"/>
    </w:lvl>
  </w:abstractNum>
  <w:abstractNum w:abstractNumId="44">
    <w:nsid w:val="25A70BF7"/>
    <w:multiLevelType w:val="hybridMultilevel"/>
    <w:lvl w:ilvl="0">
      <w:lvlJc w:val="left"/>
      <w:lvlText w:val="(%1)"/>
      <w:numFmt w:val="lowerLetter"/>
      <w:start w:val="3"/>
    </w:lvl>
  </w:abstractNum>
  <w:abstractNum w:abstractNumId="45">
    <w:nsid w:val="1DBABF00"/>
    <w:multiLevelType w:val="hybridMultilevel"/>
    <w:lvl w:ilvl="0">
      <w:lvlJc w:val="left"/>
      <w:lvlText w:val="(%1)"/>
      <w:numFmt w:val="lowerLetter"/>
      <w:start w:val="1"/>
    </w:lvl>
  </w:abstractNum>
  <w:abstractNum w:abstractNumId="46">
    <w:nsid w:val="4AD084E9"/>
    <w:multiLevelType w:val="hybridMultilevel"/>
    <w:lvl w:ilvl="0">
      <w:lvlJc w:val="left"/>
      <w:lvlText w:val="6"/>
      <w:numFmt w:val="bullet"/>
      <w:start w:val="1"/>
    </w:lvl>
  </w:abstractNum>
  <w:abstractNum w:abstractNumId="47">
    <w:nsid w:val="1F48EAA1"/>
    <w:multiLevelType w:val="hybridMultilevel"/>
    <w:lvl w:ilvl="0">
      <w:lvlJc w:val="left"/>
      <w:lvlText w:val="(%1)"/>
      <w:numFmt w:val="lowerRoman"/>
      <w:start w:val="3"/>
    </w:lvl>
  </w:abstractNum>
  <w:abstractNum w:abstractNumId="48">
    <w:nsid w:val="1381823A"/>
    <w:multiLevelType w:val="hybridMultilevel"/>
    <w:lvl w:ilvl="0">
      <w:lvlJc w:val="left"/>
      <w:lvlText w:val="(%1)"/>
      <w:numFmt w:val="lowerRoman"/>
      <w:start w:val="3"/>
    </w:lvl>
  </w:abstractNum>
  <w:abstractNum w:abstractNumId="49">
    <w:nsid w:val="5DB70AE5"/>
    <w:multiLevelType w:val="hybridMultilevel"/>
    <w:lvl w:ilvl="0">
      <w:lvlJc w:val="left"/>
      <w:lvlText w:val="7"/>
      <w:numFmt w:val="bullet"/>
      <w:start w:val="1"/>
    </w:lvl>
  </w:abstractNum>
  <w:abstractNum w:abstractNumId="50">
    <w:nsid w:val="100F8FCA"/>
    <w:multiLevelType w:val="hybridMultilevel"/>
    <w:lvl w:ilvl="0">
      <w:lvlJc w:val="left"/>
      <w:lvlText w:val="(%1)"/>
      <w:numFmt w:val="lowerLetter"/>
      <w:start w:val="1"/>
    </w:lvl>
  </w:abstractNum>
  <w:abstractNum w:abstractNumId="51">
    <w:nsid w:val="6590700B"/>
    <w:multiLevelType w:val="hybridMultilevel"/>
    <w:lvl w:ilvl="0">
      <w:lvlJc w:val="left"/>
      <w:lvlText w:val="(%1)"/>
      <w:numFmt w:val="lowerLetter"/>
      <w:start w:val="1"/>
    </w:lvl>
  </w:abstractNum>
  <w:abstractNum w:abstractNumId="52">
    <w:nsid w:val="15014ACB"/>
    <w:multiLevelType w:val="hybridMultilevel"/>
    <w:lvl w:ilvl="0">
      <w:lvlJc w:val="left"/>
      <w:lvlText w:val="8"/>
      <w:numFmt w:val="bullet"/>
      <w:start w:val="1"/>
    </w:lvl>
  </w:abstractNum>
  <w:abstractNum w:abstractNumId="53">
    <w:nsid w:val="5F5E7FD0"/>
    <w:multiLevelType w:val="hybridMultilevel"/>
    <w:lvl w:ilvl="0">
      <w:lvlJc w:val="left"/>
      <w:lvlText w:val="(%1)"/>
      <w:numFmt w:val="lowerLetter"/>
      <w:start w:val="1"/>
    </w:lvl>
  </w:abstractNum>
  <w:abstractNum w:abstractNumId="54">
    <w:nsid w:val="98A3148"/>
    <w:multiLevelType w:val="hybridMultilevel"/>
    <w:lvl w:ilvl="0">
      <w:lvlJc w:val="left"/>
      <w:lvlText w:val="(%1)"/>
      <w:numFmt w:val="lowerLetter"/>
      <w:start w:val="6"/>
    </w:lvl>
  </w:abstractNum>
  <w:abstractNum w:abstractNumId="55">
    <w:nsid w:val="799D0247"/>
    <w:multiLevelType w:val="hybridMultilevel"/>
    <w:lvl w:ilvl="0">
      <w:lvlJc w:val="left"/>
      <w:lvlText w:val="9"/>
      <w:numFmt w:val="bullet"/>
      <w:start w:val="1"/>
    </w:lvl>
  </w:abstractNum>
  <w:abstractNum w:abstractNumId="56">
    <w:nsid w:val="6B94764"/>
    <w:multiLevelType w:val="hybridMultilevel"/>
    <w:lvl w:ilvl="0">
      <w:lvlJc w:val="left"/>
      <w:lvlText w:val="%1"/>
      <w:numFmt w:val="decimal"/>
      <w:start w:val="10"/>
    </w:lvl>
  </w:abstractNum>
  <w:abstractNum w:abstractNumId="57">
    <w:nsid w:val="42C296BD"/>
    <w:multiLevelType w:val="hybridMultilevel"/>
    <w:lvl w:ilvl="0">
      <w:lvlJc w:val="left"/>
      <w:lvlText w:val="%1"/>
      <w:numFmt w:val="decimal"/>
      <w:start w:val="11"/>
    </w:lvl>
  </w:abstractNum>
  <w:abstractNum w:abstractNumId="58">
    <w:nsid w:val="168E121F"/>
    <w:multiLevelType w:val="hybridMultilevel"/>
    <w:lvl w:ilvl="0">
      <w:lvlJc w:val="left"/>
      <w:lvlText w:val="(%1)"/>
      <w:numFmt w:val="decimal"/>
      <w:start w:val="3"/>
    </w:lvl>
  </w:abstractNum>
  <w:abstractNum w:abstractNumId="59">
    <w:nsid w:val="1EBA5D23"/>
    <w:multiLevelType w:val="hybridMultilevel"/>
    <w:lvl w:ilvl="0">
      <w:lvlJc w:val="left"/>
      <w:lvlText w:val="(%1)"/>
      <w:numFmt w:val="lowerLetter"/>
      <w:start w:val="1"/>
    </w:lvl>
  </w:abstractNum>
  <w:abstractNum w:abstractNumId="60">
    <w:nsid w:val="661E3F1E"/>
    <w:multiLevelType w:val="hybridMultilevel"/>
    <w:lvl w:ilvl="0">
      <w:lvlJc w:val="left"/>
      <w:lvlText w:val="(%1)"/>
      <w:numFmt w:val="lowerLetter"/>
      <w:start w:val="1"/>
    </w:lvl>
  </w:abstractNum>
  <w:abstractNum w:abstractNumId="61">
    <w:nsid w:val="5DC79EA8"/>
    <w:multiLevelType w:val="hybridMultilevel"/>
    <w:lvl w:ilvl="0">
      <w:lvlJc w:val="left"/>
      <w:lvlText w:val="%1"/>
      <w:numFmt w:val="decimal"/>
      <w:start w:val="12"/>
    </w:lvl>
    <w:lvl w:ilvl="1">
      <w:lvlJc w:val="left"/>
      <w:lvlText w:val="(%2)"/>
      <w:numFmt w:val="lowerLetter"/>
      <w:start w:val="1"/>
    </w:lvl>
  </w:abstractNum>
  <w:abstractNum w:abstractNumId="62">
    <w:nsid w:val="540A471C"/>
    <w:multiLevelType w:val="hybridMultilevel"/>
    <w:lvl w:ilvl="0">
      <w:lvlJc w:val="left"/>
      <w:lvlText w:val="(%1)"/>
      <w:numFmt w:val="lowerLetter"/>
      <w:start w:val="1"/>
    </w:lvl>
  </w:abstractNum>
  <w:abstractNum w:abstractNumId="63">
    <w:nsid w:val="7BD3EE7B"/>
    <w:multiLevelType w:val="hybridMultilevel"/>
    <w:lvl w:ilvl="0">
      <w:lvlJc w:val="left"/>
      <w:lvlText w:val="(%1)"/>
      <w:numFmt w:val="lowerRoman"/>
      <w:start w:val="2"/>
    </w:lvl>
  </w:abstractNum>
  <w:abstractNum w:abstractNumId="64">
    <w:nsid w:val="51D9C564"/>
    <w:multiLevelType w:val="hybridMultilevel"/>
    <w:lvl w:ilvl="0">
      <w:lvlJc w:val="left"/>
      <w:lvlText w:val="(%1)"/>
      <w:numFmt w:val="lowerLetter"/>
      <w:start w:val="1"/>
    </w:lvl>
  </w:abstractNum>
  <w:abstractNum w:abstractNumId="65">
    <w:nsid w:val="613EFDC5"/>
    <w:multiLevelType w:val="hybridMultilevel"/>
    <w:lvl w:ilvl="0">
      <w:lvlJc w:val="left"/>
      <w:lvlText w:val="(%1)"/>
      <w:numFmt w:val="lowerLetter"/>
      <w:start w:val="6"/>
    </w:lvl>
  </w:abstractNum>
  <w:abstractNum w:abstractNumId="66">
    <w:nsid w:val="BF72B14"/>
    <w:multiLevelType w:val="hybridMultilevel"/>
    <w:lvl w:ilvl="0">
      <w:lvlJc w:val="left"/>
      <w:lvlText w:val="(%1)"/>
      <w:numFmt w:val="lowerLetter"/>
      <w:start w:val="1"/>
    </w:lvl>
  </w:abstractNum>
  <w:abstractNum w:abstractNumId="67">
    <w:nsid w:val="11447B73"/>
    <w:multiLevelType w:val="hybridMultilevel"/>
    <w:lvl w:ilvl="0">
      <w:lvlJc w:val="left"/>
      <w:lvlText w:val="(%1)"/>
      <w:numFmt w:val="lowerLetter"/>
      <w:start w:val="1"/>
    </w:lvl>
  </w:abstractNum>
  <w:abstractNum w:abstractNumId="68">
    <w:nsid w:val="42963E5A"/>
    <w:multiLevelType w:val="hybridMultilevel"/>
    <w:lvl w:ilvl="0">
      <w:lvlJc w:val="left"/>
      <w:lvlText w:val="(%1)"/>
      <w:numFmt w:val="lowerLetter"/>
      <w:start w:val="3"/>
    </w:lvl>
  </w:abstractNum>
  <w:abstractNum w:abstractNumId="69">
    <w:nsid w:val="A0382C5"/>
    <w:multiLevelType w:val="hybridMultilevel"/>
    <w:lvl w:ilvl="0">
      <w:lvlJc w:val="left"/>
      <w:lvlText w:val="(%1)"/>
      <w:numFmt w:val="lowerLetter"/>
      <w:start w:val="8"/>
    </w:lvl>
  </w:abstractNum>
  <w:abstractNum w:abstractNumId="70">
    <w:nsid w:val="8F2B15E"/>
    <w:multiLevelType w:val="hybridMultilevel"/>
    <w:lvl w:ilvl="0">
      <w:lvlJc w:val="left"/>
      <w:lvlText w:val="(%1)"/>
      <w:numFmt w:val="lowerLetter"/>
      <w:start w:val="10"/>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lowerLetter"/>
      <w:start w:val="2"/>
    </w:lvl>
  </w:abstractNum>
  <w:abstractNum w:abstractNumId="73">
    <w:nsid w:val="68EB2F63"/>
    <w:multiLevelType w:val="hybridMultilevel"/>
    <w:lvl w:ilvl="0">
      <w:lvlJc w:val="left"/>
      <w:lvlText w:val="(%1)"/>
      <w:numFmt w:val="lowerLetter"/>
      <w:start w:val="11"/>
    </w:lvl>
  </w:abstractNum>
  <w:abstractNum w:abstractNumId="74">
    <w:nsid w:val="4962813B"/>
    <w:multiLevelType w:val="hybridMultilevel"/>
    <w:lvl w:ilvl="0">
      <w:lvlJc w:val="left"/>
      <w:lvlText w:val="(%1)"/>
      <w:numFmt w:val="lowerLetter"/>
      <w:start w:val="1"/>
    </w:lvl>
  </w:abstractNum>
  <w:abstractNum w:abstractNumId="75">
    <w:nsid w:val="60B6DF70"/>
    <w:multiLevelType w:val="hybridMultilevel"/>
    <w:lvl w:ilvl="0">
      <w:lvlJc w:val="left"/>
      <w:lvlText w:val="(%1)"/>
      <w:numFmt w:val="lowerLetter"/>
      <w:start w:val="2"/>
    </w:lvl>
  </w:abstractNum>
  <w:abstractNum w:abstractNumId="76">
    <w:nsid w:val="6A5EE64"/>
    <w:multiLevelType w:val="hybridMultilevel"/>
    <w:lvl w:ilvl="0">
      <w:lvlJc w:val="left"/>
      <w:lvlText w:val="%1"/>
      <w:numFmt w:val="lowerLetter"/>
      <w:start w:val="1"/>
    </w:lvl>
    <w:lvl w:ilvl="1">
      <w:lvlJc w:val="left"/>
      <w:lvlText w:val="(%2)"/>
      <w:numFmt w:val="lowerLetter"/>
      <w:start w:val="12"/>
    </w:lvl>
  </w:abstractNum>
  <w:abstractNum w:abstractNumId="77">
    <w:nsid w:val="14330624"/>
    <w:multiLevelType w:val="hybridMultilevel"/>
    <w:lvl w:ilvl="0">
      <w:lvlJc w:val="left"/>
      <w:lvlText w:val="(%1)"/>
      <w:numFmt w:val="lowerLetter"/>
      <w:start w:val="35"/>
    </w:lvl>
    <w:lvl w:ilvl="1">
      <w:lvlJc w:val="left"/>
      <w:lvlText w:val="%2"/>
      <w:numFmt w:val="lowerLetter"/>
      <w:start w:val="1"/>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1."/>
      <w:numFmt w:val="upperLetter"/>
      <w:start w:val="9"/>
    </w:lvl>
  </w:abstractNum>
  <w:abstractNum w:abstractNumId="81">
    <w:nsid w:val="100F59DC"/>
    <w:multiLevelType w:val="hybridMultilevel"/>
    <w:lvl w:ilvl="0">
      <w:lvlJc w:val="left"/>
      <w:lvlText w:val="%1."/>
      <w:numFmt w:val="upperLetter"/>
      <w:start w:val="1"/>
    </w:lvl>
  </w:abstractNum>
  <w:abstractNum w:abstractNumId="82">
    <w:nsid w:val="7FB7E0AA"/>
    <w:multiLevelType w:val="hybridMultilevel"/>
    <w:lvl w:ilvl="0">
      <w:lvlJc w:val="left"/>
      <w:lvlText w:val="%1."/>
      <w:numFmt w:val="upperLetter"/>
      <w:start w:val="2"/>
    </w:lvl>
  </w:abstractNum>
  <w:abstractNum w:abstractNumId="83">
    <w:nsid w:val="6EB5BD4"/>
    <w:multiLevelType w:val="hybridMultilevel"/>
    <w:lvl w:ilvl="0">
      <w:lvlJc w:val="left"/>
      <w:lvlText w:val="%1."/>
      <w:numFmt w:val="upperLetter"/>
      <w:start w:val="3"/>
    </w:lvl>
  </w:abstractNum>
  <w:abstractNum w:abstractNumId="84">
    <w:nsid w:val="6F6DD9AC"/>
    <w:multiLevelType w:val="hybridMultilevel"/>
    <w:lvl w:ilvl="0">
      <w:lvlJc w:val="left"/>
      <w:lvlText w:val="(%1)"/>
      <w:numFmt w:val="decimal"/>
      <w:start w:val="781"/>
    </w:lvl>
  </w:abstractNum>
  <w:abstractNum w:abstractNumId="85">
    <w:nsid w:val="94211F2"/>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2025-04-21T06:15:50Z</dcterms:created>
  <dcterms:modified xsi:type="dcterms:W3CDTF">2025-04-21T06:15:50Z</dcterms:modified>
</cp:coreProperties>
</file>