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00" w:right="1600" w:hanging="257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1" w:lineRule="exact"/>
        <w:rPr>
          <w:sz w:val="24"/>
          <w:szCs w:val="24"/>
          <w:color w:val="auto"/>
        </w:rPr>
      </w:pPr>
    </w:p>
    <w:p>
      <w:pPr>
        <w:ind w:left="22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New Haven, CT</w:t>
      </w:r>
      <w:r>
        <w:rPr>
          <w:sz w:val="20"/>
          <w:szCs w:val="20"/>
          <w:color w:val="auto"/>
        </w:rPr>
        <w:tab/>
      </w:r>
      <w:r>
        <w:rPr>
          <w:rFonts w:ascii="Times New Roman" w:cs="Times New Roman" w:eastAsia="Times New Roman" w:hAnsi="Times New Roman"/>
          <w:sz w:val="18"/>
          <w:szCs w:val="18"/>
          <w:b w:val="1"/>
          <w:bCs w:val="1"/>
          <w:color w:val="auto"/>
        </w:rPr>
        <w:t>06510</w:t>
      </w:r>
    </w:p>
    <w:p>
      <w:pPr>
        <w:spacing w:after="0" w:line="18"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30, 2025, the registrant had 233,122,834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60" w:type="dxa"/>
            <w:vAlign w:val="bottom"/>
          </w:tcPr>
          <w:p>
            <w:pPr>
              <w:spacing w:after="0"/>
              <w:rPr>
                <w:sz w:val="18"/>
                <w:szCs w:val="18"/>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liability</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Borders>
              <w:top w:val="single" w:sz="8" w:color="CFF0FC"/>
            </w:tcBorders>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authorized and no shares issued and outstanding at September 30, 2025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and December 31, 2024</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214,409,450 shares issued and outstanding at September 30, 2025;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119,835,162 shares issued and outstanding at December 31, 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(943,413)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(901,994)</w:t>
            </w:r>
          </w:p>
        </w:tc>
      </w:tr>
      <w:tr>
        <w:trPr>
          <w:trHeight w:val="210"/>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93,068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Borders>
              <w:top w:val="single" w:sz="8" w:color="CFF0FC"/>
            </w:tcBorders>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$716 and $1,274 as of September 30, 2025 and December 31, 2024, respectively (see Note 15).</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6020" w:type="dxa"/>
            <w:vAlign w:val="bottom"/>
          </w:tcPr>
          <w:p>
            <w:pPr>
              <w:spacing w:after="0"/>
              <w:rPr>
                <w:sz w:val="12"/>
                <w:szCs w:val="12"/>
                <w:color w:val="auto"/>
              </w:rPr>
            </w:pPr>
          </w:p>
        </w:tc>
        <w:tc>
          <w:tcPr>
            <w:tcW w:w="14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4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tcPr>
          <w:p>
            <w:pPr>
              <w:spacing w:after="0"/>
              <w:rPr>
                <w:sz w:val="18"/>
                <w:szCs w:val="18"/>
                <w:color w:val="auto"/>
              </w:rPr>
            </w:pPr>
          </w:p>
        </w:tc>
      </w:tr>
      <w:tr>
        <w:trPr>
          <w:trHeight w:val="209"/>
        </w:trPr>
        <w:tc>
          <w:tcPr>
            <w:tcW w:w="6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119,344</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169,211</w:t>
            </w:r>
          </w:p>
        </w:tc>
        <w:tc>
          <w:tcPr>
            <w:tcW w:w="100" w:type="dxa"/>
            <w:vAlign w:val="bottom"/>
          </w:tcPr>
          <w:p>
            <w:pPr>
              <w:spacing w:after="0"/>
              <w:rPr>
                <w:sz w:val="18"/>
                <w:szCs w:val="18"/>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(11,023)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(62,311)</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(43,005)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(157,647)</w:t>
            </w:r>
          </w:p>
        </w:tc>
      </w:tr>
      <w:tr>
        <w:trPr>
          <w:trHeight w:val="209"/>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18"/>
                <w:szCs w:val="18"/>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(10,470)</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(60,739)</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(151,482)</w:t>
            </w:r>
          </w:p>
        </w:tc>
      </w:tr>
      <w:tr>
        <w:trPr>
          <w:trHeight w:val="210"/>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(151,487)</w:t>
            </w: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178"/>
        </w:trPr>
        <w:tc>
          <w:tcPr>
            <w:tcW w:w="60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136,874,02</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118,163,59</w:t>
            </w:r>
          </w:p>
        </w:tc>
        <w:tc>
          <w:tcPr>
            <w:tcW w:w="100" w:type="dxa"/>
            <w:vAlign w:val="bottom"/>
            <w:tcBorders>
              <w:top w:val="single" w:sz="8" w:color="CFF0FC"/>
            </w:tcBorders>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170,169,865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119,495,284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-2339340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-2339340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-2339340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-1782445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-1782445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-1782445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-1490980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-1490980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-1490980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-1207770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-1207770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-1207770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-916940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-916940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-916940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-633730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-633730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-633730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-325120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-307975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-325120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-307975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-325120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-307975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$525 and $1,449 for the three and nine months ended September 30, 2025, respectively, and related-party amounts of $463 for both the three and nine months ended September 30, 2024 (see Note 15).</w:t>
      </w:r>
    </w:p>
    <w:p>
      <w:pPr>
        <w:ind w:left="520" w:hanging="512"/>
        <w:spacing w:after="0" w:line="26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$1,158 and $3,426 for the three and nine months ended September 30, 2025, respectively, and $1,133 and $3,399 for the three and nine months ended September 30, 2024, respectively (see Note 15).</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5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6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90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71"/>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6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8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119,835,</w:t>
            </w: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(901,994)</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(16,289)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c>
          <w:tcPr>
            <w:tcW w:w="0" w:type="dxa"/>
            <w:vAlign w:val="bottom"/>
          </w:tcPr>
          <w:p>
            <w:pPr>
              <w:spacing w:after="0"/>
              <w:rPr>
                <w:sz w:val="1"/>
                <w:szCs w:val="1"/>
                <w:color w:val="auto"/>
              </w:rPr>
            </w:pPr>
          </w:p>
        </w:tc>
      </w:tr>
      <w:tr>
        <w:trPr>
          <w:trHeight w:val="191"/>
        </w:trPr>
        <w:tc>
          <w:tcPr>
            <w:tcW w:w="3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119,961,</w:t>
            </w: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3"/>
                <w:szCs w:val="23"/>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972,433</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(918,283)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4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(14,660)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(14,660)</w:t>
            </w:r>
          </w:p>
        </w:tc>
        <w:tc>
          <w:tcPr>
            <w:tcW w:w="0" w:type="dxa"/>
            <w:vAlign w:val="bottom"/>
          </w:tcPr>
          <w:p>
            <w:pPr>
              <w:spacing w:after="0"/>
              <w:rPr>
                <w:sz w:val="1"/>
                <w:szCs w:val="1"/>
                <w:color w:val="auto"/>
              </w:rPr>
            </w:pPr>
          </w:p>
        </w:tc>
      </w:tr>
      <w:tr>
        <w:trPr>
          <w:trHeight w:val="191"/>
        </w:trPr>
        <w:tc>
          <w:tcPr>
            <w:tcW w:w="3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120,142,</w:t>
            </w: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3"/>
                <w:szCs w:val="23"/>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975,759</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(932,943)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4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3,073</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connection</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at-the-market offering,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issued in</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connection</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 public offering, net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connection</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offering,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(10,470)</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191"/>
        </w:trPr>
        <w:tc>
          <w:tcPr>
            <w:tcW w:w="31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214,409,</w:t>
            </w: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1,036,50</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(943,413)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-4568190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-4551045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-4568190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-4551045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-4568190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-4551045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-4568190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-4551045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-4568190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-4551045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-4568190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-4551045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-4568190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-4551045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-3436620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-3419475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-3436620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-3419475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-3436620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-3419475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-3436620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-3419475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-3436620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-3419475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-3436620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-3419475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-3436620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-3419475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-1216660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-1216660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-1216660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-1216660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-1216660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-1216660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-1216660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780" w:type="dxa"/>
            <w:vAlign w:val="bottom"/>
            <w:gridSpan w:val="4"/>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8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8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110,160,</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(732,069)</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9,000,00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 net of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119,221,</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3"/>
                <w:szCs w:val="23"/>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954,063</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(775,565)</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(47,247)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(47,247)</w:t>
            </w:r>
          </w:p>
        </w:tc>
        <w:tc>
          <w:tcPr>
            <w:tcW w:w="0" w:type="dxa"/>
            <w:vAlign w:val="bottom"/>
          </w:tcPr>
          <w:p>
            <w:pPr>
              <w:spacing w:after="0"/>
              <w:rPr>
                <w:sz w:val="1"/>
                <w:szCs w:val="1"/>
                <w:color w:val="auto"/>
              </w:rPr>
            </w:pPr>
          </w:p>
        </w:tc>
      </w:tr>
      <w:tr>
        <w:trPr>
          <w:trHeight w:val="191"/>
        </w:trPr>
        <w:tc>
          <w:tcPr>
            <w:tcW w:w="31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119,442,</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963,454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(822,812)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ind w:left="6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3,140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(60,739)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(60,739)</w:t>
            </w:r>
          </w:p>
        </w:tc>
        <w:tc>
          <w:tcPr>
            <w:tcW w:w="0" w:type="dxa"/>
            <w:vAlign w:val="bottom"/>
          </w:tcPr>
          <w:p>
            <w:pPr>
              <w:spacing w:after="0"/>
              <w:rPr>
                <w:sz w:val="1"/>
                <w:szCs w:val="1"/>
                <w:color w:val="auto"/>
              </w:rPr>
            </w:pPr>
          </w:p>
        </w:tc>
      </w:tr>
      <w:tr>
        <w:trPr>
          <w:trHeight w:val="191"/>
        </w:trPr>
        <w:tc>
          <w:tcPr>
            <w:tcW w:w="31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119,604,</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966,718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(883,551)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-2150745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-2133600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-2150745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-2133600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-2150745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-2133600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-2150745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-2133600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-2150745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-2133600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-2150745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-2133600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-2150745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-2133600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-2133600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-1439545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-1439545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-1439545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-1439545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-1439545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-1439545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-307975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-307975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-307975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-307975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-307975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-307975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-307975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8400" w:type="dxa"/>
            <w:vAlign w:val="bottom"/>
          </w:tcPr>
          <w:p>
            <w:pPr>
              <w:spacing w:after="0"/>
              <w:rPr>
                <w:sz w:val="12"/>
                <w:szCs w:val="12"/>
                <w:color w:val="auto"/>
              </w:rPr>
            </w:pPr>
          </w:p>
        </w:tc>
        <w:tc>
          <w:tcPr>
            <w:tcW w:w="13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0" w:type="dxa"/>
            <w:vAlign w:val="bottom"/>
          </w:tcPr>
          <w:p>
            <w:pPr>
              <w:spacing w:after="0"/>
              <w:rPr>
                <w:sz w:val="12"/>
                <w:szCs w:val="12"/>
                <w:color w:val="auto"/>
              </w:rPr>
            </w:pPr>
          </w:p>
        </w:tc>
        <w:tc>
          <w:tcPr>
            <w:tcW w:w="13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48"/>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52"/>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2"/>
                <w:szCs w:val="12"/>
                <w:color w:val="auto"/>
              </w:rPr>
            </w:pPr>
          </w:p>
        </w:tc>
      </w:tr>
      <w:tr>
        <w:trPr>
          <w:trHeight w:val="173"/>
        </w:trPr>
        <w:tc>
          <w:tcPr>
            <w:tcW w:w="8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(151,482)</w:t>
            </w:r>
          </w:p>
        </w:tc>
      </w:tr>
      <w:tr>
        <w:trPr>
          <w:trHeight w:val="216"/>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(8,154)</w:t>
            </w: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(23,391)</w:t>
            </w: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(7,277)</w:t>
            </w: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16,032</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8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(132,881)</w:t>
            </w: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8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8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at-the-market offering, net of commissions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underwritten public offering, net of underwriting discounts and commissions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at-the-market offering costs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underwritten public offering costs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(93,772)</w:t>
            </w:r>
          </w:p>
        </w:tc>
      </w:tr>
      <w:tr>
        <w:trPr>
          <w:trHeight w:val="216"/>
        </w:trPr>
        <w:tc>
          <w:tcPr>
            <w:tcW w:w="8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84,967</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106,869</w:t>
            </w:r>
          </w:p>
        </w:tc>
        <w:tc>
          <w:tcPr>
            <w:tcW w:w="100" w:type="dxa"/>
            <w:vAlign w:val="bottom"/>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-2553970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-1979295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-864870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-582295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Invivyd, Inc. (the “Company”) is a biopharmaceutical company devoted to delivering protection from serious viral infectious diseases, beginning with SARS-CoV-2. PEMGARDA® (pemivibart) is the Company’s first monoclonal antibody (“mAb”) to receive regulatory authorization and was designed to keep pace with SARS-CoV-2 viral evolution.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January 2024, the Company nominated VYD2311, a next generation mAb candidate for COVID-19, as a drug candidate, and in September 2024, the Company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IM”) administration and subcutaneous administration, which are designed to be more system- and patient-friendly than intravenous administration. In June 2025, the Company announced positive full Phase 1/2 clinical data for VYD2311 for both safety and pharmacokinetics. In August 2025, the Company announced alignment with advice from the FDA on a compact and, therefore, rapid pathway to potential Biologics License Application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the Company announced that the FDA cleared the Company’s Investigational New Drug (“IND”) application for VYD2311 and provided feedback to advance the Company’s REVOLUTION clinical program, Invivyd’s development program for VYD2311. The REVOLUTION clinical program will include two clinical trials, DECLARATION and LIBERTY. The DECLARATION clinical trial is the Company’s BLA-enabling, Phase 3 randomized, triple-blind, placebo-controlled pivotal clinical trial to evaluate the efficacy and safety of VYD2311 for the prevention of symptomatic COVID at three months, with either a single dose or monthly doses of VYD2311, each administered via IM injection, compared to placebo. The LIBERTY clinical trial is designed as a Phase 3, randomized, pooled-vaccine, double-blind clinical trial to evaluate head-to-head safety and tolerability and co-administration interaction of VYD2311 with approved mRNA-based COVID vaccines in adults, subject to final alignment with the FDA. The DECLARATION and LIBERTY clinical trials are expected to begin around year-end 2025, with top-line data anticipated mid-2026. Additional studies in the REVOLUTION clinical program may be contemplated for conduct post-approval of VYD2311, if a BLA is granted by the FDA, to further elaborate the profile of antibody prevention of COVID. Like pemivibart, VYD2311 was engineered from adintrevimab, the Company’s investigational mAb that has a robust safety data package and demonstrated clinically meaningful results in global Phase 2/3 clinical trials for both the prevention and treatment of COVID-19.</w:t>
      </w:r>
    </w:p>
    <w:p>
      <w:pPr>
        <w:spacing w:after="0" w:line="9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July 2025, the Company announced that it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the Company’s investigational mAb candidate VYD2311.</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New Haven, Connecticut, and remotely. The Company leases dedicated laboratory and office space in Newton, Massachusetts for research and development purposes. In 2022, the Company expanded its research team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pemivibart and VYD2311, all of the Company’s other product candidates, other than adintrevimab, are currently in research development. The Company has initiated discovery efforts to assess pipeline expansion beyond SARS-CoV-2, including potential targets such as respiratory syncytial virus and measles. The Company’s additional product candidates will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net proceeds received from shares of common stock sold under the Sales Agreement (as defined below) and net proceeds received from shares of common stock and pre-funded warrants sold under the Underwriting Agreement (as defined below). After receiving EUA in March 2024, the Company has also funded its operations from sales of PEMGARDA.</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including a net loss of $41.4 million for the nine months ended September 30, 2025. As of September 30, 2025, the Company had an accumulated deficit of $943.4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future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2025, the condensed consolidated statements of operations and comprehensive loss for the three and nine months ended September 30, 2025 and 2024, the condensed consolidated statements of cash flows for the nine months ended September 30, 2025 and 2024 and the condensed consolidated statements of stockholders’ equity for the three and nine months ended September 30, 2025 and 2024 are unaudited.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September 30, 2025 and for the three and nine months ended September 30, 2025 and 2024 have been prepared by the Company pursuant to the rules and regulations of the U.S. Securities and Exchange Commission (“SEC”) for interim financial statements. The accompanying condensed consolidated balance sheet as of December 31, 2024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2024, which are included in the Company’s Annual Report on Form 10-K for the year ended December 31, 2024, as filed with the SEC on March 20, 2025 (the “2024 Form 10-K”).</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September 30, 2025 and December 31, 2024, the condensed consolidated results of operations for the three and nine months ended September 30, 2025 and 2024, the condensed consolidated cash flows for the nine months ended September 30, 2025 and 2024, and changes in stockholders’ equity for the three and nine months ended September 30, 2025 and 2024 have been made. The Company’s condensed consolidated results of operations for the three and nine months ended September 30, 2025 are not necessarily indicative of the results of operations that may be expected for the year ending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significant accounting policies and estimates, which are detailed in the Company’s 2024 Form 10-K, have not materially changed.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periods. Significant estimates and assumptions reflected in these condensed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expected future internal sales forecasts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If actual market conditions are less favorable than those projected by management or in the event of an adverse FDA action, inventory write-downs may be required.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pre-funded warrants as equity-classified based on an assessment of the warrant’s specific terms and applicable authoritative guidance included in Distinguishing Liabilities from Equity (“ASC 480”) and Derivatives and Hedging (“ASC 815”). The assessment considers whether the pre-funded warrants are freestanding financial instruments pursuant to ASC 480, whether the pre-funded warrants meet the definition of a liability pursuant to ASC 480, and whether the pre-funded warrants meet all of the requirements for equity classification under ASC 815.</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pre-funded warrants meet all of the criteria for equity classification and are recorded as a component of additional paid-in capital at the time of issuance, and are not remeasured.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the Company for the annual period beginning after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15, 2024. All entities should apply the guidance prospectively but have the option to apply it retrospectively. The Company is currently evaluating the potential impacts of ASU 2023-09 on its consolidated financial statement disclosures.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71" w:lineRule="exact"/>
        <w:rPr>
          <w:sz w:val="20"/>
          <w:szCs w:val="20"/>
          <w:color w:val="auto"/>
        </w:rPr>
      </w:pPr>
    </w:p>
    <w:p>
      <w:pPr>
        <w:ind w:left="520" w:right="87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color w:val="auto"/>
        </w:rPr>
        <w:t>Fair Value Measurements</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53"/>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1020" w:right="20" w:hanging="55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1020" w:right="20" w:hanging="567"/>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55"/>
        </w:trPr>
        <w:tc>
          <w:tcPr>
            <w:tcW w:w="38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1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52,547</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9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2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12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20" w:type="dxa"/>
            <w:vAlign w:val="bottom"/>
            <w:shd w:val="clear" w:color="auto" w:fill="CFF0FC"/>
          </w:tcPr>
          <w:p>
            <w:pPr>
              <w:spacing w:after="0"/>
              <w:rPr>
                <w:sz w:val="19"/>
                <w:szCs w:val="19"/>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5"/>
        </w:trPr>
        <w:tc>
          <w:tcPr>
            <w:tcW w:w="38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3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1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9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20" w:type="dxa"/>
            <w:vAlign w:val="bottom"/>
            <w:shd w:val="clear" w:color="auto" w:fill="CFF0FC"/>
          </w:tcPr>
          <w:p>
            <w:pPr>
              <w:spacing w:after="0"/>
              <w:rPr>
                <w:sz w:val="19"/>
                <w:szCs w:val="19"/>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-1096645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-1079500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-1096645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-1079500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-1096645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jc w:val="both"/>
        <w:ind w:right="400" w:firstLine="749"/>
        <w:spacing w:after="0" w:line="255" w:lineRule="auto"/>
        <w:rPr>
          <w:sz w:val="20"/>
          <w:szCs w:val="20"/>
          <w:color w:val="auto"/>
        </w:rPr>
      </w:pPr>
      <w:r>
        <w:rPr>
          <w:rFonts w:ascii="Times New Roman" w:cs="Times New Roman" w:eastAsia="Times New Roman" w:hAnsi="Times New Roman"/>
          <w:sz w:val="18"/>
          <w:szCs w:val="18"/>
          <w:color w:val="auto"/>
        </w:rPr>
        <w:t>The money market funds and U.S. Treasury securities traded in active markets were valued by the Company based on quoted market prices, which represent a Level 1 measurement within the fair value hierarchy. U.S. Treasury securities that were not the most recently issued securities were valued using observable inputs, such as quoted prices for similar securities, which represent a Level 2 measurement within the fair value hierarchy.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and nine months ended September 30, 2025.</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and nine months ended September 30,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non-current inventories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2025, $0.4 million of finished goods inventory was classified as a current asset and included within prepaid and other current assets in the condensed consolidated balance sheet. Please refer to Note 5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inventory, 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-1688465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IND applications, new drug applications, biologics license applications and other regulatory filings for the CoV Antibodies and Products in the Field, and for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three and nine months ended September 30, 2025 and 2024, the Company did not recognize any research and development expense with respect to services performed by Adimab on the Company’s behalf under the Adimab Assignment Agreement. Please refer to Note 15 for additional information.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through September 30, 2025;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pemivibart,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pemivibart,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September 30, 2025.</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did not recognize any in-process research and development (“IPR&amp;D”) expense with respect to contingent consideration payable under the Adimab Assignment Agreement. Except for milestone payments of $11.1 million incurred through December 31, 2023, no other milestone payments have been paid to or have been earned by Adimab through September 30, 2025.</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three and nine months ended September 30, 2025, the Company expensed $0.5 million and $1.4 million, respectively, of royalties, while reserving all rights under the Adimab Assignment Agreement and the applicable law. During both the three and nine months ended September 30, 2024, the Company expensed $0.5 million of royalties, while reserving all rights under the Adimab Assignment Agreement and the applicable law. In addition, the Company is obligated to pay Adimab royalties of a specified percentage in the range of 45% to 55% of any compulsory sublicense consideration received by the Company in lieu of certain royalty payments.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both the three months ended September 30, 2025 and 2024, the Company recognized $0.6 million of research and development expense related to the quarterly fee. During both the nine months ended September 30, 2025 and 2024, the Company recognized $1.8 million of research and development expense related to the quarterly fee.</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and nine months ended September 30, 2025 and 2024, the Company did not recognize any research and development expense with respect to services performed by Adimab on the Company’s behalf under the Adimab Collaboration Agreement. During the three and nine months ended September 30, 2025 and 2024, the Company did not recognize any IPR&amp;D expense related to drug delivery fees, optimization completion fees or option exercise fees. Please refer to Note 15 for additional information.</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September 30, 2025.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September 30, 2025,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three months ended September 30, 2025 and 2024, the Company recognized $0.5 million of research and development expense related to the annual fee under the Adimab Platform Transfer Agreement. During both the nine months ended September 30, 2025 and 2024, the Company recognized $1.5 million of research and development expense related to the annual fee under the Adimab Platform Transfer Agreement.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September 30, 2025.</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September 30, 2025,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September 30, 2025, no royalties had become due to WuXi Biologics.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and nine months ended September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in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did not pay any cash compensation to PHP and therefore did not recognize any research and development expense related thereto.</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72" w:lineRule="exact"/>
        <w:rPr>
          <w:sz w:val="20"/>
          <w:szCs w:val="20"/>
          <w:color w:val="auto"/>
        </w:rPr>
      </w:pPr>
    </w:p>
    <w:p>
      <w:pPr>
        <w:ind w:left="1020" w:right="32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ind w:left="1020" w:right="460" w:hanging="445"/>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a five-year facilities lease agreement for approximately 9,600 square feet of office space in Waltham, Massachusetts, which provided for monthly rental payments, including base rent charges of $0.4 million per year, subject to periodic rent increases, and the Company’s proportionate share of operating expenses. The Company exercised its option to terminate and this lease agreement expired in accordance with its terms on May 31, 2025.</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and May 2025, the Newton, MA Lease was further amended to extend the lease through December 2027, with an option to further extend the lease for an additional twenty-four months or continue the lease on a month-to-month basis after completion of the term ending in December 2027.</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w:t>
            </w:r>
          </w:p>
        </w:tc>
      </w:tr>
      <w:tr>
        <w:trPr>
          <w:trHeight w:val="149"/>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8"/>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240" w:type="dxa"/>
            <w:vAlign w:val="bottom"/>
          </w:tcPr>
          <w:p>
            <w:pPr>
              <w:spacing w:after="0"/>
              <w:rPr>
                <w:sz w:val="12"/>
                <w:szCs w:val="12"/>
                <w:color w:val="auto"/>
              </w:rPr>
            </w:pPr>
          </w:p>
        </w:tc>
        <w:tc>
          <w:tcPr>
            <w:tcW w:w="13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-582295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-582295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-582295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September 30, 2025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20" w:type="dxa"/>
            <w:vAlign w:val="bottom"/>
          </w:tcPr>
          <w:p>
            <w:pPr>
              <w:spacing w:after="0"/>
              <w:rPr>
                <w:sz w:val="15"/>
                <w:szCs w:val="15"/>
                <w:color w:val="auto"/>
              </w:rPr>
            </w:pPr>
          </w:p>
        </w:tc>
        <w:tc>
          <w:tcPr>
            <w:tcW w:w="25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10"/>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52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r>
        <w:trPr>
          <w:trHeight w:val="209"/>
        </w:trPr>
        <w:tc>
          <w:tcPr>
            <w:tcW w:w="8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top w:val="single" w:sz="8" w:color="CFF0FC"/>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operating leases were measured using a weighted-average incremental borrowing rate of 6.0% over a weighted-average remaining lease term of 2.3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operating leases were measured using a weighted-average incremental borrowing rate of 6.0% over a weighted-average remaining lease term of 1.1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$1.1 million is classified under “operating lease liabilities, current” for the portion due within twelve months, and $1.6 million is classified under “operating lease liabilities, non-current”.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September 30, 2025, the Company committed to noncancelable purchase obligations related to commercial drug substance and drug product manufacturing under the Commercial Manufacturing Agreement. As of September 30, 2025, the total remaining contractually binding commercial drug substance and drug product purchase obligations due to WuXi Biologics was $25.6 million, which was included in accounts payable and accrued expenses. The remaining balance is expected to be paid in 2025.</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September 30, 2025, the Company committed to noncancelable purchase obligations related to the procurement of materials to be used in future drug substance and drug product manufacturing under the Commercial Manufacturing Agreement. As of September 30, 2025, the total remaining contractually binding purchase obligations due to WuXi Biologics was $3.5 million, which was included in accounts payable and accrued expenses. The remaining balance is expected to be paid in 2025.</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September 30, 2025 and December 31, 2024.</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September 30, 2025, the Company was not a party to any material legal proceedings.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development and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the Company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September 30, 2025, the Company had not satisfied the net product revenue milestone required to be eligible to access proceeds from the Term Facility.</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the Company is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the Company has requested and the Lender has funded any loans under the Term Facility prior to such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reserved 36,387,016 shares of common stock for the exercise of outstanding stock options, the vesting of outstanding restricted stock units (“RSUs”) and the issuance of awards available for grant under the Company’s 2020 Equity Incentive Plan, 2021 Equity Incentive Plan and 2021 Employee Stock Purchase Plan (see Note 11).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and an accompanying base prospectus, which was declared effective by the SEC on October 5, 2022, for the offer and sale of up to $400 million of the Company’s securities (the “2022 Shelf Registration Statement”). As of September 30, 2025, $267.5 million of the Company’s securities remained available for offer and sale under the 2022 Shelf Registration Statement.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2025, the Company filed a new shelf registration statement on Form S-3 with the SEC and an accompanying base prospectus for the offer and sale of up to $350 million of the Company’s securities (the “2025 Shelf Registration Statement”).</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on Form 10-Q, the 2025 Shelf Registration Statement has not yet been declared effective by the SEC. However, the Company is permitted to continue to offer and sell, subject to applicable SEC requirements, unsold securities remaining on the 2022 Shelf Registration Statement until the 2025 Shelf Registration Statement has been declared effective (or April 3, 2026, if sooner).</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August 2025 Underwritten Public Offering</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2025, the Company completed an underwritten public offering pursuant to an underwriting agreement (the “Underwriting Agreement”) with Cantor Fitzgerald &amp; Co. (“Cantor”), as representative of the underwriters named therein, pursuant to which it issued and sold an aggregate of 89,234,480 shares of its common stock at a price of $0.52 per share, and pre-funded warrants to purchase up to an aggregate of 21,342,442 shares of common stock at a price of $0.5199 per pre-funded warrant (the “August 2025 Underwritten Public Offering”). The price of $0.5199 per pre-funded warrant represented the $0.52 per share purchase price for the common stock less the exercise price of $0.0001 per pre-funded warrant. The pre-funded warrants are exercisable at any time after their original issuance and will not expire. The Company received total net proceeds of approximately $53.5 million, after deducting underwriting discounts and commissions and offering expenses payable by the Company. As of September 30, 2025, there were no exercises of pre-funded warrants.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and filed with the SEC a prospectus supplement (the “2023 ATM Prospectus Supplement”) to the 2022 Shelf Registration Statement,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 after deducting issuance costs. In August 2025, the Company sold 4,400,000 shares of its common stock under the Sales Agreement at an average price of $1.05 per share for $4.5 million in proceeds net of commissions. As of September 30, 2025, $29.9 million remained available for sale under the 2023 ATM Prospectus Supplement.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2025, the Company sold 18,655,402 shares of its common stock under the Sales Agreement at an average price of $1.60 per share for $28.9 million in proceeds net of commissions.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2025, in connection with the filing of the 2025 Shelf Registration Statement, the Company filed with the SEC a new prospectus supplement, pursuant to which the Company may, at its option, after the 2025 Registration Statement is declared effective by the SEC,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RSUs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485,615 shares authorized to be issued upon the exercise of outstanding stock option grants and no shares reserved for future issuance under the 2020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RSUs and other stock-based awards. The number of shares initially reserved for issuance under the 2021 Plan was equal to 35,075,122, which was the sum of 11,413,572 new shares; plus the number of shares (not to exceed 23,661,550 shares), which represented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an aggregate of 35,797,059 shares authorized to be issued under the 2020 Plan and the 2021 Plan, which included 485,615 and 22,370,287 shares authorized to be issued upon the exercise of outstanding stock option and vesting of RSU grants from the 2020 Plan and 2021 Plan, respectively, and 0 and 12,941,157 shares reserved for future issuance under the 2020 Plan and 2021 Plan,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tbl>
      <w:tblPr>
        <w:tblLayout w:type="fixed"/>
        <w:tblInd w:w="0" w:type="dxa"/>
        <w:tblCellMar>
          <w:top w:w="0" w:type="dxa"/>
          <w:left w:w="0" w:type="dxa"/>
          <w:bottom w:w="0" w:type="dxa"/>
          <w:right w:w="0" w:type="dxa"/>
        </w:tblCellMar>
      </w:tblPr>
      <w:tr>
        <w:trPr>
          <w:trHeight w:val="155"/>
        </w:trPr>
        <w:tc>
          <w:tcPr>
            <w:tcW w:w="638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1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63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63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3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11,191,844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(123,111)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(4,739,390)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21,316,902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21,316,902</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September 30,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8,838,857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-299720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nine months ended September 30, 2025 was $0.58 and $0.86, respectively, per share.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nine months ended September 30, 2024 was $0.74 and $2.06, respectively, per share.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September 30, 2025 and 2024.</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$0 and less than $0.1 million for the three and nine months ended September 30, 2025, respectively. The total intrinsic value of stock options exercised was $0.1 million and $0.3 million for the three and nine months ended September 30, 2024,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and September 2025, the Company’s board of directors approved RSU grants to the Company’s executive officers and employees under the 2021 Plan. In February 2025, an aggregate of 1,700,000 RSUs were issued at a grant date fair value of $1.61 per share. In September 2025, an aggregate of 400,000 RSUs were issued at a grant date fair value of $1.15 per share. All RSU grants are scheduled to vest over an eighteen-month period, with one-third of the RSUs vesting every six months following the relevant grant date, subject to continuous service as of each vesting date.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since December 31, 2024:</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4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 Grant Date</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5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(561,000)</w:t>
            </w:r>
          </w:p>
        </w:tc>
        <w:tc>
          <w:tcPr>
            <w:tcW w:w="52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2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4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1,539,000</w:t>
            </w:r>
          </w:p>
        </w:tc>
        <w:tc>
          <w:tcPr>
            <w:tcW w:w="2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18"/>
        </w:trPr>
        <w:tc>
          <w:tcPr>
            <w:tcW w:w="404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20</w:t>
            </w:r>
          </w:p>
        </w:tc>
        <w:tc>
          <w:tcPr>
            <w:tcW w:w="1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-2103755</wp:posOffset>
            </wp:positionV>
            <wp:extent cx="93980" cy="2311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-1053465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-1036320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RSUs, and the Company’s employee stock purchase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expense categories of its condensed consolidated statements of operations and comprehensive loss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32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3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459"/>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total unrecognized stock-based compensation expense related to unvested stock options was $12.7 million, which is expected to be recognized over a weighted-average period of 2.3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related to unvested RSUs was $2.1 million, which is expected to be recognized over a weighted-average period of 1.02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752,816 shares issued under the 2021 ESPP as of September 30, 2025.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The first offering under the 2021 ESPP was June 6, 2022. As of September 30, 2025, 589,957 shares remained available for issuance under the 2021 ESPP. During both the three months ended September 30, 2025 and 2024, the Company recognized less than $0.1 million in related stock-based compensation expense. During the nine months ended September 30, 2025 and 2024, the Company recognized less than $0.2 million and less than $0.1 million, respectively, in related stock-based compensation expense.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than the pre-funded warrants issued in the August 2025 Underwritten Public Offering, there were no warrants issued during the three and nine months ended September 30, 2025 and 2024. As of September 30, 2025, other than the pre-funded warrants issued in the August 2025 Underwritten Public Offering, there were 6,824,712 warrants outstanding and not yet vested at a weighted-average exercise price of $3.48, with a weighted-average remaining contractual term of 7.13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68"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The OBBBA makes permanent key elements of the Tax Cuts and Jobs Act of 2017, including bonus depreciation, domestic research cost expensing and the business interest expense limitation, among other tax changes. The Company is currently evaluating the impact of the legislation and determined the OBBBA did not have a material impact on its effective tax rate for the three and nine months ended September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nine months ended September 30, 2025, the Company contributed $0.2 million and $0.6 million, respectively, to the 401(k) Plan. For the three and nine months ended September 30, 2024, the Company contributed $0.2 million and $0.5 million, respectively, to the 401(k)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tbl>
      <w:tblPr>
        <w:tblLayout w:type="fixed"/>
        <w:tblInd w:w="0" w:type="dxa"/>
        <w:tblCellMar>
          <w:top w:w="0" w:type="dxa"/>
          <w:left w:w="0" w:type="dxa"/>
          <w:bottom w:w="0" w:type="dxa"/>
          <w:right w:w="0" w:type="dxa"/>
        </w:tblCellMar>
      </w:tblPr>
      <w:tr>
        <w:trPr>
          <w:trHeight w:val="155"/>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8"/>
        </w:trPr>
        <w:tc>
          <w:tcPr>
            <w:tcW w:w="59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8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(10,470)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(151,482)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170,169,865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119,495,284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136,874,025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118,163,599</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00" w:type="dxa"/>
            <w:vAlign w:val="bottom"/>
            <w:gridSpan w:val="2"/>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8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21,342,442 shares of common stock issuable upon exercise of pre-funded warrants described in Note 10 are included as outstanding common stock in the calculation of net loss per common share.</w:t>
      </w:r>
    </w:p>
    <w:p>
      <w:pPr>
        <w:spacing w:after="0" w:line="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the three and nine months ended September 30, 2025. There were no shares of unvested restricted common stock for the three and nine months ended September 30, 2024.</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85"/>
        </w:trPr>
        <w:tc>
          <w:tcPr>
            <w:tcW w:w="7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21,316,902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21,875,754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1,539,000</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29,680,614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28,700,466</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an aggregate of $0.7 million and $1.3 million, respectively, was due to Adimab under the Adimab Assignment Agreement, the Adimab Collaboration Agreement, the Adimab Platform Transfer Agreement and the Adimab DNA Sequencing Services Agreement (as defined below) by the Company and was included in accrued expenses. As of September 30, 2025 and December 31, 2024, no amounts were due to the Company from Adimab under the Adimab Assignment Agreement, the Adimab Collaboration Agreement, the Adimab Platform Transfer Agreement or the Adimab DNA Sequencing Services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did not recognize any IPR&amp;D expense with respect to contingent consideration payable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expensed $0.5 million and $1.4 million, respectively, of royalties as costs of product revenue, while reserving all rights under the Adimab Assignment Agreement and the applicable law. During both the three and nine months ended September 30, 2024, the Company expensed $0.5 million of royalties as costs of product revenue with respect to royalties under the Adimab Assignment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months ended September 30, 2025 and 2024, the Company recognized $0.6 million of research and development expense related to the quarterly fee under the Adimab Collaboration Agreement. During both the nine months ended September 30, 2025 and 2024, the Company recognized $1.8 million of research and development expense related to the quarterly fee under the Adimab Collaboration Agreement.</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did not recognize any research and development expense with respect to services performed by Adimab on the Company’s behalf under the Adimab Collaboration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months ended September 30, 2025 and 2024, the Company recognized $0.5 million of research and development expense related to the annual fee under the Adimab Platform Transfer Agreement. During both the nine months ended September 30, 2025 and 2024, the Company recognized $1.5 million of research and development expense related to the annual fee under the Adimab Platform Transfer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and January 2025,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recognized less than $0.1 million of research and development expense with respect to services performed by Adimab on the Company’s behalf under the Adimab DNA Sequencing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firstLine="572"/>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dedicated to the research and development, commercialization, and sale of mAbs in the U.S to deliver protection from serious viral infectious diseases.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and significant segment expenses as provided to the CODM.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Direct, external research and development expenses by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Pemivibart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VYD2311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Adintrevimab</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direct, external research and development expenses by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Unallocated research and development expenses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(62,311)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(43,005)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(157,647)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(10,470)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(60,739)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(41,419)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(151,482)</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-2536825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-2536825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-2536825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-1567815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-1567815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-1567815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-873760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-873760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-873760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-316230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-316230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related expenses (excluding research and development stock-based compensation) and external discovery-related and other costs.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commercial, general and administrative personnel related costs (excluding stock-based compensation), professional and consulting fees and other costs.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$554 and $1,563 for the three months ended September 30, 2025 and 2024, respectively and interest income of $1,587 and $6,325 for the nine months ended September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2024, filed with the Securities and Exchange Commission (“SEC”) on March 20, 2025 (the “2024 Form 10-K”). Unless the context requires otherwise, references in this Quarterly Report on Form 10-Q to “we,” “us,” and “our” refer to Invivyd, Inc. together with its consolidated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PEMGARDA to keep pace with SARS-CoV-2 viral evolution;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VYD2311, our next generation monoclonal antibody (“mAb”) candidate for COVID-19, and the potential of VYD2311 to offer the ability to deliver clinically meaningful titer levels through more system- and patient-friendly means;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availability of a rapid pathway to potential Biologics License Application (“BLA”) approval for VYD2311 for the prevention of COVID-19 and the compact pivotal clinical trial that could substantiate it;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expectations regarding the DECLARATION and LIBERTY clinical trials that are part of our broader REVOLUTION clinical program, and including statements regarding initiation or completion of studies or trials and related preparatory work, the period during which results of any studies or trials will become available, and potential regulatory submissions;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aim to develop mAbs that could be used in prevention or treatment of serious viral diseases, starting with COVID-19 and potentially expanding into other high-need indications;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efforts to assess pipeline expansion beyond SARS-CoV-2, including potential targets such as respiratory syncytial virus and measles;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of establishing streamlined development pathways to efficiently introduce new mAb candidates targeting SARS-CoV-2;</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SARS-CoV-2 variant monitoring of antiviral activity as part of our ongoing industrial virology effort;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and our expectations regarding supply and demand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SPEAR Study Group, including its anticipated focus, goals and plans;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sections of the 2024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PEMGARDA® (pemivibart) is our first monoclonal antibody (“mAb”) to receive regulatory authorization and was designed to keep pace with SARS-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CoV-2 viral evolution.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will include two</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DECLARATION and LIBERTY. The DECLARATION clinical trial is our BLA-enabling, Phase 3 randomized, triple-blind, placebo-controlled pivotal clinical trial to evaluate the efficacy and safety of VYD2311 for the prevention of symptomatic COVID at three months, with either a single dose or monthly doses of VYD2311, each administered via IM injection, compared to placebo. The LIBERTY clinical trial is designed as a Phase 3, randomized, pooled-vaccine, double-blind clinical trial to evaluate head-to-head safety and tolerability and co-administration interaction of VYD2311 with approved mRNA-based COVID vaccines in adults, subject to final alignment with the FDA. The DECLARATION and LIBERTY clinical trials are expected to begin around year-end 2025, with top-line data anticipated mid-2026. Additional studies in the REVOLUTION clinical program may be contemplated for conduct post-approval of VYD2311, if a BLA is granted by the FDA, to further elaborate the profile of antibody prevention of COVID.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announced attractive neutralization potency of VYD2311 against the same contemporary viruses, and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leveraging previously generated safety and efficacy data from our clinical trials of adintrevimab and/or pemivibart. We have also initiated discovery efforts to assess pipeline expansion beyond SARS-CoV-2, including potential targets such as respiratory syncytial virus and measles.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addition, we expect to continue to rely on third parties for clinical trials and the manufacture and testing of our product candidates, as well as to perform ongoing research and development and other services on our behalf.</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and through September 30, 2025, we have financed our operations primarily through the sale and issuance of preferred and common stock, including net proceeds of $464.7 million from sales of our preferred stock, net proceeds of $327.5 million from our initial public offering (“IPO”), net proceeds of $43.8 million from sales of our common stock under the Sales Agreement (as defined below) and net proceeds of $53.5 million from sales of our common stock and pre-funded warrants under the Underwriting Agreement (as defined below).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$41.4 million for the nine months ended September 30, 2025. As of September 30, 2025, we had an accumulated deficit of $943.4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 as well as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commercial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future external financing, we will not have sufficient cash and cash equivalents to fund our operating expenses and capital requirements beyond one year from the issuance date of the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U.S. Product revenues are recorded net of applicable reserves for variable consideration, including discounts and allowances, trade discounts and distributor fees, government chargebacks, product returns and other incentives such as co-pay assistance programs.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We have also initiated discovery efforts to assess pipeline expansion beyond SARS-CoV-2, including potential targets such as respiratory syncytial virus and measles.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particularly as we advance the REVOLUTION clinical program, pursue EUA or regulatory approval of our product candidates, and continue to discover and develop additional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284" w:lineRule="exact"/>
        <w:rPr>
          <w:sz w:val="20"/>
          <w:szCs w:val="20"/>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September 30, 2025, we have operated as a hybrid company. We have not incurred material operating expenses for the rent, maintenance and insurance of facilities, or for the depreciation of fixed assets.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September 30, 2025,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000" w:type="dxa"/>
            <w:vAlign w:val="bottom"/>
          </w:tcPr>
          <w:p>
            <w:pPr>
              <w:spacing w:after="0"/>
              <w:rPr>
                <w:sz w:val="12"/>
                <w:szCs w:val="12"/>
                <w:color w:val="auto"/>
              </w:rPr>
            </w:pPr>
          </w:p>
        </w:tc>
        <w:tc>
          <w:tcPr>
            <w:tcW w:w="3640" w:type="dxa"/>
            <w:vAlign w:val="bottom"/>
            <w:gridSpan w:val="4"/>
          </w:tcPr>
          <w:p>
            <w:pPr>
              <w:ind w:left="224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394"/>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320" w:type="dxa"/>
            <w:vAlign w:val="bottom"/>
            <w:gridSpan w:val="2"/>
          </w:tcPr>
          <w:p>
            <w:pPr>
              <w:ind w:left="22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8"/>
                <w:szCs w:val="18"/>
                <w:color w:val="auto"/>
              </w:rPr>
            </w:pPr>
          </w:p>
        </w:tc>
      </w:tr>
      <w:tr>
        <w:trPr>
          <w:trHeight w:val="209"/>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20" w:type="dxa"/>
            <w:vAlign w:val="bottom"/>
            <w:gridSpan w:val="2"/>
            <w:shd w:val="clear" w:color="auto" w:fill="CFF0FC"/>
          </w:tcPr>
          <w:p>
            <w:pPr>
              <w:ind w:left="22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(49,804)</w:t>
            </w:r>
          </w:p>
        </w:tc>
      </w:tr>
      <w:tr>
        <w:trPr>
          <w:trHeight w:val="216"/>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(47,459)</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(62,311)</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51,288</w:t>
            </w:r>
          </w:p>
        </w:tc>
        <w:tc>
          <w:tcPr>
            <w:tcW w:w="100" w:type="dxa"/>
            <w:vAlign w:val="bottom"/>
            <w:shd w:val="clear" w:color="auto" w:fill="CFF0FC"/>
          </w:tcPr>
          <w:p>
            <w:pPr>
              <w:spacing w:after="0"/>
              <w:rPr>
                <w:sz w:val="18"/>
                <w:szCs w:val="18"/>
                <w:color w:val="auto"/>
              </w:rPr>
            </w:pPr>
          </w:p>
        </w:tc>
      </w:tr>
      <w:tr>
        <w:trPr>
          <w:trHeight w:val="209"/>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shd w:val="clear" w:color="auto" w:fill="CFF0FC"/>
          </w:tcPr>
          <w:p>
            <w:pPr>
              <w:ind w:left="224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(10,470)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(60,739)</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50,269</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-1448435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-1448435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-316865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$13.1 million and $9.3 million for the three months ended September 30, 2025 and 2024, respectively. The $3.8 million increase is the result of increased product sales following the launch of PEMGARDA.</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$1.1 million and $0.8 million for the three months ended September 30, 2025 and 2024, respectively. The $0.3 million increase is the result of increased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jc w:val="right"/>
              <w:ind w:right="875"/>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6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(4,304)</w:t>
            </w:r>
          </w:p>
        </w:tc>
      </w:tr>
      <w:tr>
        <w:trPr>
          <w:trHeight w:val="216"/>
        </w:trPr>
        <w:tc>
          <w:tcPr>
            <w:tcW w:w="53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(44,780)</w:t>
            </w: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Adintrevimab</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53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(49,804</w:t>
            </w: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-156845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-156845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-10795</wp:posOffset>
            </wp:positionV>
            <wp:extent cx="326580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65805" cy="25400"/>
                    </a:xfrm>
                    <a:prstGeom prst="rect">
                      <a:avLst/>
                    </a:prstGeom>
                    <a:noFill/>
                  </pic:spPr>
                </pic:pic>
              </a:graphicData>
            </a:graphic>
          </wp:anchor>
        </w:drawing>
      </w:r>
    </w:p>
    <w:p>
      <w:pPr>
        <w:ind w:left="180" w:hanging="172"/>
        <w:spacing w:after="0" w:line="238"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$8.0 million for the three months ended September 30, 2025, compared to $57.9 million for the three months ended September 30, 2024. The $49.8 million decrease in research and development expenses was primarily due to the following:</w:t>
      </w:r>
    </w:p>
    <w:p>
      <w:pPr>
        <w:spacing w:after="0" w:line="75" w:lineRule="exact"/>
        <w:rPr>
          <w:sz w:val="20"/>
          <w:szCs w:val="20"/>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decrease of $2.8 million in contract research costs for our Phase 3 CANOPY clinical trial, $1.1 million in contract development and manufacturing expenses, $0.2 million in nonclinical expenses, and $0.2 million in other external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VYD2311 program resulted from decrease of $43.6 million in contract costs for commercial manufacturing, $0.7 million in contract research costs for our Phase 1/2 clinical trial, and $0.5 million in nonclinical expense;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related to our adintrevimab program remained relatively consistent between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$0.3 million in headcount-related costs;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external discovery-related and other costs resulted from decrease of $0.3 million in contract development and manufacturing costs related to our pipeline candidates.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$15.0 million for the three months ended September 30, 2025, compared to $13.0 million for the three months ended September 30, 2024. The $2.0 million increase in selling, general and administrative expenses was primarily due to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personnel related costs primarily related to a $2.2 million increase in headcount-related costs and $0.4 million in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professional and consultant fees resulted from decrease of $1.0 million related to sales and marketing costs and $0.2 million in insurance cost, partially offset by increase of $0.1 million in professional service fees;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an increase of travel costs of $0.6 million.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$0.6 million and $1.6 million for the three months ended September 30, 2025 and 2024, respectively, in each case consisting primarily of interest earned on our invested cash balances.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160" w:type="dxa"/>
            <w:vAlign w:val="bottom"/>
          </w:tcPr>
          <w:p>
            <w:pPr>
              <w:spacing w:after="0"/>
              <w:rPr>
                <w:sz w:val="12"/>
                <w:szCs w:val="12"/>
                <w:color w:val="auto"/>
              </w:rPr>
            </w:pPr>
          </w:p>
        </w:tc>
        <w:tc>
          <w:tcPr>
            <w:tcW w:w="4480" w:type="dxa"/>
            <w:vAlign w:val="bottom"/>
            <w:gridSpan w:val="4"/>
          </w:tcPr>
          <w:p>
            <w:pPr>
              <w:ind w:left="308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94"/>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18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Pr>
          <w:p>
            <w:pPr>
              <w:spacing w:after="0"/>
              <w:rPr>
                <w:sz w:val="18"/>
                <w:szCs w:val="18"/>
                <w:color w:val="auto"/>
              </w:rPr>
            </w:pPr>
          </w:p>
        </w:tc>
      </w:tr>
      <w:tr>
        <w:trPr>
          <w:trHeight w:val="210"/>
        </w:trPr>
        <w:tc>
          <w:tcPr>
            <w:tcW w:w="41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180" w:type="dxa"/>
            <w:vAlign w:val="bottom"/>
            <w:gridSpan w:val="2"/>
            <w:shd w:val="clear" w:color="auto" w:fill="CFF0FC"/>
          </w:tcPr>
          <w:p>
            <w:pPr>
              <w:ind w:left="30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(91,084)</w:t>
            </w:r>
          </w:p>
        </w:tc>
      </w:tr>
      <w:tr>
        <w:trPr>
          <w:trHeight w:val="216"/>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r>
      <w:tr>
        <w:trPr>
          <w:trHeight w:val="20"/>
        </w:trPr>
        <w:tc>
          <w:tcPr>
            <w:tcW w:w="416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(89,987)</w:t>
            </w:r>
          </w:p>
        </w:tc>
      </w:tr>
      <w:tr>
        <w:trPr>
          <w:trHeight w:val="20"/>
        </w:trPr>
        <w:tc>
          <w:tcPr>
            <w:tcW w:w="4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(43,005)</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(157,647)</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114,642</w:t>
            </w:r>
          </w:p>
        </w:tc>
        <w:tc>
          <w:tcPr>
            <w:tcW w:w="100" w:type="dxa"/>
            <w:vAlign w:val="bottom"/>
            <w:shd w:val="clear" w:color="auto" w:fill="CFF0FC"/>
          </w:tcPr>
          <w:p>
            <w:pPr>
              <w:spacing w:after="0"/>
              <w:rPr>
                <w:sz w:val="18"/>
                <w:szCs w:val="18"/>
                <w:color w:val="auto"/>
              </w:rPr>
            </w:pPr>
          </w:p>
        </w:tc>
      </w:tr>
      <w:tr>
        <w:trPr>
          <w:trHeight w:val="210"/>
        </w:trPr>
        <w:tc>
          <w:tcPr>
            <w:tcW w:w="4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(4,579)</w:t>
            </w:r>
          </w:p>
        </w:tc>
      </w:tr>
      <w:tr>
        <w:trPr>
          <w:trHeight w:val="20"/>
        </w:trPr>
        <w:tc>
          <w:tcPr>
            <w:tcW w:w="416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(4,579)</w:t>
            </w:r>
          </w:p>
        </w:tc>
      </w:tr>
      <w:tr>
        <w:trPr>
          <w:trHeight w:val="20"/>
        </w:trPr>
        <w:tc>
          <w:tcPr>
            <w:tcW w:w="4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180" w:type="dxa"/>
            <w:vAlign w:val="bottom"/>
            <w:gridSpan w:val="2"/>
            <w:shd w:val="clear" w:color="auto" w:fill="CFF0FC"/>
          </w:tcPr>
          <w:p>
            <w:pPr>
              <w:ind w:left="308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(41,419)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(151,482)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110,063</w:t>
            </w:r>
          </w:p>
        </w:tc>
        <w:tc>
          <w:tcPr>
            <w:tcW w:w="100" w:type="dxa"/>
            <w:vAlign w:val="bottom"/>
            <w:shd w:val="clear" w:color="auto" w:fill="CFF0FC"/>
          </w:tcPr>
          <w:p>
            <w:pPr>
              <w:spacing w:after="0"/>
              <w:rPr>
                <w:sz w:val="21"/>
                <w:szCs w:val="21"/>
                <w:color w:val="auto"/>
              </w:rPr>
            </w:pPr>
          </w:p>
        </w:tc>
      </w:tr>
      <w:tr>
        <w:trPr>
          <w:trHeight w:val="628"/>
        </w:trPr>
        <w:tc>
          <w:tcPr>
            <w:tcW w:w="4160" w:type="dxa"/>
            <w:vAlign w:val="bottom"/>
            <w:tcBorders>
              <w:top w:val="single" w:sz="8" w:color="CFF0FC"/>
            </w:tcBorders>
          </w:tcPr>
          <w:p>
            <w:pPr>
              <w:spacing w:after="0"/>
              <w:rPr>
                <w:sz w:val="24"/>
                <w:szCs w:val="24"/>
                <w:color w:val="auto"/>
              </w:rPr>
            </w:pPr>
          </w:p>
        </w:tc>
        <w:tc>
          <w:tcPr>
            <w:tcW w:w="3080" w:type="dxa"/>
            <w:vAlign w:val="bottom"/>
            <w:tcBorders>
              <w:top w:val="single" w:sz="8" w:color="CFF0FC"/>
            </w:tcBorders>
          </w:tcPr>
          <w:p>
            <w:pPr>
              <w:ind w:left="13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-2356485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-2356485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-1799590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-1799590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-1508125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-1508125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-1224915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-1224915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-933450</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-916940</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-916940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$36.2 million and $11.6 million for the nine months ended September 30, 2025 and 2024, respectively. The $24.6 million increase is the result of increased product sales following the launch of PEMGARDA in April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$2.6 million and $0.9 million for the nine months ended September 30, 2025 and 2024, respectively. The $1.7 million increase is the result of increased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(25,307)</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(61,397)</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Adintrevimab</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-156845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-10795</wp:posOffset>
            </wp:positionV>
            <wp:extent cx="26917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91765" cy="25400"/>
                    </a:xfrm>
                    <a:prstGeom prst="rect">
                      <a:avLst/>
                    </a:prstGeom>
                    <a:noFill/>
                  </pic:spPr>
                </pic:pic>
              </a:graphicData>
            </a:graphic>
          </wp:anchor>
        </w:drawing>
      </w:r>
    </w:p>
    <w:p>
      <w:pPr>
        <w:ind w:left="180" w:hanging="172"/>
        <w:spacing w:after="0" w:line="238"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were $28.3 million for the nine months ended September 30, 2025, compared to $119.3 million for the nine months ended September 30, 2024. The $91.0 million decrease in research and development expenses was primarily due to the following:</w:t>
      </w:r>
    </w:p>
    <w:p>
      <w:pPr>
        <w:spacing w:after="0" w:line="66"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decrease of $12.5 million in contract costs for commercial manufacturing, $11.4 million in contract research costs for our Phase 3 CANOPY clinical trial, $0.8 million in nonclinical costs, and $0.6 million in other external costs;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VYD2311 program resulted from decrease of $59.5 million in contract costs for clinical and commercial manufacturing, $1.7 million in nonclinical expense, and $0.3 million in clinical trial expense, partially offset by increase of $0.1 million in external discovery-related and other costs;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related to our adintrevimab program remained relatively consistent between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$3.4 million in headcount-related costs;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external discovery-related and other costs resulted from $0.9 million in contract development and manufacturing expense related to our pipeline candidates.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54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-1079500</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6" w:name="page37"/>
    <w:bookmarkEnd w:id="36"/>
    <w:p>
      <w:pPr>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$48.4 million for the nine months ended September 30, 2025, compared to $49.0 million for the nine months ended September 30, 2024. The $0.6 million decrease in selling, general and administrative expenses was primarily due to the following:</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$6.6 million in stock-based compensation expense, partially offset by increase of $4.5 million in headcount-related costs. The decrease in stock-based compensation expense was primarily due to stock-based compensation expense recognized in 2024 associated with the accelerated vesting of a portion of the outstanding stock options granted to our former Chief Executive Officer, in accordance with the terms of his employment agreement;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professional and consultant fees resulted from decrease of $0.4 million in sales and marketing costs and $0.4 million in insurance costs, partially offset by increase of $0.5 million in professional service fees;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increase of $1.6 million in travel costs and $0.2 million in software licensing costs.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was $1.6 million and $6.2 million for the nine months ended September 30, 2025 and 2024, respectively, in each case consisting primarily of interest earned on our invested cash balances.</w:t>
      </w:r>
    </w:p>
    <w:p>
      <w:pPr>
        <w:spacing w:after="0" w:line="50"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Through September 30, 2025,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and advance the development of VYD2311 and our other product candidates. As of September 30, 2025, we have financed our operations primarily with net proceeds of $464.7 million from sales of our preferred stock, with aggregate net proceeds from our IPO in August 2021 of $327.5 million, with aggregate net proceeds after deducting issuance costs of $43.8 million from sales of our common stock under the Sales Agreement (as defined below), and with net proceeds after deducting underwriting discounts and commissions and offering expenses of $53.5 million from sales of our common stock and pre-funded warrants under the Underwriting Agreement (as defined below). After receiving EUA in March 2024, we have also funded our operations from sales of PEMGARDA.</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$85.0 million. In October 2025, we sold 18,655,402 shares of our common stock under the Sales Agreement at an average price of $1.60 per share for $28.9 million in proceeds net of commissions.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we filed a shelf registration statement on Form S-3 with the SEC and an accompanying base prospectus, which was declared effective by the SEC on October 5, 2022, for the offer and sale of up to $400 million of our securities (the “2022 Shelf Registration Statement”). As of September 30, 2025, $267.5 million of our securities remained available for offer and sale under the 2022 Shelf Registration Statement.</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October 2025, we filed a new shelf registration statement on Form S-3 with the SEC and an accompanying base prospectus, for the offer and sale of up to $350 million of our securities (the “2025 Shelf Registration Statement”).</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on Form 10-Q, the 2025 Shelf Registration Statement has not yet been declared effective by the SEC. However, we are permitted to continue to offer and sell, subject to applicable SEC requirements, unsold securities remaining on the 2022 Shelf Registration Statement until the 2025 Shelf Registration Statement has been declared effective (or April 3, 2026, if sooner).</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2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and filed with the SEC a prospectus supplement to the 2022 Shelf Registration Statement (the “2023 ATM Prospectus Supplement”),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we sold 9,000,000 shares of our common stock under the Sales Agreement at an average price of $4.50 per share for $39.3 million in net proceeds after deducting issuance costs. In August 2025, we sold 4,400,000 shares of our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under the Sales Agreement at an average price of $1.05 per share for $4.5 million in proceeds net of commissions. As of September 30, 2025, $29.9 million remained available for sale under the 2023 ATM Prospectus Supplement.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2025, we sold 18,655,402 shares of our common stock under the Sales Agreement at an average price of $1.60 per share for $28.9 million in proceeds net of commissions.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2025, in connection with the filing of the 2025 Shelf Registration Statement, we filed with the SEC a new prospectus supplement, pursuant to which we may, at our option, after the 2025 Registration Statement is declared effective by the SEC,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August 2025, we completed an underwritten public offering pursuant to an underwriting agreement (the “Underwriting Agreement”) with Cantor, as representative of the underwriters named therein, pursuant to which we issued and sold an aggregate of 89,234,480 shares of our common stock at a price of $0.52 per share, and pre-funded warrants to purchase up to an aggregate of 21,342,442 shares of common stock at a price of $0.5199 per pre-funded warrant. The price of $0.5199 per pre-funded warrant represented the $0.52 per share purchase price for the common stock less the exercise price of $0.0001 per pre-funded warrant. The pre-funded warrants are exercisable at any time after their original issuance and will not expire. We received total net proceeds of approximately $53.5 million, after deducting underwriting discounts and commissions and offering expenses.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we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September 30, 2025, we had not satisfied the net product revenue milestone required to be eligible to access proceeds from the Term Facility.</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are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w:t>
      </w:r>
    </w:p>
    <w:p>
      <w:pPr>
        <w:spacing w:after="0" w:line="1" w:lineRule="exact"/>
        <w:rPr>
          <w:sz w:val="20"/>
          <w:szCs w:val="20"/>
          <w:color w:val="auto"/>
        </w:rPr>
      </w:pPr>
    </w:p>
    <w:p>
      <w:pPr>
        <w:ind w:firstLine="8"/>
        <w:spacing w:after="0" w:line="260" w:lineRule="auto"/>
        <w:tabs>
          <w:tab w:leader="none" w:pos="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Loan Agreement; provided, that such fee will be waived by the Lender in the event that we have requested and the Lender has funded any loans under the Term Facility prior to such date.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(42,680)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(132,881)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(93,772)</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operating activities used $42.7 million of cash, primarily due to our net loss of $41.4 million and changes in our operating assets and liabilities of $12.3 million, partially offset by non-cash charges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of $11.0 million. The changes in our operating assets and liabilities primarily consisted of a $24.9 million decrease in accrued expenses, and a $1.0 million decrease in operating lease liabilities, partially offset by a $7.5 million increase in accounts payable, a $5.4 million decrease in prepaid expenses and other current assets, and a $0.7 million decrease in accounts receivable. The change in accrued expenses was primarily due to the timing of vendor invoicing and payments.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$132.9 million of cash, primarily due to our net loss of $151.5 million, partially offset by non-cash charges of $18.3 million and changes in our operating assets and liabilities of $0.3 million. The changes in our operating assets and liabilities primarily consisted of a $16.0 million increase in accrued expenses, a $15.3 million decrease in prepaid expenses and other current assets, and a $9.7 million increase in accounts payable, partially offset by a $23.4 million increase in inventory, a $8.1 million increase in accounts receivables, a $7.3 million increase in other non-current assets, a $1.2 million decrease in operating lease liabilities and a $0.7 million decrease in other non-current liabilities. The increase in accrued expenses was primarily due to the timing of vendor invoicing and payments. The decrease in prepaid expenses and other current assets was primarily due to the utilization of WuXi Biologics manufacturing prepayments.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consisted primarily of $0.2 million in purchases of property and equipment.</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consisted of $0.1 million in purchases of property and equipment.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2025 consisted of $54.0 million from the issuance of common stock and pre-funded warrants sold under the Underwriting Agreement, $4.5 million from the issuance of common stock under the Sales Agreement, $0.2 million from the issuance of common stock under the employee stock purchase plan, and $0.1 million from exercises of stock options, partially offset by $0.2 million in payments for offering costs related to the Underwriting Agreement and $0.1 million in payments for offering costs related to the Sales Agreement.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consisted of $39.3 million from the issuance of common stock under the Sales Agreement, $0.3 million from exercises of stock options, and $0.2 million from the issuance of common stock under the employee stock purchase plan, partially offset by $0.5 million in payments for offering costs related to the Sales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expenses are expected to increase in connection with our ongoing activities, particularly as we advance the REVOLUTION clinical program for VYD2311, the nonclinical and preclinical studies and the clinical trials of our other product candidates, our ongoing and planned commercialization efforts, and any associated manufacturing activities in connection with our clinical development and commercialization activities. Our funding requirements and timing and amount of our operating expenditures will depend on many factors, including:</w:t>
      </w:r>
    </w:p>
    <w:p>
      <w:pPr>
        <w:spacing w:after="0" w:line="72" w:lineRule="exact"/>
        <w:rPr>
          <w:sz w:val="20"/>
          <w:szCs w:val="20"/>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 including our REVOLUTION clinical program;</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maintain and expand a commercial infrastructure for product candidates for which we obtain regulatory authorization or approval;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9" w:name="page40"/>
    <w:bookmarkEnd w:id="39"/>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 as needed in the future;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condensed consolidated financial statements. Based on current operating plans and excluding any contribution from future revenues or future external financing, we will not have sufficient cash and cash equivalents to fund our operating expenses and capital requirements beyond one year from the issuance of these condensed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September 30, 2025, we committed to noncancelable purchase obligations related to commercial drug substance and drug product manufacturing under the Commercial Manufacturing Services Agreement with WuXi Biologics, which was entered into in December 2020, amended and restated in August 2021 and further amended and restated in September 2023 (as amended and restated, the “Commercial Manufacturing Agreement”). As of September 30, 2025, the total remaining contractually binding commercial drug substance and drug product purchase obligations due to WuXi Biologics was $25.6 million, which was included in accounts payable and accrued expenses. The remaining balance is expected to be paid in 2025.</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September 30, 2025, we committed to noncancelable purchase obligations related to the procurement of materials to be used in future drug substance and drug product manufacturing under the Commercial Manufacturing Agreement. As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September 30, 2025, the total remaining contractually binding purchase obligations due to WuXi Biologics was $3.5 million, which was included in accounts payable and accrued expenses. The remaining balance is expected to be paid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U.S. The preparation of our financial statements and related disclosures requires us to make estimates, assumptions and judgments that affect the reported amounts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2024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2024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September 30, 2025.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2025, our Chief Financial Officer concluded that, as of such date, our disclosure controls and procedures as of such date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2025 that have materially affected, or are reasonably likely to materially affect, our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September 30, 2025, we were not a party to any material legal proceedings.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Information regarding risks and uncertainties related to our business appears in Part I, Item 1A. “Risk Factors” of the 2024 Form 10-K. As of the date of this Quarterly Report on Form 10-Q, there have been no material changes from the risk factors set forth in the 2024 Form 10-K, other than as described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be able to comply with the continued listing standards of Nasdaq.</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we are therefore subject to its continued listing requirements, including requirements with respect to the market value of publicly 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December 27, 2024,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 We then received a letter from Nasdaq on February 21, 2025 notifying us that we had regained compliance with the Minimum Bid Price Requirement, and the matter with respect to that period of non-compliance was closed.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Subsequently, on April 21, 2025, we received a new letter from Nasdaq notifying us that, because the closing bid price for our common stock had again closed below $1.00 per share for 30 consecutive business days, we no longer complied with the Minimum Bid Price Requirement. We then received a letter from Nasdaq on September 22, 2025 notifying us that we had regained compliance with the Minimum Bid Price Requirement, and the matter with respect to that period of non-compliance was closed.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Nasdaq’s deficiency notices had no immediate effect on the listing of our common stock, and, in accordance with Nasdaq Listing Rule 5810(c)(3) (A), in each case we were provided an initial period of 180 calendar days to regain compliance with the Minimum Bid Price Requirement by maintaining a closing bid price of at least $1.00 per share for a minimum of ten consecutive business days, unless Nasdaq exercised its discretion to extend the ten-day period pursuant to Nasdaq Listing Rule 5810(c)(3)(H).</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actively monitor our stock price, and, as appropriate, will consider implementing available options to maintain or, if necessary, regain compliance with the Minimum Bid Price Requirement. There can be no assurance, however, that we will be able to maintain or, if necessary, regain compliance with the Minimum Bid Price Requirement and meet Nasdaq’s other continued listing requirements. To the extent that we are unable to maintain or, if necessary, regain compliance with the Minimum Bid Price Requirement or fail to maintain compliance with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 value and liquidity of our common stock. Delisting also could have other negative results, including the potential loss of employee confidence, the loss of institutional investors or interest in potential business development opportunities.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or other terms of our Loan Agreement, including as a result of events beyond our control, could result in a default under the Loan Agreement that could materially and adversely affect the ongoing viability of our business.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April 18, 2025 (the “Closing Date”), we entered into that certain Loan and Security Agreement (the “Loan Agreement”) with Silicon Valley Bank, a division of First-Citizens Bank &amp; Trust Company, as lender (the “Lender”), that provides for a senior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(collectively, the “Term Loans”).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Term Loans (i) are due and payable on March 1, 2029 (the “Maturity Date”) and (ii)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Term Loans advanced under the Term Facility. The Loan Agreement provides for an unused term loan commitment fee equal to 1.00% of the Term Facility upon the earliest to occur of (1) July 1, 2027, (2) the occurrence of an Event of Default and (3) the termination of the Loan Agreement; provided, that such fee will be waived by the Lender in the event that we have requested and the Lender has funded any loans under the Term Facility prior to such date.</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obligations under the Loan Agreement are secured by a pledge of substantially all of our assets, excluding intellectual property. Certain of our future subsidiaries, if any, will be required to become co-borrowers under the Loan Agreement or guarantee our obligations under the Loan Agreement. In addition, such subsidiaries will be required to pledge substantially all of their assets, excluding intellectual property, to secure our obligations under the Loan Agreement. None of our subsidiaries in existence as of the Closing Date were required to be co-borrowers or guarantors or to so pledge their assets.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 Agreement contains affirmative and negative covenants, including limitations on our ability and our subsidiaries’ abilities, among other things, to incur additional debt, grant or permit additional liens, make investments and acquisitions, merge or consolidate with others, dispose of assets, pay dividends and distributions, enter into affiliate transactions and change our line of business, in each case, subject to certain exceptions. In addition, the Loan Agreement contains quarterly financial covenants requiring us to maintain (a) commencing at the end of the quarter following the advance of any loans under the Term Facility, a certain amount of minimum net product revenue and (b) commencing with the quarter ending December 31, 2025 (or, if earlier, commencing at the end of the quarter following the advance of greater than $15 million of loans under the Term Facility), either (i) a certain amount of minimum EBITDA or (ii) minimum unrestricted cash and cash equivalents in an amount equal to or greater than the greater of (x) an amount equal to the sum of our six-month Cash Burn (as defined in the Loan Agreement) and the aggregate amount of loans outstanding under the Term Facility and (y) the aggregate amount of loans outstanding under the Term Facility multiplied by two (the “Minimum Cash Threshold”). In addition, if we no longer maintain active sales of a product in the U.S., we will be required to maintain the Minimum Cash Threshold at all times.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Loan Agreement also includes Events of Default, in certain cases subject to customary periods to cure, following which the Lender may accelerate all amounts outstanding under the Term Facility and stop advancing money or extending credit. For example, the Lender may elect to accelerate the repayment of all unpaid principal of the Term Loans, accrued interest and other amounts owed under the Loan Agreement upon the occurrence of certain Events of Default, including, among other things:</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a payment obligation under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breach of the restrictive covenants or other terms of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in our business operations or condition (financial or otherwise);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impairment in the perfection or priority of the Lender’s lien in the collateral specified in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judgment defaults and cross-defaults to other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specified change of control transaction;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insolvency and bankruptcy-related events.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draw down any of the Term Loans under the Term Facility, our assets or cash flow may not be sufficient to fully repay our obligations under the Loan Agreement if the obligations thereunder are accelerated upon any Events of Default. Further, if we are unable to repay, refinance or restructure our obligations under the Loan Agreement, the Lender could proceed to protect and enforce their rights under the Loan Agreement by exercising such remedies (including foreclosure on the assets securing our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under the Loan Agreement) as are available to the Lender and in respect thereof under applicable law, either by suit in equity or by action at law, or both, whether for specific performance of any covenant or other agreement contained in the Loan Agreement or in aid of the exercise of any power granted in the Loan Agreement. The foregoing would materially and adversely affect the ongoing viability of our business.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satisfy certain conditions in the Loan Agreement, we will be unable to draw down the amounts of the term loan facility.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our Loan Agreement, we must satisfy certain conditions to be eligible to draw down the Term Loans.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 A Loans shall be available to be drawn from and after August 15, 2025 through December 31, 2026 upon compliance with certain financial covenants, provided that we satisfy certain conditions described in the Loan Agreement. The Term B Loans shall be available to be drawn during the period commencing on the date of the achievement of certain net product revenue milestones and ending on June 30, 2027, provided that we satisfy certain conditions described in the Loan Agreement. The Term C Loans shall be available to be drawn during the period commencing on the date of the achievement of certain net product revenue milestones and ending on June 30, 2027, provided that we satisfy certain conditions described in the Loan Agreement. As of September 30, 2025, we had not satisfied the net product revenue milestone required to be eligible to access proceeds from the Term Facility.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satisfy those conditions, we would not be able to draw down the respective Term Loans and may not be able to obtain alternative financing on commercially reasonable terms or at all.</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contains restrictions that limit our flexibility in operating our business.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without the prior consent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including our ability to, among other things:</w:t>
      </w:r>
    </w:p>
    <w:p>
      <w:pPr>
        <w:spacing w:after="0" w:line="9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sell, lease, transfer, assign, or otherwise dispose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the businesses currently engaged in by us or reasonably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dissolve;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or substantially all of the stock, partnership, membership, or other ownership interest or other equity securities or property of another entity;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certain of our assets;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dividends on, repurchasing or making distributions with respect to our common stock, subject to certain exceptions;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covenants in our Loan Agreement may limit our ability to take certain actions that may be in our long-term best interests. In the event that we breach one or more covenants, the Lender may choose to declare an Event of Default and require that we immediately repay any amounts outstanding under the Loan Agreement, plus fees, terminate the Lender’s commitments to fund any undrawn Term Loans and foreclose on the collateral granted to them to secure the obligations under the Loan Agreement. Such repayment could have a material adverse effect on our business, operating results and financial condition.</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as applicable, we will require a significant amount of cash and our ability to generate cash depends on many factors beyond our control.</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ability to make cash payments on our indebtedness, as applicable, will depend on our ability to generate significant operating cash flow in the future. This ability is, to a significant extent, subject to general economic, financial, competitive, legislative, regulatory and other factors, that will be beyond our control. In addition, our business may not generate sufficient cash flow from operations to enable us to pay our indebtedness or to fund our other liquidity needs. In any such circumstance, we may need to refinance all or a portion of our indebtedness, on or before maturity. We may not be able to refinance any indebtedness on commercially reasonable terms or at all. If we cannot service our indebtedness, as applicable, we may have to take actions such as selling assets, seeking additional equity or reducing or delaying capital expenditures, strategic acquisitions and investments. Any such action, if necessary, may not be effected on commercially reasonable terms or at all. The instruments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governing our indebtedness may restrict our ability to sell assets and our use of the proceeds from such sales.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September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three months ended September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adopted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640" w:type="dxa"/>
            <w:vAlign w:val="bottom"/>
            <w:gridSpan w:val="17"/>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0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Amended and Restated Certificate of Incorporation (incorporated by reference to Exhibit 3.1 of the Company’s Current Report on Form 8-</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3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4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22">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97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Amended and Restated Bylaws (incorporated by reference to Exhibit 3.2 of the Company’s Current Report on Form 8-K (File No. 001-</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8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Amendment No. 1 to the Amended and Restated Bylaws (incorporated by reference to Exhibit 3.2 of the Company’s Current Report on</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Form 8-K (File No. 001-40703), filed with the Securities and Exchange Commission on May 25, 2023).</w:t>
              </w:r>
            </w:hyperlink>
          </w:p>
        </w:tc>
        <w:tc>
          <w:tcPr>
            <w:tcW w:w="2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0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of Pre-Funded Warrant to Purchase Common Stock (incorporated by reference to Exhibit 4.1 of the Company’s Current Report on</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8-K (File No. 001-40703), filed with the Securities and Exchange Commission on August 22,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0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 Securities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3440" w:type="dxa"/>
            <w:vAlign w:val="bottom"/>
            <w:tcBorders>
              <w:right w:val="single" w:sz="8" w:color="0000EE"/>
            </w:tcBorders>
            <w:gridSpan w:val="2"/>
            <w:shd w:val="clear" w:color="auto" w:fill="0000FF"/>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8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right="540" w:hanging="452"/>
        <w:spacing w:after="0" w:line="255"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spacing w:after="0"/>
        <w:tabs>
          <w:tab w:leader="none" w:pos="5660" w:val="left"/>
          <w:tab w:leader="none" w:pos="784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September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
      <w:numFmt w:val="bullet"/>
      <w:start w:val="1"/>
    </w:lvl>
    <w:lvl w:ilvl="1">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3"/>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21" Type="http://schemas.openxmlformats.org/officeDocument/2006/relationships/hyperlink" Target="https://www.sec.gov/Archives/edgar/data/1832038/000119312521242044/d211424dex31.htm" TargetMode="External"/><Relationship Id="rId322" Type="http://schemas.openxmlformats.org/officeDocument/2006/relationships/hyperlink" Target="https://www.sec.gov/Archives/edgar/data/1832038/000119312522243285/d388436dex31.htm" TargetMode="External"/><Relationship Id="rId323" Type="http://schemas.openxmlformats.org/officeDocument/2006/relationships/hyperlink" Target="https://www.sec.gov/Archives/edgar/data/1832038/000119312523154233/d473409dex31.htm" TargetMode="External"/><Relationship Id="rId324" Type="http://schemas.openxmlformats.org/officeDocument/2006/relationships/hyperlink" Target="https://www.sec.gov/Archives/edgar/data/1832038/000119312522243285/d388436dex32.htm" TargetMode="External"/><Relationship Id="rId325" Type="http://schemas.openxmlformats.org/officeDocument/2006/relationships/hyperlink" Target="https://www.sec.gov/Archives/edgar/data/1832038/000119312523154233/d473409dex32.htm" TargetMode="External"/><Relationship Id="rId326" Type="http://schemas.openxmlformats.org/officeDocument/2006/relationships/hyperlink" Target="https://www.sec.gov/Archives/edgar/data/1832038/000119312522253372/d392092dex33.htm" TargetMode="External"/><Relationship Id="rId327" Type="http://schemas.openxmlformats.org/officeDocument/2006/relationships/hyperlink" Target="https://www.sec.gov/Archives/edgar/data/1832038/000095017025110952/ivvd-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2025-11-06T06:25:32Z</dcterms:created>
  <dcterms:modified xsi:type="dcterms:W3CDTF">2025-11-06T06:25:32Z</dcterms:modified>
</cp:coreProperties>
</file>