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ADAGIO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ind w:left="5044"/>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31" w:lineRule="exact"/>
        <w:rPr>
          <w:sz w:val="24"/>
          <w:szCs w:val="24"/>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 Mithril Capital Management</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600 Congress Avenue, Suite 3100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(512) 717-3770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March 28,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6" w:lineRule="exact"/>
        <w:rPr>
          <w:sz w:val="24"/>
          <w:szCs w:val="24"/>
          <w:color w:val="auto"/>
        </w:rPr>
      </w:pPr>
    </w:p>
    <w:p>
      <w:pPr>
        <w:ind w:left="424" w:right="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2" w:right="49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LP</w:t>
      </w:r>
    </w:p>
    <w:p>
      <w:pPr>
        <w:spacing w:after="0" w:line="36" w:lineRule="exact"/>
        <w:rPr>
          <w:sz w:val="20"/>
          <w:szCs w:val="20"/>
          <w:color w:val="auto"/>
        </w:rPr>
      </w:pPr>
    </w:p>
    <w:p>
      <w:pPr>
        <w:ind w:left="624" w:hanging="377"/>
        <w:spacing w:after="0"/>
        <w:tabs>
          <w:tab w:leader="none" w:pos="6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10.1% (2)</w:t>
      </w:r>
    </w:p>
    <w:p>
      <w:pPr>
        <w:ind w:left="604" w:hanging="447"/>
        <w:spacing w:after="0"/>
        <w:tabs>
          <w:tab w:leader="none" w:pos="6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(as defined in Item 2(a) of the Original 13D). Mithril II UGP (as defined in Item 2(a) of the Original 13D) is the general partner of Mithril II GP (as defined in Item 2(a) of the Original 13D), which is the general partner of Mithril II and each of Mithril II UGP and Mithril II GP may be deemed to have shared voting, investment and dispositive power with respect to these securities. Ajay Royan, a member of the Issuer’s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right="12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its quarterly report on Form 10-Q filed with the Commission (as defined in the Original 13G) on November 15, 2021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GP LP</w:t>
      </w:r>
    </w:p>
    <w:p>
      <w:pPr>
        <w:spacing w:after="0" w:line="36" w:lineRule="exact"/>
        <w:rPr>
          <w:sz w:val="20"/>
          <w:szCs w:val="20"/>
          <w:color w:val="auto"/>
        </w:rPr>
      </w:pPr>
    </w:p>
    <w:p>
      <w:pPr>
        <w:ind w:left="624" w:hanging="377"/>
        <w:spacing w:after="0"/>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10.1% (2)</w:t>
      </w:r>
    </w:p>
    <w:p>
      <w:pPr>
        <w:ind w:left="604" w:hanging="447"/>
        <w:spacing w:after="0"/>
        <w:tabs>
          <w:tab w:leader="none" w:pos="6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Form 10-Q.</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Mithril II UGP LLC</w:t>
      </w:r>
    </w:p>
    <w:p>
      <w:pPr>
        <w:spacing w:after="0" w:line="36" w:lineRule="exact"/>
        <w:rPr>
          <w:sz w:val="20"/>
          <w:szCs w:val="20"/>
          <w:color w:val="auto"/>
        </w:rPr>
      </w:pPr>
    </w:p>
    <w:p>
      <w:pPr>
        <w:ind w:left="624" w:hanging="377"/>
        <w:spacing w:after="0"/>
        <w:tabs>
          <w:tab w:leader="none" w:pos="6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10.1% (2)</w:t>
      </w:r>
    </w:p>
    <w:p>
      <w:pPr>
        <w:ind w:left="604" w:hanging="447"/>
        <w:spacing w:after="0"/>
        <w:tabs>
          <w:tab w:leader="none" w:pos="6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Form 10-Q.</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Ajay Royan</w:t>
      </w:r>
    </w:p>
    <w:p>
      <w:pPr>
        <w:spacing w:after="0" w:line="36" w:lineRule="exact"/>
        <w:rPr>
          <w:sz w:val="20"/>
          <w:szCs w:val="20"/>
          <w:color w:val="auto"/>
        </w:rPr>
      </w:pPr>
    </w:p>
    <w:p>
      <w:pPr>
        <w:ind w:left="624" w:hanging="377"/>
        <w:spacing w:after="0"/>
        <w:tabs>
          <w:tab w:leader="none" w:pos="6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Canada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10.1% (2)</w:t>
      </w:r>
    </w:p>
    <w:p>
      <w:pPr>
        <w:ind w:left="604" w:hanging="447"/>
        <w:spacing w:after="0"/>
        <w:tabs>
          <w:tab w:leader="none" w:pos="6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Form 10-Q.</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Peter Thiel</w:t>
      </w:r>
    </w:p>
    <w:p>
      <w:pPr>
        <w:spacing w:after="0" w:line="36" w:lineRule="exact"/>
        <w:rPr>
          <w:sz w:val="20"/>
          <w:szCs w:val="20"/>
          <w:color w:val="auto"/>
        </w:rPr>
      </w:pPr>
    </w:p>
    <w:p>
      <w:pPr>
        <w:ind w:left="624" w:hanging="377"/>
        <w:spacing w:after="0"/>
        <w:tabs>
          <w:tab w:leader="none" w:pos="6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23"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2124" w:hanging="414"/>
        <w:spacing w:after="0"/>
        <w:tabs>
          <w:tab w:leader="none" w:pos="21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spacing w:after="0"/>
              <w:rPr>
                <w:sz w:val="19"/>
                <w:szCs w:val="19"/>
                <w:color w:val="auto"/>
              </w:rPr>
            </w:pP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8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11,241,580 Shares of Common Stock (1)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11,241,580 Shares of Common Stock (1)</w:t>
      </w:r>
    </w:p>
    <w:p>
      <w:pPr>
        <w:spacing w:after="0" w:line="1"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right="5380" w:hanging="467"/>
        <w:spacing w:after="0" w:line="400" w:lineRule="auto"/>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10.1% (2)</w:t>
      </w:r>
    </w:p>
    <w:p>
      <w:pPr>
        <w:ind w:left="604" w:hanging="447"/>
        <w:spacing w:after="0"/>
        <w:tabs>
          <w:tab w:leader="none" w:pos="6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111,251,660 shares of Common Stock outstanding as of November 8, 2021, as reported by the Issuer in the Form 10-Q.</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00534A102</w:t>
            </w:r>
          </w:p>
        </w:tc>
        <w:tc>
          <w:tcPr>
            <w:tcW w:w="4820" w:type="dxa"/>
            <w:vAlign w:val="bottom"/>
          </w:tcPr>
          <w:p>
            <w:pPr>
              <w:ind w:left="450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 amends and supplements the Schedule 13D originally filed by the Reporting Persons with the Commission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 August 20, 2021 (the “Original 13D”).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have the meanings ascribed to them in the Original 13D and any supplements thereto.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sentence of Item 1 of the Original 13D is hereby amended and restated as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executive offices of the Issuer is 1601 Trapelo Road, Suite 178, Waltham, Massachusetts 02451.”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13D is hereby amended and restated as set forth below.</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information set forth in Item 3 of the Original 13D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on various factors, including, without limitation, the outcome of any discussions and director nominations referenced in this Item 4, the price and availability of shares of Common Stock or other securities of the Issuer, actions taken by the Board, subsequent developments affecting the Issuer, the Issuer’s financial position, strategic direction, business and prospects, other investment and business opportunities available to the Reporting Persons, general stock market and economic conditions, tax considerations and other factors considered relevant, may from time to time and at any time in the future take such actions with respect to the investment in the Issuer as they deem appropriate, including, without limitation, increasing or decreasing the size of their investment in the Issuer in the open market, in privately negotiated transactions, pursuant to 10b5-1 trading plans or otherwise, selling or obtaining financing on some or all of their beneficial or economic holdings, engaging in hedging or similar transactions with respect to securities that are based upon or relate to the value of the Common Stock and/or otherwise changing their intentions with respect to any and all matters referred to in Item 4 of Schedule 13D.</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Reporting Persons further expect to engage in discussions with the Issuer and the Issuer’s management and Board, other stockholders of the Issuer and other interested parties on issues that may relate to the business, management, operations, assets, capitalization, financial condition, strategic plans, governance and Board composition and the future of the Issuer, including without limitation with respect to the matters set forth below.</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March 28, 2022, Mithril II, in accordance with the Amended and Restated Bylaws of the Issuer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submitted to the Issuer its formal notice of intent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nominate candidates for election to the Issuer’s Board at the 2022 annual meeting of stockholders of the Issuer (including any adjournment or postponement thereof or any special meeting held in lieu thereof, the “</w:t>
      </w:r>
      <w:r>
        <w:rPr>
          <w:rFonts w:ascii="Times New Roman" w:cs="Times New Roman" w:eastAsia="Times New Roman" w:hAnsi="Times New Roman"/>
          <w:sz w:val="18"/>
          <w:szCs w:val="18"/>
          <w:u w:val="single" w:color="auto"/>
          <w:color w:val="auto"/>
        </w:rPr>
        <w:t>2022 Annual Meeting</w:t>
      </w:r>
      <w:r>
        <w:rPr>
          <w:rFonts w:ascii="Times New Roman" w:cs="Times New Roman" w:eastAsia="Times New Roman" w:hAnsi="Times New Roman"/>
          <w:sz w:val="18"/>
          <w:szCs w:val="18"/>
          <w:color w:val="auto"/>
        </w:rPr>
        <w:t>”). The Notice stated that, at the 2022 Annual Meeting, Mithril II, in its capacity as a stockholder of record of the Issuer, intends to nominate for election as Class I directors of the Issuer, Mr. Clive A. Meanwell, M.B, Ch.B., M.D., Mr. Marc Elia and Ms. Tamsin Berry (each a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Nominees</w:t>
      </w:r>
      <w:r>
        <w:rPr>
          <w:rFonts w:ascii="Times New Roman" w:cs="Times New Roman" w:eastAsia="Times New Roman" w:hAnsi="Times New Roman"/>
          <w:sz w:val="18"/>
          <w:szCs w:val="18"/>
          <w:color w:val="auto"/>
        </w:rPr>
        <w:t>”). In the Notice, Mithril II also reserved the right to withdraw and/or make substitutions for one or more Nominees.</w:t>
      </w:r>
    </w:p>
    <w:p>
      <w:pPr>
        <w:spacing w:after="0" w:line="18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Also on March 28, 2022, certain of the Reporting Persons and M28, Polaris, Adimab, LLC, and Population Health (each as defined below) reached an agreement to vote all of their respective shares of the Issuer’s Common Stock in favor of the election of the Nominees at the 2022 Annual Meeting.</w:t>
      </w:r>
    </w:p>
    <w:p>
      <w:pPr>
        <w:sectPr>
          <w:pgSz w:w="11900" w:h="16838" w:orient="portrait"/>
          <w:cols w:equalWidth="0" w:num="1">
            <w:col w:w="11020"/>
          </w:cols>
          <w:pgMar w:left="440" w:top="270" w:right="439" w:bottom="1440" w:gutter="0" w:footer="0" w:header="0"/>
        </w:sectPr>
      </w:pPr>
    </w:p>
    <w:bookmarkStart w:id="7" w:name="page8"/>
    <w:bookmarkEnd w:id="7"/>
    <w:p>
      <w:pPr>
        <w:ind w:left="4" w:right="5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Royan is a member of the Board. In addition, Royan, in his capacity as a director, may be entitled to receive cash compensation and equity compensation, including stock option or other equity awards, pursuant to the Issuer’s non-employee director compensation policy, which became effective upon the effective date of the Registration Statement (as defined below).</w:t>
      </w:r>
    </w:p>
    <w:p>
      <w:pPr>
        <w:spacing w:after="0" w:line="176"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Reporting Persons may also take one or more additional actions described in subsections (a) through (j) of Item 4 of Schedule 13D, and may discuss such actions with the Issuer and the Board and management team, stockholders and other persons. Mithril II currently intends to conduct a proxy solicitation to elect the Nominees at the 2022 Annual Meeting.</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5(a), Item 5(b) and Item 6 of this Amendment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5(a) and Item 5(b) of the Original 13D are hereby amended and restated as follows: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Items 7-11 of the cover pages of this Amendment and Item 2 to the Original 13D.</w:t>
      </w:r>
    </w:p>
    <w:p>
      <w:pPr>
        <w:spacing w:after="0" w:line="225" w:lineRule="exact"/>
        <w:rPr>
          <w:sz w:val="20"/>
          <w:szCs w:val="20"/>
          <w:color w:val="auto"/>
        </w:rPr>
      </w:pPr>
    </w:p>
    <w:p>
      <w:pPr>
        <w:jc w:val="both"/>
        <w:ind w:left="4" w:right="100"/>
        <w:spacing w:after="0" w:line="272" w:lineRule="auto"/>
        <w:rPr>
          <w:sz w:val="20"/>
          <w:szCs w:val="20"/>
          <w:color w:val="auto"/>
        </w:rPr>
      </w:pPr>
      <w:r>
        <w:rPr>
          <w:rFonts w:ascii="Times New Roman" w:cs="Times New Roman" w:eastAsia="Times New Roman" w:hAnsi="Times New Roman"/>
          <w:sz w:val="17"/>
          <w:szCs w:val="17"/>
          <w:color w:val="auto"/>
        </w:rPr>
        <w:t>On March 28, 2022, Mithril II and (i) M28 Capital Management LP (together with certain of its affiliates, “</w:t>
      </w:r>
      <w:r>
        <w:rPr>
          <w:rFonts w:ascii="Times New Roman" w:cs="Times New Roman" w:eastAsia="Times New Roman" w:hAnsi="Times New Roman"/>
          <w:sz w:val="17"/>
          <w:szCs w:val="17"/>
          <w:u w:val="single" w:color="auto"/>
          <w:color w:val="auto"/>
        </w:rPr>
        <w:t>M28</w:t>
      </w:r>
      <w:r>
        <w:rPr>
          <w:rFonts w:ascii="Times New Roman" w:cs="Times New Roman" w:eastAsia="Times New Roman" w:hAnsi="Times New Roman"/>
          <w:sz w:val="17"/>
          <w:szCs w:val="17"/>
          <w:color w:val="auto"/>
        </w:rPr>
        <w:t>”), (ii) Polaris Venture Partners V, L.P., Polaris Venture Partners Entrepreneurs’ Fund V, L.P., Polaris Venture Partners Founders’ Fund V, L.P., Polaris Venture Partners Special Founders’ Fund V, L.P., Polaris Partners IX, L.P. and Polaris Healthcare Technology Opportunities Fund, L.P. (collectively, “</w:t>
      </w:r>
      <w:r>
        <w:rPr>
          <w:rFonts w:ascii="Times New Roman" w:cs="Times New Roman" w:eastAsia="Times New Roman" w:hAnsi="Times New Roman"/>
          <w:sz w:val="17"/>
          <w:szCs w:val="17"/>
          <w:u w:val="single" w:color="auto"/>
          <w:color w:val="auto"/>
        </w:rPr>
        <w:t>Polaris</w:t>
      </w:r>
      <w:r>
        <w:rPr>
          <w:rFonts w:ascii="Times New Roman" w:cs="Times New Roman" w:eastAsia="Times New Roman" w:hAnsi="Times New Roman"/>
          <w:sz w:val="17"/>
          <w:szCs w:val="17"/>
          <w:color w:val="auto"/>
        </w:rPr>
        <w:t>”), (iii) Adimab, LLC and</w:t>
      </w:r>
    </w:p>
    <w:p>
      <w:pPr>
        <w:spacing w:after="0" w:line="2" w:lineRule="exact"/>
        <w:rPr>
          <w:sz w:val="20"/>
          <w:szCs w:val="20"/>
          <w:color w:val="auto"/>
        </w:rPr>
      </w:pPr>
    </w:p>
    <w:p>
      <w:pPr>
        <w:ind w:left="4" w:right="100" w:hanging="4"/>
        <w:spacing w:after="0" w:line="253" w:lineRule="auto"/>
        <w:tabs>
          <w:tab w:leader="none" w:pos="3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Health Equity Partners III, L.P., Population Health Equity Partners VII, L.P. and Clive Meanwell (“</w:t>
      </w:r>
      <w:r>
        <w:rPr>
          <w:rFonts w:ascii="Times New Roman" w:cs="Times New Roman" w:eastAsia="Times New Roman" w:hAnsi="Times New Roman"/>
          <w:sz w:val="18"/>
          <w:szCs w:val="18"/>
          <w:u w:val="single" w:color="auto"/>
          <w:color w:val="auto"/>
        </w:rPr>
        <w:t>Population Health</w:t>
      </w:r>
      <w:r>
        <w:rPr>
          <w:rFonts w:ascii="Times New Roman" w:cs="Times New Roman" w:eastAsia="Times New Roman" w:hAnsi="Times New Roman"/>
          <w:sz w:val="18"/>
          <w:szCs w:val="18"/>
          <w:color w:val="auto"/>
        </w:rPr>
        <w:t>”),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the Nominees at the 2022 Annual Meeting. By virtue of such agreement, the Reporting Persons may be deemed to be part of a “group” (within the meaning of Section 13(d)(3) of the Act) comprised of the Reporting Persons and such other persons.</w:t>
      </w:r>
    </w:p>
    <w:p>
      <w:pPr>
        <w:spacing w:after="0" w:line="18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Each of the Reporting Persons, M28, Polaris (and certain affiliates), Adimab, LLC and Population Health (and certain affiliates) are filing a separate Schedule 13D (or as applicable, a Schedule 13D amendment) under the Act containing its required information, including reporting the interests in Common Stock that such persons may be deemed to beneficially own. None of the Reporting Persons assumes any responsibility for the information contained in the Schedule 13Ds or Schedule 13D amendments filed by such other persons. Based in part on information provided by or behalf of such other persons, the Reporting Persons may be deemed to beneficially own in the aggregate 54,061,113</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shares of Common Stock, representing approximately 48.6% of the outstanding shares of Common Stock (based on 111,251,660 shares of Common Stock outstanding, as reported by the Issuer in its Form 10-Q filed with the Commission on November 15, 2021). The Reporting Persons expressly disclaim beneficial ownership over any Common Stock that they may be deemed to beneficially own solely by reason of the agreement reached among Mithril II, M28, Polaris, Adimab, LLC and Population Health, and beneficial ownership of any securities of the Issuer other than those reported in this Schedule 13D.</w:t>
      </w:r>
    </w:p>
    <w:p>
      <w:pPr>
        <w:spacing w:after="0" w:line="188"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4, Item 5(a), Item 5(b) and Item 6 of this Amendment and Exhibit 6 to this Amendment are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of the Original Schedule 13D is hereby supplemented as set forth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4, Item 5(a) and Item 5(b) of this Amendment and Exhibit 6 to this Amendment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24" w:right="60" w:hanging="224"/>
        <w:spacing w:after="0" w:line="256" w:lineRule="auto"/>
        <w:tabs>
          <w:tab w:leader="none" w:pos="22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Calculated based on (i) the 11,241,580 shares of Common Stock owned of record by Mithril II, (ii) 8,531,700 shares of Common Stock disclosed to the Reporting Persons by Polaris as being beneficially owned by Polaris and/or certain affiliates and related persons, (iii) 6,398,250 shares of Common Stock disclosed to the Reporting Persons by M28 as being beneficially owned by M28 Capital Management LP and certain related persons, (iv) 26,687,906 shares of Common Stock disclosed to the Reporting Persons by Adimab, LLC as being beneficially owned by Adimab, LLC and/or certain affiliates and related persons and (v) 1,201,680 shares of Common Stock disclosed to the Reporting Persons by Population Health as being beneficially owned by Population Health and/or certain affiliates and related persons.</w:t>
      </w:r>
    </w:p>
    <w:p>
      <w:pPr>
        <w:sectPr>
          <w:pgSz w:w="11900" w:h="16838" w:orient="portrait"/>
          <w:cols w:equalWidth="0" w:num="1">
            <w:col w:w="11024"/>
          </w:cols>
          <w:pgMar w:left="436"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Material to be Filed as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Original 13D is hereby supplemented to include the following exhibit:</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6:</w:t>
      </w:r>
      <w:r>
        <w:rPr>
          <w:sz w:val="20"/>
          <w:szCs w:val="20"/>
          <w:color w:val="auto"/>
        </w:rPr>
        <w:tab/>
      </w:r>
      <w:r>
        <w:rPr>
          <w:rFonts w:ascii="Times New Roman" w:cs="Times New Roman" w:eastAsia="Times New Roman" w:hAnsi="Times New Roman"/>
          <w:sz w:val="18"/>
          <w:szCs w:val="18"/>
          <w:color w:val="auto"/>
        </w:rPr>
        <w:t>Email memorializing the agreement reached among Mithril II, M28, Polaris, Adimab, LLC and Population Health (filed herewith).</w:t>
      </w:r>
    </w:p>
    <w:p>
      <w:pPr>
        <w:sectPr>
          <w:pgSz w:w="11900" w:h="16838" w:orient="portrait"/>
          <w:cols w:equalWidth="0" w:num="1">
            <w:col w:w="10540"/>
          </w:cols>
          <w:pgMar w:left="440" w:top="266" w:right="919" w:bottom="1440" w:gutter="0" w:footer="0" w:header="0"/>
        </w:sectPr>
      </w:pPr>
    </w:p>
    <w:bookmarkStart w:id="9" w:name="page10"/>
    <w:bookmarkEnd w:id="9"/>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GP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UGP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GP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Mithril II UGP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MITHRIL II UGP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Ajay Royan,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Ajay Royan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Peter Thiel</w:t>
      </w:r>
    </w:p>
    <w:p>
      <w:pPr>
        <w:sectPr>
          <w:pgSz w:w="11900" w:h="16838" w:orient="portrait"/>
          <w:cols w:equalWidth="0" w:num="1">
            <w:col w:w="10460"/>
          </w:cols>
          <w:pgMar w:left="440" w:top="266" w:right="9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Ajay Royan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Sent: Monday, March 28, 2022 9:18 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Phil Chase; Lauren Crockett; Terry McGuire; Marc Elia; Clive Meanwell; Chris Cox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Kadekar, Kiran; Brand, Richard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Adagio nomination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Friends and colleagues,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we previously discussed and agreed, Mithril has delivered notice of our intention to nominate three directors for election at the 2022 annual meeting of ADGI. These highly qualified candidates are Clive Meanwell, Marc Elia and Tamsin Berry.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Thank you again for your hard work today and for providing us with all of the materials and information that we included in the nomination notice. We appreciate your support.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email is to memorialize our understanding and agreement reached earlier today that you will vote your shares in favor of the election of these nominees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your receipt of this message.*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again — here’s to the success of Adagio and its righteous fight against the scourge of this pandemic and others yet to 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best,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4"/>
      <w:numFmt w:val="bullet"/>
      <w:start w:val="1"/>
    </w:lvl>
  </w:abstractNum>
  <w:abstractNum w:abstractNumId="5">
    <w:nsid w:val="79838CB2"/>
    <w:multiLevelType w:val="hybridMultilevel"/>
    <w:lvl w:ilvl="0">
      <w:lvlJc w:val="left"/>
      <w:lvlText w:val="5"/>
      <w:numFmt w:val="bullet"/>
      <w:start w:val="1"/>
    </w:lvl>
  </w:abstractNum>
  <w:abstractNum w:abstractNumId="6">
    <w:nsid w:val="4353D0CD"/>
    <w:multiLevelType w:val="hybridMultilevel"/>
    <w:lvl w:ilvl="0">
      <w:lvlJc w:val="left"/>
      <w:lvlText w:val="6"/>
      <w:numFmt w:val="bullet"/>
      <w:start w:val="1"/>
    </w:lvl>
  </w:abstractNum>
  <w:abstractNum w:abstractNumId="7">
    <w:nsid w:val="B03E0C6"/>
    <w:multiLevelType w:val="hybridMultilevel"/>
    <w:lvl w:ilvl="0">
      <w:lvlJc w:val="left"/>
      <w:lvlText w:val="%1"/>
      <w:numFmt w:val="decimal"/>
      <w:start w:val="1"/>
    </w:lvl>
    <w:lvl w:ilvl="1">
      <w:lvlJc w:val="left"/>
      <w:lvlText w:val="%2"/>
      <w:numFmt w:val="decimal"/>
      <w:start w:val="11"/>
    </w:lvl>
  </w:abstractNum>
  <w:abstractNum w:abstractNumId="8">
    <w:nsid w:val="189A769B"/>
    <w:multiLevelType w:val="hybridMultilevel"/>
    <w:lvl w:ilvl="0">
      <w:lvlJc w:val="left"/>
      <w:lvlText w:val="(%1)"/>
      <w:numFmt w:val="decimal"/>
      <w:start w:val="1"/>
    </w:lvl>
    <w:lvl w:ilvl="1">
      <w:lvlJc w:val="left"/>
      <w:lvlText w:val="%2"/>
      <w:numFmt w:val="decimal"/>
      <w:start w:val="1"/>
    </w:lvl>
  </w:abstractNum>
  <w:abstractNum w:abstractNumId="9">
    <w:nsid w:val="54E49EB4"/>
    <w:multiLevelType w:val="hybridMultilevel"/>
    <w:lvl w:ilvl="0">
      <w:lvlJc w:val="left"/>
      <w:lvlText w:val="1"/>
      <w:numFmt w:val="bullet"/>
      <w:start w:val="1"/>
    </w:lvl>
  </w:abstractNum>
  <w:abstractNum w:abstractNumId="10">
    <w:nsid w:val="71F32454"/>
    <w:multiLevelType w:val="hybridMultilevel"/>
    <w:lvl w:ilvl="0">
      <w:lvlJc w:val="left"/>
      <w:lvlText w:val="2"/>
      <w:numFmt w:val="bullet"/>
      <w:start w:val="1"/>
    </w:lvl>
  </w:abstractNum>
  <w:abstractNum w:abstractNumId="11">
    <w:nsid w:val="2CA88611"/>
    <w:multiLevelType w:val="hybridMultilevel"/>
    <w:lvl w:ilvl="0">
      <w:lvlJc w:val="left"/>
      <w:lvlText w:val="3"/>
      <w:numFmt w:val="bullet"/>
      <w:start w:val="1"/>
    </w:lvl>
  </w:abstractNum>
  <w:abstractNum w:abstractNumId="12">
    <w:nsid w:val="836C40E"/>
    <w:multiLevelType w:val="hybridMultilevel"/>
    <w:lvl w:ilvl="0">
      <w:lvlJc w:val="left"/>
      <w:lvlText w:val="4"/>
      <w:numFmt w:val="bullet"/>
      <w:start w:val="1"/>
    </w:lvl>
  </w:abstractNum>
  <w:abstractNum w:abstractNumId="13">
    <w:nsid w:val="2901D82"/>
    <w:multiLevelType w:val="hybridMultilevel"/>
    <w:lvl w:ilvl="0">
      <w:lvlJc w:val="left"/>
      <w:lvlText w:val="5"/>
      <w:numFmt w:val="bullet"/>
      <w:start w:val="1"/>
    </w:lvl>
  </w:abstractNum>
  <w:abstractNum w:abstractNumId="14">
    <w:nsid w:val="3A95F874"/>
    <w:multiLevelType w:val="hybridMultilevel"/>
    <w:lvl w:ilvl="0">
      <w:lvlJc w:val="left"/>
      <w:lvlText w:val="6"/>
      <w:numFmt w:val="bullet"/>
      <w:start w:val="1"/>
    </w:lvl>
  </w:abstractNum>
  <w:abstractNum w:abstractNumId="15">
    <w:nsid w:val="8138641"/>
    <w:multiLevelType w:val="hybridMultilevel"/>
    <w:lvl w:ilvl="0">
      <w:lvlJc w:val="left"/>
      <w:lvlText w:val="%1"/>
      <w:numFmt w:val="decimal"/>
      <w:start w:val="1"/>
    </w:lvl>
    <w:lvl w:ilvl="1">
      <w:lvlJc w:val="left"/>
      <w:lvlText w:val="%2"/>
      <w:numFmt w:val="decimal"/>
      <w:start w:val="11"/>
    </w:lvl>
  </w:abstractNum>
  <w:abstractNum w:abstractNumId="16">
    <w:nsid w:val="1E7FF521"/>
    <w:multiLevelType w:val="hybridMultilevel"/>
    <w:lvl w:ilvl="0">
      <w:lvlJc w:val="left"/>
      <w:lvlText w:val="(%1)"/>
      <w:numFmt w:val="decimal"/>
      <w:start w:val="1"/>
    </w:lvl>
    <w:lvl w:ilvl="1">
      <w:lvlJc w:val="left"/>
      <w:lvlText w:val="%2"/>
      <w:numFmt w:val="decimal"/>
      <w:start w:val="1"/>
    </w:lvl>
  </w:abstractNum>
  <w:abstractNum w:abstractNumId="17">
    <w:nsid w:val="7C3DBD3D"/>
    <w:multiLevelType w:val="hybridMultilevel"/>
    <w:lvl w:ilvl="0">
      <w:lvlJc w:val="left"/>
      <w:lvlText w:val="1"/>
      <w:numFmt w:val="bullet"/>
      <w:start w:val="1"/>
    </w:lvl>
  </w:abstractNum>
  <w:abstractNum w:abstractNumId="18">
    <w:nsid w:val="737B8DDC"/>
    <w:multiLevelType w:val="hybridMultilevel"/>
    <w:lvl w:ilvl="0">
      <w:lvlJc w:val="left"/>
      <w:lvlText w:val="2"/>
      <w:numFmt w:val="bullet"/>
      <w:start w:val="1"/>
    </w:lvl>
  </w:abstractNum>
  <w:abstractNum w:abstractNumId="19">
    <w:nsid w:val="6CEAF087"/>
    <w:multiLevelType w:val="hybridMultilevel"/>
    <w:lvl w:ilvl="0">
      <w:lvlJc w:val="left"/>
      <w:lvlText w:val="3"/>
      <w:numFmt w:val="bullet"/>
      <w:start w:val="1"/>
    </w:lvl>
  </w:abstractNum>
  <w:abstractNum w:abstractNumId="20">
    <w:nsid w:val="22221A70"/>
    <w:multiLevelType w:val="hybridMultilevel"/>
    <w:lvl w:ilvl="0">
      <w:lvlJc w:val="left"/>
      <w:lvlText w:val="4"/>
      <w:numFmt w:val="bullet"/>
      <w:start w:val="1"/>
    </w:lvl>
  </w:abstractNum>
  <w:abstractNum w:abstractNumId="21">
    <w:nsid w:val="4516DDE9"/>
    <w:multiLevelType w:val="hybridMultilevel"/>
    <w:lvl w:ilvl="0">
      <w:lvlJc w:val="left"/>
      <w:lvlText w:val="5"/>
      <w:numFmt w:val="bullet"/>
      <w:start w:val="1"/>
    </w:lvl>
  </w:abstractNum>
  <w:abstractNum w:abstractNumId="22">
    <w:nsid w:val="3006C83E"/>
    <w:multiLevelType w:val="hybridMultilevel"/>
    <w:lvl w:ilvl="0">
      <w:lvlJc w:val="left"/>
      <w:lvlText w:val="6"/>
      <w:numFmt w:val="bullet"/>
      <w:start w:val="1"/>
    </w:lvl>
  </w:abstractNum>
  <w:abstractNum w:abstractNumId="23">
    <w:nsid w:val="614FD4A1"/>
    <w:multiLevelType w:val="hybridMultilevel"/>
    <w:lvl w:ilvl="0">
      <w:lvlJc w:val="left"/>
      <w:lvlText w:val="%1"/>
      <w:numFmt w:val="decimal"/>
      <w:start w:val="1"/>
    </w:lvl>
    <w:lvl w:ilvl="1">
      <w:lvlJc w:val="left"/>
      <w:lvlText w:val="%2"/>
      <w:numFmt w:val="decimal"/>
      <w:start w:val="11"/>
    </w:lvl>
  </w:abstractNum>
  <w:abstractNum w:abstractNumId="24">
    <w:nsid w:val="419AC241"/>
    <w:multiLevelType w:val="hybridMultilevel"/>
    <w:lvl w:ilvl="0">
      <w:lvlJc w:val="left"/>
      <w:lvlText w:val="(%1)"/>
      <w:numFmt w:val="decimal"/>
      <w:start w:val="1"/>
    </w:lvl>
    <w:lvl w:ilvl="1">
      <w:lvlJc w:val="left"/>
      <w:lvlText w:val="%2"/>
      <w:numFmt w:val="decimal"/>
      <w:start w:val="1"/>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2"/>
      <w:numFmt w:val="bullet"/>
      <w:start w:val="1"/>
    </w:lvl>
  </w:abstractNum>
  <w:abstractNum w:abstractNumId="27">
    <w:nsid w:val="5072367"/>
    <w:multiLevelType w:val="hybridMultilevel"/>
    <w:lvl w:ilvl="0">
      <w:lvlJc w:val="left"/>
      <w:lvlText w:val="3"/>
      <w:numFmt w:val="bullet"/>
      <w:start w:val="1"/>
    </w:lvl>
  </w:abstractNum>
  <w:abstractNum w:abstractNumId="28">
    <w:nsid w:val="3804823E"/>
    <w:multiLevelType w:val="hybridMultilevel"/>
    <w:lvl w:ilvl="0">
      <w:lvlJc w:val="left"/>
      <w:lvlText w:val="4"/>
      <w:numFmt w:val="bullet"/>
      <w:start w:val="1"/>
    </w:lvl>
  </w:abstractNum>
  <w:abstractNum w:abstractNumId="29">
    <w:nsid w:val="77465F01"/>
    <w:multiLevelType w:val="hybridMultilevel"/>
    <w:lvl w:ilvl="0">
      <w:lvlJc w:val="left"/>
      <w:lvlText w:val="5"/>
      <w:numFmt w:val="bullet"/>
      <w:start w:val="1"/>
    </w:lvl>
  </w:abstractNum>
  <w:abstractNum w:abstractNumId="30">
    <w:nsid w:val="7724C67E"/>
    <w:multiLevelType w:val="hybridMultilevel"/>
    <w:lvl w:ilvl="0">
      <w:lvlJc w:val="left"/>
      <w:lvlText w:val="6"/>
      <w:numFmt w:val="bullet"/>
      <w:start w:val="1"/>
    </w:lvl>
  </w:abstractNum>
  <w:abstractNum w:abstractNumId="31">
    <w:nsid w:val="5C482A97"/>
    <w:multiLevelType w:val="hybridMultilevel"/>
    <w:lvl w:ilvl="0">
      <w:lvlJc w:val="left"/>
      <w:lvlText w:val="%1"/>
      <w:numFmt w:val="decimal"/>
      <w:start w:val="1"/>
    </w:lvl>
    <w:lvl w:ilvl="1">
      <w:lvlJc w:val="left"/>
      <w:lvlText w:val="%2"/>
      <w:numFmt w:val="decimal"/>
      <w:start w:val="11"/>
    </w:lvl>
  </w:abstractNum>
  <w:abstractNum w:abstractNumId="32">
    <w:nsid w:val="2463B9EA"/>
    <w:multiLevelType w:val="hybridMultilevel"/>
    <w:lvl w:ilvl="0">
      <w:lvlJc w:val="left"/>
      <w:lvlText w:val="(%1)"/>
      <w:numFmt w:val="decimal"/>
      <w:start w:val="1"/>
    </w:lvl>
    <w:lvl w:ilvl="1">
      <w:lvlJc w:val="left"/>
      <w:lvlText w:val="%2"/>
      <w:numFmt w:val="decimal"/>
      <w:start w:val="1"/>
    </w:lvl>
  </w:abstractNum>
  <w:abstractNum w:abstractNumId="33">
    <w:nsid w:val="5E884ADC"/>
    <w:multiLevelType w:val="hybridMultilevel"/>
    <w:lvl w:ilvl="0">
      <w:lvlJc w:val="left"/>
      <w:lvlText w:val="1"/>
      <w:numFmt w:val="bullet"/>
      <w:start w:val="1"/>
    </w:lvl>
  </w:abstractNum>
  <w:abstractNum w:abstractNumId="34">
    <w:nsid w:val="51EAD36B"/>
    <w:multiLevelType w:val="hybridMultilevel"/>
    <w:lvl w:ilvl="0">
      <w:lvlJc w:val="left"/>
      <w:lvlText w:val="2"/>
      <w:numFmt w:val="bullet"/>
      <w:start w:val="1"/>
    </w:lvl>
  </w:abstractNum>
  <w:abstractNum w:abstractNumId="35">
    <w:nsid w:val="2D517796"/>
    <w:multiLevelType w:val="hybridMultilevel"/>
    <w:lvl w:ilvl="0">
      <w:lvlJc w:val="left"/>
      <w:lvlText w:val="3"/>
      <w:numFmt w:val="bullet"/>
      <w:start w:val="1"/>
    </w:lvl>
  </w:abstractNum>
  <w:abstractNum w:abstractNumId="36">
    <w:nsid w:val="580BD78F"/>
    <w:multiLevelType w:val="hybridMultilevel"/>
    <w:lvl w:ilvl="0">
      <w:lvlJc w:val="left"/>
      <w:lvlText w:val="4"/>
      <w:numFmt w:val="bullet"/>
      <w:start w:val="1"/>
    </w:lvl>
  </w:abstractNum>
  <w:abstractNum w:abstractNumId="37">
    <w:nsid w:val="153EA438"/>
    <w:multiLevelType w:val="hybridMultilevel"/>
    <w:lvl w:ilvl="0">
      <w:lvlJc w:val="left"/>
      <w:lvlText w:val="5"/>
      <w:numFmt w:val="bullet"/>
      <w:start w:val="1"/>
    </w:lvl>
  </w:abstractNum>
  <w:abstractNum w:abstractNumId="38">
    <w:nsid w:val="3855585C"/>
    <w:multiLevelType w:val="hybridMultilevel"/>
    <w:lvl w:ilvl="0">
      <w:lvlJc w:val="left"/>
      <w:lvlText w:val="6"/>
      <w:numFmt w:val="bullet"/>
      <w:start w:val="1"/>
    </w:lvl>
  </w:abstractNum>
  <w:abstractNum w:abstractNumId="39">
    <w:nsid w:val="70A64E2A"/>
    <w:multiLevelType w:val="hybridMultilevel"/>
    <w:lvl w:ilvl="0">
      <w:lvlJc w:val="left"/>
      <w:lvlText w:val="7"/>
      <w:numFmt w:val="bullet"/>
      <w:start w:val="1"/>
    </w:lvl>
  </w:abstractNum>
  <w:abstractNum w:abstractNumId="40">
    <w:nsid w:val="6A2342EC"/>
    <w:multiLevelType w:val="hybridMultilevel"/>
    <w:lvl w:ilvl="0">
      <w:lvlJc w:val="left"/>
      <w:lvlText w:val="%1"/>
      <w:numFmt w:val="decimal"/>
      <w:start w:val="1"/>
    </w:lvl>
    <w:lvl w:ilvl="1">
      <w:lvlJc w:val="left"/>
      <w:lvlText w:val="%2"/>
      <w:numFmt w:val="decimal"/>
      <w:start w:val="11"/>
    </w:lvl>
  </w:abstractNum>
  <w:abstractNum w:abstractNumId="41">
    <w:nsid w:val="2A487CB0"/>
    <w:multiLevelType w:val="hybridMultilevel"/>
    <w:lvl w:ilvl="0">
      <w:lvlJc w:val="left"/>
      <w:lvlText w:val="(%1)"/>
      <w:numFmt w:val="decimal"/>
      <w:start w:val="1"/>
    </w:lvl>
    <w:lvl w:ilvl="1">
      <w:lvlJc w:val="left"/>
      <w:lvlText w:val="%2"/>
      <w:numFmt w:val="decimal"/>
      <w:start w:val="1"/>
    </w:lvl>
  </w:abstractNum>
  <w:abstractNum w:abstractNumId="42">
    <w:nsid w:val="1D4ED43B"/>
    <w:multiLevelType w:val="hybridMultilevel"/>
    <w:lvl w:ilvl="0">
      <w:lvlJc w:val="left"/>
      <w:lvlText w:val="(%1)"/>
      <w:numFmt w:val="lowerRoman"/>
      <w:start w:val="4"/>
    </w:lvl>
  </w:abstractNum>
  <w:abstractNum w:abstractNumId="43">
    <w:nsid w:val="725A06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2022-03-30T07:12:01Z</dcterms:created>
  <dcterms:modified xsi:type="dcterms:W3CDTF">2022-03-30T07:12:01Z</dcterms:modified>
</cp:coreProperties>
</file>