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819-0080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On November 29, 2021, Adagio Therapeutics, Inc. (the “Company”) issued a press release entitled “Adagio Therapeutics Reports That None of the Mutations Present in SARS-CoV-2 Variant, Omicron, Are Associated with Escape from ADG20 Neutralization In Vitro.” The full text of the press release is attached as Exhibit 99.1 to this Current Report on Form 8-K.</w:t>
      </w:r>
    </w:p>
    <w:p>
      <w:pPr>
        <w:spacing w:after="0" w:line="184"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The information in this Item 7.01,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820" w:hanging="38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jc w:val="center"/>
              <w:ind w:right="2508"/>
              <w:spacing w:after="0"/>
              <w:rPr>
                <w:sz w:val="20"/>
                <w:szCs w:val="20"/>
                <w:color w:val="auto"/>
              </w:rPr>
            </w:pPr>
            <w:r>
              <w:rPr>
                <w:rFonts w:ascii="Arial" w:cs="Arial" w:eastAsia="Arial" w:hAnsi="Arial"/>
                <w:sz w:val="14"/>
                <w:szCs w:val="14"/>
                <w:color w:val="auto"/>
                <w:w w:val="99"/>
              </w:rPr>
              <w:t>Exhibit</w:t>
            </w:r>
          </w:p>
        </w:tc>
        <w:tc>
          <w:tcPr>
            <w:tcW w:w="3260" w:type="dxa"/>
            <w:vAlign w:val="bottom"/>
            <w:vMerge w:val="restart"/>
          </w:tcPr>
          <w:p>
            <w:pPr>
              <w:ind w:left="2600"/>
              <w:spacing w:after="0"/>
              <w:rPr>
                <w:sz w:val="20"/>
                <w:szCs w:val="20"/>
                <w:color w:val="auto"/>
              </w:rPr>
            </w:pPr>
            <w:r>
              <w:rPr>
                <w:rFonts w:ascii="Arial" w:cs="Arial" w:eastAsia="Arial" w:hAnsi="Arial"/>
                <w:sz w:val="14"/>
                <w:szCs w:val="14"/>
                <w:color w:val="auto"/>
                <w:w w:val="91"/>
              </w:rPr>
              <w:t>Description</w:t>
            </w:r>
          </w:p>
        </w:tc>
        <w:tc>
          <w:tcPr>
            <w:tcW w:w="0" w:type="dxa"/>
            <w:vAlign w:val="bottom"/>
          </w:tcPr>
          <w:p>
            <w:pPr>
              <w:spacing w:after="0"/>
              <w:rPr>
                <w:sz w:val="1"/>
                <w:szCs w:val="1"/>
                <w:color w:val="auto"/>
              </w:rPr>
            </w:pPr>
          </w:p>
        </w:tc>
      </w:tr>
      <w:tr>
        <w:trPr>
          <w:trHeight w:val="182"/>
        </w:trPr>
        <w:tc>
          <w:tcPr>
            <w:tcW w:w="3000" w:type="dxa"/>
            <w:vAlign w:val="bottom"/>
          </w:tcPr>
          <w:p>
            <w:pPr>
              <w:jc w:val="center"/>
              <w:ind w:right="2508"/>
              <w:spacing w:after="0"/>
              <w:rPr>
                <w:sz w:val="20"/>
                <w:szCs w:val="20"/>
                <w:color w:val="auto"/>
              </w:rPr>
            </w:pPr>
            <w:r>
              <w:rPr>
                <w:rFonts w:ascii="Arial" w:cs="Arial" w:eastAsia="Arial" w:hAnsi="Arial"/>
                <w:sz w:val="14"/>
                <w:szCs w:val="14"/>
                <w:color w:val="auto"/>
              </w:rPr>
              <w:t>No.</w:t>
            </w:r>
          </w:p>
        </w:tc>
        <w:tc>
          <w:tcPr>
            <w:tcW w:w="3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spacing w:after="0"/>
        <w:tabs>
          <w:tab w:leader="none" w:pos="8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29, 2021.</w:t>
        </w:r>
      </w:hyperlink>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00"/>
          </w:cols>
          <w:pgMar w:left="440" w:top="297"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180"/>
        <w:spacing w:after="0"/>
        <w:tabs>
          <w:tab w:leader="none" w:pos="5600" w:val="left"/>
          <w:tab w:leader="none" w:pos="6220" w:val="left"/>
        </w:tabs>
        <w:rPr>
          <w:sz w:val="20"/>
          <w:szCs w:val="20"/>
          <w:color w:val="auto"/>
        </w:rPr>
      </w:pPr>
      <w:r>
        <w:rPr>
          <w:rFonts w:ascii="Arial" w:cs="Arial" w:eastAsia="Arial" w:hAnsi="Arial"/>
          <w:sz w:val="18"/>
          <w:szCs w:val="18"/>
          <w:color w:val="auto"/>
        </w:rPr>
        <w:t>Dated: November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Jane Pritchett Henderson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9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171450</wp:posOffset>
            </wp:positionV>
            <wp:extent cx="204914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91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Reports That None of the Mutations Present in SARS-CoV-2 Variant, Omicron,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Are Associated with Escape from ADG20 Neutralization In Vitro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Additional in vitro studies to determine neutralization activity of ADG20 against Omicron are ongoing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ADG20 EUA submissions planned for prevention and treatment of COVID-19 in mid-2022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Inventory build continues in anticipation of EUA in second half of 2022, with 4 million doses available for distribution over the next two years</w:t>
      </w:r>
    </w:p>
    <w:p>
      <w:pPr>
        <w:spacing w:after="0" w:line="23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Waltham, MA – Nov. 29, 2021 – </w:t>
      </w:r>
      <w:r>
        <w:rPr>
          <w:rFonts w:ascii="Arial" w:cs="Arial" w:eastAsia="Arial" w:hAnsi="Arial"/>
          <w:sz w:val="18"/>
          <w:szCs w:val="18"/>
          <w:color w:val="auto"/>
        </w:rPr>
        <w:t>Adagio Therapeutics, Inc., (Nasdaq: ADGI) a clinical-stage biopharmaceutical company focused on the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commercialization of antibody-based solutions for infectious diseases with pandemic potential, today provided information related to the potential of its lead SARS-CoV-2 antibody, ADG20, to address the Omicron SARS-CoV-2 variant, and other known variants of concern. ADG20 is an investigational monoclonal antibody (mAb) product candidate designed to provide broad and potent neutralizing activity against SARS-CoV-2, including variants of concern, for the prevention and treatment of COVID-19 with potential duration of protection for up to one year in a single injection.</w:t>
      </w:r>
    </w:p>
    <w:p>
      <w:pPr>
        <w:spacing w:after="0" w:line="19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“The continued global scale of the COVID-19 pandemic has led to increased levels of immune pressure on the virus, which is driving the emergence of variants containing mutations associated with escape from common classes of neutralizing antibodies induced by natural infection or vaccination. Unlike most antibodies currently available under EUA, ADG20 has been shown to target an epitope that is highly conserved among clade I sarbecoviruses and that is not readily targeted by the endogenous neutralizing antibody response,” said Laura Walker, Ph.D., co-founder and chief scientific officer of Adagio. “Due to the highly conserved and immunorecessive nature of the epitope recognized by ADG20, we expect that ADG20 will retain activity against Omicron, as we have observed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models with all other variants of concern identified previously. Further, none of the mutations present in the spike protein of the Omicron variant have been associated with escape from ADG20 neutralization. ADG20 was engineered for potent and broadly neutralizing activity in anticipation of both the rapid antigenic evolution of SARS-CoV-2 and the emergence of future SARS-like viruses with pandemic potential.”</w:t>
      </w:r>
    </w:p>
    <w:p>
      <w:pPr>
        <w:spacing w:after="0" w:line="19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“ADG20 was uniquely designed to combine breadth, potency and duration of protection against SARS-CoV-2 for up to one year in a single injection. We did this anticipating that SARS-CoV-2 would continue to evolve and potentially render some early therapies and vaccines obsolete,” said Tillman Gerngross, Ph.D., co-founder and chief executive officer of Adagio. “Our global clinical trials are advancing with potential EUA submissions in mid-2022 for both prevention and treatment of COVID-19. We continue to engage with the FDA and other regulatory bodies and governmental agencies to discuss potential acceleration of development plans and the need for a portfolio of therapeutic solutions to combat the COVID-19 pandemic.”</w:t>
      </w:r>
    </w:p>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Given the significant potential health crisis resulting from the emergence of Omicron, Adagio is undertaking a number of activities to support ADG20’s utility in addressing this newly emerged variant of concern, including:</w:t>
      </w:r>
    </w:p>
    <w:p>
      <w:pPr>
        <w:spacing w:after="0" w:line="76" w:lineRule="exact"/>
        <w:rPr>
          <w:sz w:val="20"/>
          <w:szCs w:val="20"/>
          <w:color w:val="auto"/>
        </w:rPr>
      </w:pPr>
    </w:p>
    <w:p>
      <w:pPr>
        <w:ind w:left="960" w:right="2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Conducting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to evaluate the expected binding and neutralizing activity of ADG20 against Omicron. Initial data from these studies is anticipated by the end of the year;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960" w:right="80" w:hanging="424"/>
        <w:spacing w:after="0" w:line="342"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183515</wp:posOffset>
            </wp:positionV>
            <wp:extent cx="204914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Recruiting patients in Adagio’s Phase 2/3 COVID-19 treatment trial, known as STAMP, across several clinical sites in South Africa (along with ongoing clinical trial efforts globally) in an effort to generate clinical data for ADG20 against infections due to the Omicron variant.</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Based on the data being generated, Adagio plans to engage with health authorities and government agencies to accelerate development and supply of ADG20 to combat SARS-CoV-2 and its variants of concern.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ADG20 and Variants of Concern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neutralizing antibody response induced by SARS-CoV-2 infection and vaccination is dominated by three classes of receptor binding domain (RBD)-directed antibodies (Class 1, Class 2 and Class 3), which often share common escape mutations. The newly emerged Omicron (B.1.1.529) variant identified in South Africa contains mutations associated with resistance to a large proportion of these commonly elicited antibodies, which may be due to immune pressure on these antigenic sites. Data for most antibodies available under EUA or in late-stage clinical development show they target one of these three dominant antigenic regions within the RBD.</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In vitro </w:t>
      </w:r>
      <w:r>
        <w:rPr>
          <w:rFonts w:ascii="Arial" w:cs="Arial" w:eastAsia="Arial" w:hAnsi="Arial"/>
          <w:sz w:val="17"/>
          <w:szCs w:val="17"/>
          <w:color w:val="auto"/>
        </w:rPr>
        <w:t>studies have shown that ADG20 binds to a highly conserved epitope within the RBD that is not targeted by any of the common classes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neutralizing antibodies induced by SARS-CoV-2 infection and vaccination. Thus, unlike many other clinical-stage antibodies, which were isolated from COVID-19 patients and recognize epitopes that are also targeted by endogenous neutralizing antibodies, there is limited immune pressure on the ADG20 binding site. The ADG20 epitope has remained conserved in 99.99% of the nearly 4 million full length SARS-CoV-2 viral sequences deposited in the GISAID database as of October 15, 2021 and, as shown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ADG20 retains activity against prior variants of concern including Alpha, Beta, Delta, and Gamma. For the Omicron variant, none of the mutations present in the spike protein are associated with escape from ADG20 neutralization. Based on published epitope mapping and structural studies, Adagio anticipates that ADG20 will retain neutralizing activity against the Omicron variant whereas other mAb products may lose substantial activity against this variant.</w:t>
      </w:r>
    </w:p>
    <w:p>
      <w:pPr>
        <w:spacing w:after="0" w:line="17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 xml:space="preserve">Previously disclosed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demonstrated retained neutralizing activity of ADG20 against a diverse panel of circulating SARS-CoV-2 variants, including the recently emerged Lambda, Mu and Delta plus variants. Notably, findings from these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showed that ADG20 demonstrated potent neutralizing activity against all SARS-CoV-2 variants of concern tested, including those with reduced susceptibility to mAb products currently available under EUA or in late-stage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ADG20</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ADG20, an investigational monoclonal antibody targeting the spike protein of SARS-CoV-2 and related coronaviruses, is advancing through global clinical trials for the prevention and treatment of COVID-19, the disease caused by SARS-CoV-2. ADG20 was designed and engineered to possess high potency and broad neutralization activity against SARS-CoV-2 and additional clade 1 sarbecoviruses by targeting a highly conserved epitope in the receptor binding domain. ADG20 was further engineered to provide an extended half-life for durable protection. ADG20 has demonstrated potent neutralizing activity against the original SARS-CoV-2 virus, SARS-CoV-2 variants of concern Alpha, Beta, Delta, and Gamma, other SARS-CoV-2 variants to date, and additional SARS-like viruses in preclinical studies. ADG20 is administered in clinical trials by a single intramuscular injection. To date, ADG20 has been well-tolerated in a Phase 1 trial with no safety signals identified through a minimum of three months follow-up across all cohorts. ADG20 has not been approved for use in any country, and safety and efficacy have not yet been established.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1232"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182880</wp:posOffset>
            </wp:positionV>
            <wp:extent cx="2049145"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About Adagio Therapeutics</w:t>
      </w:r>
    </w:p>
    <w:p>
      <w:pPr>
        <w:spacing w:after="0" w:line="12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Adagio (Nasdaq: ADGI) is a clinical-stage biopharmaceutical company focused on the discovery, development and commercialization of antibody-based solutions for infectious diseases with pandemic potential, including COVID-19 and influenza. The company’s portfolio of antibodies has been optimized using Adimab’s industry-leading antibody engineering capabilities and is designed to provide patients and clinicians with the potential for a powerful combination of potency, breadth, durable protection (via half-life extension), manufacturability and affordability. Adagio’s portfolio of SARS-CoV-2 antibodies includes multiple non-competing, broadly neutralizing antibodies with distinct binding epitopes, led by ADG20. Adagio has secured manufacturing capacity for the production of ADG20 with third-party contract manufacturers to support the completion of clinical trials and initial commercial launch, ensuring the potential for broad accessibility to people around the world. For more information, please visit </w:t>
      </w:r>
      <w:r>
        <w:rPr>
          <w:rFonts w:ascii="Arial" w:cs="Arial" w:eastAsia="Arial" w:hAnsi="Arial"/>
          <w:sz w:val="18"/>
          <w:szCs w:val="18"/>
          <w:u w:val="single" w:color="auto"/>
          <w:color w:val="auto"/>
        </w:rPr>
        <w:t>www.adagiotx.com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press release contains forward-looking statements within the meaning of the Private Securities Litigation Reform Act of 1995. Words such as “anticipates,” “believes,” “expects,” “intends,” “projects,” and “future” or similar expressions are intended to identify forward-looking statements. Forward-looking statements include statements concerning, among other things, the timing, progress and results of our preclinical studies and clinical trials of ADG20, including the timing of our planned EUA submissions, initiation, modification and completion of studies or trials and related preparatory work, the period during which the results of the trials will become available and our research and development programs; the expected neutralizing activity of ADG20 against the Omicron variant; our ability to obtain and maintain regulatory approvals for, our product candidates; our ability to identify patients, including in specific populations, with the diseases treated by our product candidates and to enroll these patients in our clinical trials; our expectations regarding the scope of any approved indication for ADG20; and the risk/benefit profile of our product candidates to patients; our manufacturing capabilities and strategy, including plans for doses available in the near future; and our ability to successfully commercialize our product candidates.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impacts of the COVID-19 pandemic on our business, clinical trials and financial position, unexpected safety or efficacy data observed during preclinical studies or clinical trials, clinical trial site activation or enrollment rates that are lower than expected, changes in expected or existing competition, changes in the regulatory environment, and the uncertainties and timing of the regulatory approval process. Other factors that may cause our actual results to differ materially from those expressed or implied in the forward-looking statements in this press release are described under the heading “Risk Factors” in Adagio’s Quarterly Report on Form 10-Q for the quarter ended June 30, 2021 and in Adagio’s future reports to be filed with the SEC, including Adagio’s Quarterly Report on Form 10-Q for the quarter ended September 30, 2021. Such risks may be amplified by the impacts of the COVID-19 pandemic. Forward-looking statements contained in this press release are made as of this date, and Adagio undertakes no duty to update such information except as required under applicable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Budwick, 1AB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Dan@1abmedia.com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Monique Allaire, THRUST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monique@thrustsc.com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20"/>
      </w:cols>
      <w:pgMar w:left="440" w:top="122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2021-11-29T07:25:26Z</dcterms:created>
  <dcterms:modified xsi:type="dcterms:W3CDTF">2021-11-29T07:25:26Z</dcterms:modified>
</cp:coreProperties>
</file>