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740" w:type="dxa"/>
            <w:vAlign w:val="bottom"/>
          </w:tcPr>
          <w:p>
            <w:pPr>
              <w:jc w:val="center"/>
              <w:ind w:left="156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51"/>
        </w:trPr>
        <w:tc>
          <w:tcPr>
            <w:tcW w:w="3560" w:type="dxa"/>
            <w:vAlign w:val="bottom"/>
          </w:tcPr>
          <w:p>
            <w:pPr>
              <w:jc w:val="center"/>
              <w:ind w:right="177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20" w:type="dxa"/>
            <w:vAlign w:val="bottom"/>
          </w:tcPr>
          <w:p>
            <w:pPr>
              <w:ind w:left="68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5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17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72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5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1601 Trapelo Road, Suite 178</w:t>
            </w:r>
          </w:p>
        </w:tc>
        <w:tc>
          <w:tcPr>
            <w:tcW w:w="27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52"/>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720" w:type="dxa"/>
            <w:vAlign w:val="bottom"/>
          </w:tcPr>
          <w:p>
            <w:pPr>
              <w:spacing w:after="0"/>
              <w:rPr>
                <w:sz w:val="21"/>
                <w:szCs w:val="21"/>
                <w:color w:val="auto"/>
              </w:rPr>
            </w:pPr>
          </w:p>
        </w:tc>
        <w:tc>
          <w:tcPr>
            <w:tcW w:w="2740" w:type="dxa"/>
            <w:vAlign w:val="bottom"/>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35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20" w:type="dxa"/>
            <w:vAlign w:val="bottom"/>
          </w:tcPr>
          <w:p>
            <w:pPr>
              <w:spacing w:after="0"/>
              <w:rPr>
                <w:sz w:val="16"/>
                <w:szCs w:val="16"/>
                <w:color w:val="auto"/>
              </w:rPr>
            </w:pPr>
          </w:p>
        </w:tc>
        <w:tc>
          <w:tcPr>
            <w:tcW w:w="274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00" w:hanging="279"/>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5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
        </w:trPr>
        <w:tc>
          <w:tcPr>
            <w:tcW w:w="5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On September 3, 2024, Invivyd, Inc. issued a press release entitled “Invivyd Announces Continued Neutralizing Activity of PEMGARDA™ (pemivibart) Against Dominant SARS-CoV-2 Variants KP.3.1.1 and LB.1, and Other Variants of Interest.” A copy of the press release is filed herewith as Exhibit 99.1 and is incorporated by reference in this Item 8.01.</w:t>
      </w:r>
    </w:p>
    <w:p>
      <w:pPr>
        <w:spacing w:after="0" w:line="185"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300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818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27" w:right="51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39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3, 2024</w:t>
            </w:r>
          </w:p>
        </w:tc>
        <w:tc>
          <w:tcPr>
            <w:tcW w:w="90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218"/>
        </w:trPr>
        <w:tc>
          <w:tcPr>
            <w:tcW w:w="2160" w:type="dxa"/>
            <w:vAlign w:val="bottom"/>
          </w:tcPr>
          <w:p>
            <w:pPr>
              <w:spacing w:after="0"/>
              <w:rPr>
                <w:sz w:val="18"/>
                <w:szCs w:val="18"/>
                <w:color w:val="auto"/>
              </w:rPr>
            </w:pPr>
          </w:p>
        </w:tc>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Jill Andersen</w:t>
            </w:r>
          </w:p>
        </w:tc>
        <w:tc>
          <w:tcPr>
            <w:tcW w:w="2520" w:type="dxa"/>
            <w:vAlign w:val="bottom"/>
            <w:tcBorders>
              <w:top w:val="single" w:sz="8" w:color="auto"/>
            </w:tcBorders>
          </w:tcPr>
          <w:p>
            <w:pPr>
              <w:spacing w:after="0"/>
              <w:rPr>
                <w:sz w:val="18"/>
                <w:szCs w:val="18"/>
                <w:color w:val="auto"/>
              </w:rPr>
            </w:pPr>
          </w:p>
        </w:tc>
        <w:tc>
          <w:tcPr>
            <w:tcW w:w="512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9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1411"/>
        </w:trPr>
        <w:tc>
          <w:tcPr>
            <w:tcW w:w="2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50876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87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25"/>
          <w:szCs w:val="25"/>
          <w:b w:val="1"/>
          <w:bCs w:val="1"/>
          <w:color w:val="auto"/>
        </w:rPr>
        <w:t>Invivyd Announces Continued Neutralizing Activity of PEMGARDA™ (pemivibart) Against Dominant SARS-CoV-2 Variants KP.3.1.1 and LB.1, and Other Variants of Interest</w:t>
      </w:r>
    </w:p>
    <w:p>
      <w:pPr>
        <w:spacing w:after="0" w:line="1" w:lineRule="exact"/>
        <w:rPr>
          <w:sz w:val="20"/>
          <w:szCs w:val="20"/>
          <w:color w:val="auto"/>
        </w:rPr>
      </w:pPr>
    </w:p>
    <w:p>
      <w:pPr>
        <w:ind w:left="760" w:right="660" w:hanging="378"/>
        <w:spacing w:after="0" w:line="21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New pseudovirus in vitro neutralization data show continued neutralizing activity of PEMGARDA</w:t>
      </w:r>
      <w:r>
        <w:rPr>
          <w:rFonts w:ascii="Times New Roman" w:cs="Times New Roman" w:eastAsia="Times New Roman" w:hAnsi="Times New Roman"/>
          <w:sz w:val="28"/>
          <w:szCs w:val="28"/>
          <w:i w:val="1"/>
          <w:iCs w:val="1"/>
          <w:color w:val="auto"/>
          <w:vertAlign w:val="superscript"/>
        </w:rPr>
        <w:t>TM</w:t>
      </w:r>
      <w:r>
        <w:rPr>
          <w:rFonts w:ascii="Times New Roman" w:cs="Times New Roman" w:eastAsia="Times New Roman" w:hAnsi="Times New Roman"/>
          <w:sz w:val="22"/>
          <w:szCs w:val="22"/>
          <w:i w:val="1"/>
          <w:iCs w:val="1"/>
          <w:color w:val="auto"/>
        </w:rPr>
        <w:t xml:space="preserve"> (pemivibart) against KP.3.1.1, LB.1, and other SARS-CoV-2 variants tested</w:t>
      </w:r>
    </w:p>
    <w:p>
      <w:pPr>
        <w:ind w:left="760" w:hanging="378"/>
        <w:spacing w:after="0" w:line="23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Center for Disease Control reports KP.3.1.1 is the only major variant increasing in proportionality nationally</w:t>
      </w:r>
    </w:p>
    <w:p>
      <w:pPr>
        <w:ind w:left="760" w:hanging="378"/>
        <w:spacing w:after="0" w:line="23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Variants confirmed as susceptible to pemivibart in independent analyses contain key Q493E, s31del, and other mutations that are prominent in circulating SARS-CoV-2 variants</w:t>
      </w:r>
    </w:p>
    <w:p>
      <w:pPr>
        <w:spacing w:after="0" w:line="1" w:lineRule="exact"/>
        <w:rPr>
          <w:rFonts w:ascii="Times New Roman" w:cs="Times New Roman" w:eastAsia="Times New Roman" w:hAnsi="Times New Roman"/>
          <w:sz w:val="18"/>
          <w:szCs w:val="18"/>
          <w:color w:val="auto"/>
        </w:rPr>
      </w:pPr>
    </w:p>
    <w:p>
      <w:pPr>
        <w:ind w:left="760" w:hanging="378"/>
        <w:spacing w:after="0" w:line="189"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 xml:space="preserve">Data submitted to FDA for anticipated timely updates to PEMGARDA </w:t>
      </w:r>
      <w:r>
        <w:rPr>
          <w:rFonts w:ascii="Times New Roman" w:cs="Times New Roman" w:eastAsia="Times New Roman" w:hAnsi="Times New Roman"/>
          <w:sz w:val="28"/>
          <w:szCs w:val="28"/>
          <w:i w:val="1"/>
          <w:iCs w:val="1"/>
          <w:color w:val="auto"/>
          <w:vertAlign w:val="superscript"/>
        </w:rPr>
        <w:t>TM</w:t>
      </w:r>
      <w:r>
        <w:rPr>
          <w:rFonts w:ascii="Times New Roman" w:cs="Times New Roman" w:eastAsia="Times New Roman" w:hAnsi="Times New Roman"/>
          <w:sz w:val="22"/>
          <w:szCs w:val="22"/>
          <w:i w:val="1"/>
          <w:iCs w:val="1"/>
          <w:color w:val="auto"/>
        </w:rPr>
        <w:t xml:space="preserve"> Fact Sheet</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i w:val="1"/>
          <w:iCs w:val="1"/>
          <w:color w:val="auto"/>
        </w:rPr>
        <w:t>Pipeline candidate VYD2311 shows attractive neutralization potency against the same contemporary viruses</w:t>
      </w:r>
    </w:p>
    <w:p>
      <w:pPr>
        <w:spacing w:after="0" w:line="20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2"/>
          <w:szCs w:val="22"/>
          <w:b w:val="1"/>
          <w:bCs w:val="1"/>
          <w:color w:val="auto"/>
        </w:rPr>
        <w:t xml:space="preserve">WALTHAM, Mass., Sept. 3, 2024 </w:t>
      </w:r>
      <w:r>
        <w:rPr>
          <w:rFonts w:ascii="Times New Roman" w:cs="Times New Roman" w:eastAsia="Times New Roman" w:hAnsi="Times New Roman"/>
          <w:sz w:val="22"/>
          <w:szCs w:val="22"/>
          <w:color w:val="auto"/>
        </w:rPr>
        <w:t>– Invivyd, Inc. (Nasdaq: IVVD), a biopharmaceutical company devoted to delivering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protection from serious viral infectious diseases, today announced that new pseudovirus in vitro neutralization data show continued neutralizing activity of PEMGARDA</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(pemivibart) and pipeline candidate VYD2311 against dominant SARS-CoV-2 variants KP.3.1.1 and LB.1, and others tested. The Center for Disease Control (CDC) estimates that KP.3.1.1 accounted for 42.2% of circulating variants of SARS-CoV-2 for the last two weeks of August and is the only major variant increasing in proportionality nationally.</w:t>
      </w:r>
    </w:p>
    <w:p>
      <w:pPr>
        <w:spacing w:after="0" w:line="20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1"/>
          <w:szCs w:val="21"/>
          <w:color w:val="auto"/>
        </w:rPr>
        <w:t>Invivyd generated these new data as part of its ongoing industrial virology effort, which leverages a consistent, high-quality, independent, third-party pseudoviral system that routinely tests authentic Invivyd-produced pemivibart and is supported by extensive structure-based analytics. KP.3.1.1, LB.1, and other viruses now assessed and confirmed as susceptible to pemivibart contain key mutations prominent in circulating SARS-CoV-2 variants such as Q493E and the S31 deletion (del) that, while outside of the pemivibart binding site, can influence viral antibody evasion. As of September 2024, the primary structure of the pemivibart epitope has remained intact across 99.59% of viral sequences deposited in Global Initiative on Sharing All Influenza Data (GISAID) since the original Omicron BA.1 variant. This breadth of continuing pemivibart activity highlights Invivyd’s industry-leading efforts to generate and advance high quality, variation-resistant COVID-19 antibody medicines.</w:t>
      </w:r>
    </w:p>
    <w:p>
      <w:pPr>
        <w:spacing w:after="0" w:line="199"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“At Invivyd, we combine surveillance, predictive modeling and antibody engineering towards developing antibody medicines designed to demonstrate continued activity in the face of ongoing SARS-CoV-2 evolution,” said Robert Allen, Ph.D., 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right="460"/>
        <w:spacing w:after="0" w:line="244" w:lineRule="auto"/>
        <w:rPr>
          <w:sz w:val="20"/>
          <w:szCs w:val="20"/>
          <w:color w:val="auto"/>
        </w:rPr>
      </w:pPr>
      <w:r>
        <w:rPr>
          <w:rFonts w:ascii="Times New Roman" w:cs="Times New Roman" w:eastAsia="Times New Roman" w:hAnsi="Times New Roman"/>
          <w:sz w:val="22"/>
          <w:szCs w:val="22"/>
          <w:color w:val="auto"/>
        </w:rPr>
        <w:t>“Pemivibart has now demonstrated antiviral activity against thirty-three distinct SARS-CoV-2 variants across more than two years of rapid virus evolution from Omicron BA.2 through to the most common current virus KP.3.1.1 and related tested variants.”</w:t>
      </w:r>
    </w:p>
    <w:p>
      <w:pPr>
        <w:spacing w:after="0" w:line="20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2"/>
          <w:szCs w:val="22"/>
          <w:color w:val="auto"/>
        </w:rPr>
        <w:t>“We are pleased but not surprised by today’s robust data that confirm ongoing PEMGARDA™ (pemivibart) neutralizing activity against current circulating viral lineages, including KP.3.1.1, perhaps predictably given the continued structural integrity of the pemivibart binding site shown in these viruses,” noted Marc Elia, Chairman of the Invivyd Board of Directors. “Today’s data are especially important given that recent, preliminary, non-peer-reviewed reports assessing molecules represented as similar to pemivibart raised questions on these topics. Reliable antibody neutralization assessment is a challenging scientific field, and Invivyd deploys considerable resources towards ensuring that our assessments of authentically manufactured pemivibart are robust, produced in compliance with applicable standards, and can be used for their intended purpose, as defined by the guidance provided to industry by the U.S. Food and Drug Administration (FDA)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w:t>
      </w:r>
    </w:p>
    <w:p>
      <w:pPr>
        <w:spacing w:after="0" w:line="9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“We are pleased for vulnerable populations that our standard, ongoing processes have decisively answered important questions about KP.3.1.1 and contemporary SARS-CoV-2 viruses, particularly given the extraordinary burden of COVID-19 disease in the U.S. today and the need for reliable medical information for clinicians and their immunocompromised patients, among others, in this complex and dynamic field,” continued Mr. Elia.</w:t>
      </w:r>
    </w:p>
    <w:p>
      <w:pPr>
        <w:spacing w:after="0" w:line="207"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Data showing continued in vitro neutralizing activity of PEMGARDA™ (pemivibart) against KP.3.1.1, LB.1 and other SARS-CoV-2 variants have been submitted to the FDA for anticipated timely updates to the PEMGARDA Healthcare Providers Fact Sheet.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PEMGARDA</w:t>
      </w:r>
    </w:p>
    <w:p>
      <w:pPr>
        <w:spacing w:after="0" w:line="18"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1"/>
          <w:szCs w:val="21"/>
          <w:color w:val="auto"/>
        </w:rPr>
        <w:t>PEMGARDA™ (pemivibart) is a half-life extended investigational monoclonal antibody (mAb). PEMGARDA was engineered from adintrevimab, Invivyd’s investigational mAb that has a robust safety data package and provided evidence of clinical efficacy in a global Phase 2/3 clinical trial for the prevention and treatment of COVID-19. PEMGARDA has demonstrated in vitro neutralizing activity against major SARS-CoV-2 variants, including JN.1. PEMGARDA targets the SARS-CoV-2 spike protein receptor binding domain (RBD), thereby inhibiting virus attachment to the human ACE2 receptor on host cells.</w:t>
      </w:r>
    </w:p>
    <w:p>
      <w:pPr>
        <w:spacing w:after="0" w:line="20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 w:name="page6"/>
    <w:bookmarkEnd w:id="5"/>
    <w:p>
      <w:pPr>
        <w:spacing w:after="0" w:line="21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PEMGARDA is not authorized for use for treatment of COVID-19 or post-exposure prophylaxis of COVID-19.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For additional information, please see the PEMGARDA full product Fact Sheet for Healthcare Providers, including important safety information and boxed warning.</w:t>
      </w:r>
    </w:p>
    <w:p>
      <w:pPr>
        <w:spacing w:after="0" w:line="21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have substantially reduced susceptibility to PEMGARDA, and PEMGARDA may not be effective at preventing COVID-19 caused by these SARS-CoV-2 viral variants.</w:t>
      </w:r>
    </w:p>
    <w:p>
      <w:pPr>
        <w:spacing w:after="0" w:line="20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VYD2311</w:t>
      </w:r>
    </w:p>
    <w:p>
      <w:pPr>
        <w:spacing w:after="0" w:line="18" w:lineRule="exact"/>
        <w:rPr>
          <w:sz w:val="20"/>
          <w:szCs w:val="20"/>
          <w:color w:val="auto"/>
        </w:rPr>
      </w:pPr>
    </w:p>
    <w:p>
      <w:pPr>
        <w:ind w:right="380"/>
        <w:spacing w:after="0" w:line="229" w:lineRule="auto"/>
        <w:rPr>
          <w:sz w:val="20"/>
          <w:szCs w:val="20"/>
          <w:color w:val="auto"/>
        </w:rPr>
      </w:pPr>
      <w:r>
        <w:rPr>
          <w:rFonts w:ascii="Times New Roman" w:cs="Times New Roman" w:eastAsia="Times New Roman" w:hAnsi="Times New Roman"/>
          <w:sz w:val="22"/>
          <w:szCs w:val="22"/>
          <w:color w:val="auto"/>
        </w:rPr>
        <w:t>VYD2311 is a novel monoclonal antibody (mAb) candidate being developed for COVID-19 to continue to address the urgent need for new therapeutic options for vulnerable populations, including immunocompromised people.</w:t>
      </w:r>
    </w:p>
    <w:p>
      <w:pPr>
        <w:spacing w:after="0" w:line="233" w:lineRule="auto"/>
        <w:rPr>
          <w:sz w:val="20"/>
          <w:szCs w:val="20"/>
          <w:color w:val="auto"/>
        </w:rPr>
      </w:pPr>
      <w:r>
        <w:rPr>
          <w:rFonts w:ascii="Arial" w:cs="Arial" w:eastAsia="Arial" w:hAnsi="Arial"/>
          <w:sz w:val="22"/>
          <w:szCs w:val="22"/>
          <w:color w:val="auto"/>
        </w:rPr>
        <w:t> </w:t>
      </w:r>
    </w:p>
    <w:p>
      <w:pPr>
        <w:spacing w:after="0" w:line="1"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VYD2311 was engineered from adintrevimab, Invivyd’s investigational mAb that has a robust safety data package and demonstrated clinically meaningful results in global Phase 3 clinical trials for both the prevention and treatment of COVID-19. The pharmacokinetic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22"/>
          <w:szCs w:val="22"/>
          <w:color w:val="auto"/>
        </w:rPr>
        <w:t>profile of VYD2311 may offer the ability to deliver clinically meaningful titer levels through more patient-friendly means such as an intramuscular route of administration.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Invivyd</w:t>
      </w:r>
    </w:p>
    <w:p>
      <w:pPr>
        <w:spacing w:after="0" w:line="18" w:lineRule="exact"/>
        <w:rPr>
          <w:sz w:val="20"/>
          <w:szCs w:val="20"/>
          <w:color w:val="auto"/>
        </w:rPr>
      </w:pPr>
    </w:p>
    <w:p>
      <w:pPr>
        <w:ind w:right="240"/>
        <w:spacing w:after="0" w:line="232" w:lineRule="auto"/>
        <w:rPr>
          <w:sz w:val="20"/>
          <w:szCs w:val="20"/>
          <w:color w:val="auto"/>
        </w:rPr>
      </w:pPr>
      <w:r>
        <w:rPr>
          <w:rFonts w:ascii="Times New Roman" w:cs="Times New Roman" w:eastAsia="Times New Roman" w:hAnsi="Times New Roman"/>
          <w:sz w:val="22"/>
          <w:szCs w:val="22"/>
          <w:color w:val="auto"/>
        </w:rPr>
        <w:t>Invivyd, Inc. (Nasdaq: IVVD) is a biopharmaceutical company devoted to delivering protection from serious viral infectious diseases, beginning with SARS-CoV-2. The company’s proprietary INVYMAB™ platform approach combines state-of-the-art viral surveillance and predictive modeling with advanced antibody engineering. INVYMAB is designed to facilitate the rapid, serial generation of new monoclonal antibodies (mAbs) to address evolving viral threats. In March 2024, Invivyd received emergency use authorization (EUA) from the U.S. FDA for its first mAb in a planned series of innovative antibody candidates. Visit https://invivyd.com/ to learn more.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References</w:t>
      </w:r>
    </w:p>
    <w:p>
      <w:pPr>
        <w:spacing w:after="0" w:line="102" w:lineRule="exact"/>
        <w:rPr>
          <w:sz w:val="20"/>
          <w:szCs w:val="20"/>
          <w:color w:val="auto"/>
        </w:rPr>
      </w:pPr>
    </w:p>
    <w:p>
      <w:pPr>
        <w:ind w:left="1020" w:right="1120" w:hanging="503"/>
        <w:spacing w:after="0" w:line="258" w:lineRule="auto"/>
        <w:tabs>
          <w:tab w:leader="none" w:pos="10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FDA Draft Guidance for Industry: Data Integrity for In Vivo Bioavailability and Bioequivalence Studies. </w:t>
      </w:r>
      <w:r>
        <w:rPr>
          <w:rFonts w:ascii="Times New Roman" w:cs="Times New Roman" w:eastAsia="Times New Roman" w:hAnsi="Times New Roman"/>
          <w:sz w:val="22"/>
          <w:szCs w:val="22"/>
          <w:u w:val="single" w:color="auto"/>
          <w:color w:val="auto"/>
        </w:rPr>
        <w:t>https://www.fda.gov/media/177404/download</w:t>
      </w:r>
      <w:r>
        <w:rPr>
          <w:rFonts w:ascii="Times New Roman" w:cs="Times New Roman" w:eastAsia="Times New Roman" w:hAnsi="Times New Roman"/>
          <w:sz w:val="22"/>
          <w:szCs w:val="22"/>
          <w:color w:val="auto"/>
        </w:rPr>
        <w:t>, accessed September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Private Securities Litigation Reform Act of 1995. Words such as “anticipates,” “believes,” “could,” “expects,” “estimates,”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activities, as well as future potential research and clinical development efforts; the company’s ongoing industrial virology efforts, which leverages a consistent, high quality, independent, third-party pseudoviral system that routinely tests authentic Invivyd-produced pemivibart and is supported by extensive structure-based analytics; the company’s plans to generate and advance high quality, variation-resistant COVID-19 antibody medicines; the company’s goal of developing antibody medicines that demonstrate continued activity in the face of ongoing SARS-CoV-2 evolution; the company’s goal of ensuring that its assessments of authentically manufactured pemivibart are robust, produced in compliance with applicable standards, and can be used for their intended purpose; the company’s expectation that the FDA will make timely updates to the PEMGARDA Healthcare Providers Fact Sheet; the potential of VYD2311 to build on the success of PEMGARDA™ (pemivibart); the ability of VYD2311 to deliver clinically meaningful titer levels through more patient-friendly means such as an intramuscular route of administration; the company’s devotion to delivering protection from serious viral infectious diseases, beginning with SARS-CoV-2; the design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7" w:name="page8"/>
    <w:bookmarkEnd w:id="7"/>
    <w:p>
      <w:pPr>
        <w:spacing w:after="0" w:line="231" w:lineRule="auto"/>
        <w:rPr>
          <w:sz w:val="20"/>
          <w:szCs w:val="20"/>
          <w:color w:val="auto"/>
        </w:rPr>
      </w:pPr>
      <w:r>
        <w:rPr>
          <w:rFonts w:ascii="Times New Roman" w:cs="Times New Roman" w:eastAsia="Times New Roman" w:hAnsi="Times New Roman"/>
          <w:sz w:val="22"/>
          <w:szCs w:val="22"/>
          <w:color w:val="auto"/>
        </w:rPr>
        <w:t xml:space="preserve">company’s INVYMAB platform approach to facilitate the rapid, serial generation of new mAbs to address evolving viral threats; the potential of PEMGARDA as a mAb for pre-exposure prophylaxis (prevention) of COVID-19 in adults and adolescents who have moderate-to-severe immune compromise; the ongoing </w:t>
      </w:r>
      <w:r>
        <w:rPr>
          <w:rFonts w:ascii="Times New Roman" w:cs="Times New Roman" w:eastAsia="Times New Roman" w:hAnsi="Times New Roman"/>
          <w:sz w:val="22"/>
          <w:szCs w:val="22"/>
          <w:i w:val="1"/>
          <w:iCs w:val="1"/>
          <w:color w:val="auto"/>
        </w:rPr>
        <w:t>in vitro</w:t>
      </w:r>
      <w:r>
        <w:rPr>
          <w:rFonts w:ascii="Times New Roman" w:cs="Times New Roman" w:eastAsia="Times New Roman" w:hAnsi="Times New Roman"/>
          <w:sz w:val="22"/>
          <w:szCs w:val="22"/>
          <w:color w:val="auto"/>
        </w:rPr>
        <w:t xml:space="preserve"> neutralizing activity of PEMGARDA against major SARS-CoV-2 variants;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and progress of the company’s discovery, preclinical and clinical development activities; the risk that results of nonclinical studies or clinical trials may not be predictive of future results, and interim data are subject to further analysis; unexpected safety or efficacy data observed during preclinical studies or clinical trials; the predictability of clinical success of the company’s product candidates based on neutralizing activity in nonclinical studies; potential variability in neutralizing activity of product candidates tested in different assays, such as pseudovirus assays and authentic assays; the company’s reliance on third parties with respect to virus assay creation and product candidate testing and with respect to its clinical trials; variability of results in models used to predict activity against SARS-CoV-2 variants; whether VYD2311, pemivibart or any other product candidate is able to demonstrate and sustain neutralizing activity against major SARS-CoV-2 variants, particularly in the face of viral evolution; how long the EUA granted by the FDA for PEMGARDA will remain in effect and whether the EUA is revoked or revised by the FDA; the company’s ability to build and maintain sales, marketing and distribution capabilities to successfully commercialize PEMGARDA; uncertainties related to the regulatory authorization or approval process, and available development and regulatory pathways for authorization or approval of the company’s product candidates; the ability to maintain a continued acceptable safety, tolerability and efficacy profile of any product candidate following regulatory authorization or approval; changes in the regulatory environment; changes in expected or existing competition; the complexities of manufacturing mAb therapies; the company’s ability to leverage its INVYMAB platform approach to facilitate the rapid, serial generation of new mAbs to address evolving viral threats; any legal proceedings or investigations relating to the company;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8" w:name="page9"/>
    <w:bookmarkEnd w:id="8"/>
    <w:p>
      <w:pPr>
        <w:spacing w:after="0" w:line="238" w:lineRule="auto"/>
        <w:rPr>
          <w:sz w:val="20"/>
          <w:szCs w:val="20"/>
          <w:color w:val="auto"/>
        </w:rPr>
      </w:pPr>
      <w:r>
        <w:rPr>
          <w:rFonts w:ascii="Times New Roman" w:cs="Times New Roman" w:eastAsia="Times New Roman" w:hAnsi="Times New Roman"/>
          <w:sz w:val="22"/>
          <w:szCs w:val="22"/>
          <w:color w:val="auto"/>
        </w:rPr>
        <w:t>Form 10-K for the year ended December 31, 2023 and the company’s Quarterly Report on Form 10-Q for the quarter ended June 30, 2024, each filed with the Securities and Exchange Commission (SEC), and in the company’s other filings with the SEC, and in its future reports to be filed with the SEC and available at .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press release contains hyperlinks to information that is not deemed to be incorporated by reference in this press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Relations</w:t>
      </w:r>
    </w:p>
    <w:p>
      <w:pPr>
        <w:ind w:right="9320" w:firstLine="8"/>
        <w:spacing w:after="0" w:line="258" w:lineRule="auto"/>
        <w:tabs>
          <w:tab w:leader="none" w:pos="5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208-0160 media@invivyd.com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18" w:lineRule="exact"/>
        <w:rPr>
          <w:sz w:val="20"/>
          <w:szCs w:val="20"/>
          <w:color w:val="auto"/>
        </w:rPr>
      </w:pPr>
    </w:p>
    <w:p>
      <w:pPr>
        <w:ind w:right="9060" w:firstLine="8"/>
        <w:spacing w:after="0" w:line="258" w:lineRule="auto"/>
        <w:tabs>
          <w:tab w:leader="none" w:pos="5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208-0160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1459865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781"/>
    </w:lvl>
  </w:abstractNum>
  <w:abstractNum w:abstractNumId="4">
    <w:nsid w:val="46E87CCD"/>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2024-09-03T06:13:21Z</dcterms:created>
  <dcterms:modified xsi:type="dcterms:W3CDTF">2024-09-03T06:13:21Z</dcterms:modified>
</cp:coreProperties>
</file>