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40" w:hanging="4079"/>
        <w:spacing w:after="0" w:line="290"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5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Adagio Therapeutics, Inc.</w:t>
      </w:r>
    </w:p>
    <w:p>
      <w:pPr>
        <w:sectPr>
          <w:pgSz w:w="11900" w:h="16838" w:orient="portrait"/>
          <w:cols w:equalWidth="0" w:num="1">
            <w:col w:w="11240"/>
          </w:cols>
          <w:pgMar w:left="320" w:top="587" w:right="339" w:bottom="1440" w:gutter="0" w:footer="0" w:header="0"/>
        </w:sectPr>
      </w:pP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8" w:lineRule="exact"/>
        <w:rPr>
          <w:sz w:val="24"/>
          <w:szCs w:val="24"/>
          <w:color w:val="auto"/>
        </w:rPr>
      </w:pPr>
    </w:p>
    <w:p>
      <w:pPr>
        <w:sectPr>
          <w:pgSz w:w="11900" w:h="16838" w:orient="portrait"/>
          <w:cols w:equalWidth="0" w:num="2">
            <w:col w:w="7460" w:space="480"/>
            <w:col w:w="3300"/>
          </w:cols>
          <w:pgMar w:left="320" w:top="587"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7"/>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680" w:type="dxa"/>
            <w:vAlign w:val="bottom"/>
          </w:tcPr>
          <w:p>
            <w:pPr>
              <w:spacing w:after="0"/>
              <w:rPr>
                <w:sz w:val="17"/>
                <w:szCs w:val="17"/>
                <w:color w:val="auto"/>
              </w:rPr>
            </w:pPr>
          </w:p>
        </w:tc>
      </w:tr>
      <w:tr>
        <w:trPr>
          <w:trHeight w:val="218"/>
        </w:trPr>
        <w:tc>
          <w:tcPr>
            <w:tcW w:w="434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20" w:type="dxa"/>
            <w:vAlign w:val="bottom"/>
            <w:vMerge w:val="restart"/>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ADGI</w:t>
            </w: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20" w:type="dxa"/>
            <w:vAlign w:val="bottom"/>
            <w:tcBorders>
              <w:top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r>
        <w:trPr>
          <w:trHeight w:val="207"/>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24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02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22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4"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The Registrant was not a public company as of the last business day of its most recently completed second fiscal quarter and therefore cannot calculate the aggregate market value of the voting and non-voting common equity held by non-affiliates as of such date.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24, 2022 was 109,675,173.</w:t>
      </w:r>
    </w:p>
    <w:p>
      <w:pPr>
        <w:spacing w:after="0" w:line="5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7"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pursuant to Regulation 14A under the Securities Exchange Act of 1934, for its 2022 Annual Meeting of Stockholders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1"/>
        </w:trPr>
        <w:tc>
          <w:tcPr>
            <w:tcW w:w="1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1"/>
          </w:tcPr>
          <w:p>
            <w:pPr>
              <w:spacing w:after="0" w:line="194"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Business</w:t>
              </w:r>
            </w:hyperlink>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 w:type="dxa"/>
            <w:vAlign w:val="bottom"/>
            <w:gridSpan w:val="4"/>
          </w:tcPr>
          <w:p>
            <w:pPr>
              <w:spacing w:after="0" w:line="169"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40" w:type="dxa"/>
            <w:vAlign w:val="bottom"/>
            <w:gridSpan w:val="9"/>
          </w:tcPr>
          <w:p>
            <w:pPr>
              <w:spacing w:after="0" w:line="169"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Properties</w:t>
              </w:r>
            </w:hyperlink>
          </w:p>
        </w:tc>
        <w:tc>
          <w:tcPr>
            <w:tcW w:w="8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1"/>
          </w:tcPr>
          <w:p>
            <w:pPr>
              <w:spacing w:after="0" w:line="194"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80" w:type="dxa"/>
            <w:vAlign w:val="bottom"/>
            <w:gridSpan w:val="20"/>
          </w:tcPr>
          <w:p>
            <w:pPr>
              <w:spacing w:after="0" w:line="169" w:lineRule="exact"/>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[Reserved]</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8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460" w:type="dxa"/>
            <w:vAlign w:val="bottom"/>
            <w:gridSpan w:val="17"/>
          </w:tcPr>
          <w:p>
            <w:pPr>
              <w:spacing w:after="0" w:line="169" w:lineRule="exact"/>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360" w:type="dxa"/>
            <w:vAlign w:val="bottom"/>
            <w:gridSpan w:val="14"/>
          </w:tcPr>
          <w:p>
            <w:pPr>
              <w:spacing w:after="0" w:line="169" w:lineRule="exact"/>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520" w:type="dxa"/>
            <w:vAlign w:val="bottom"/>
            <w:gridSpan w:val="18"/>
          </w:tcPr>
          <w:p>
            <w:pPr>
              <w:spacing w:after="0" w:line="169" w:lineRule="exact"/>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80" w:type="dxa"/>
            <w:vAlign w:val="bottom"/>
            <w:gridSpan w:val="7"/>
          </w:tcPr>
          <w:p>
            <w:pPr>
              <w:spacing w:after="0" w:line="169" w:lineRule="exact"/>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Other Information</w:t>
              </w:r>
            </w:hyperlink>
          </w:p>
        </w:tc>
        <w:tc>
          <w:tcPr>
            <w:tcW w:w="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1"/>
          </w:tcPr>
          <w:p>
            <w:pPr>
              <w:spacing w:after="0" w:line="194"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Directors, Executive Officers and Corporate Governance</w:t>
              </w:r>
            </w:hyperlink>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100" w:type="dxa"/>
            <w:vAlign w:val="bottom"/>
            <w:gridSpan w:val="13"/>
          </w:tcPr>
          <w:p>
            <w:pPr>
              <w:spacing w:after="0" w:line="169"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820" w:type="dxa"/>
            <w:vAlign w:val="bottom"/>
            <w:gridSpan w:val="8"/>
          </w:tcPr>
          <w:p>
            <w:pPr>
              <w:spacing w:after="0" w:line="169"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300" w:type="dxa"/>
            <w:vAlign w:val="bottom"/>
            <w:gridSpan w:val="19"/>
          </w:tcPr>
          <w:p>
            <w:pPr>
              <w:spacing w:after="0" w:line="169"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460" w:type="dxa"/>
            <w:vAlign w:val="bottom"/>
            <w:gridSpan w:val="16"/>
          </w:tcPr>
          <w:p>
            <w:pPr>
              <w:spacing w:after="0" w:line="169"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Principal Accountant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1"/>
          </w:tcPr>
          <w:p>
            <w:pPr>
              <w:spacing w:after="0" w:line="194" w:lineRule="exact"/>
              <w:rPr>
                <w:rFonts w:ascii="Times New Roman" w:cs="Times New Roman" w:eastAsia="Times New Roman" w:hAnsi="Times New Roman"/>
                <w:sz w:val="18"/>
                <w:szCs w:val="18"/>
                <w:color w:val="0000FF"/>
              </w:rPr>
            </w:pPr>
            <w:hyperlink w:anchor="page127">
              <w:r>
                <w:rPr>
                  <w:rFonts w:ascii="Times New Roman" w:cs="Times New Roman" w:eastAsia="Times New Roman" w:hAnsi="Times New Roman"/>
                  <w:sz w:val="18"/>
                  <w:szCs w:val="18"/>
                  <w:color w:val="0000FF"/>
                </w:rPr>
                <w:t>Exhibit and Financial Statement Schedules</w:t>
              </w:r>
            </w:hyperlink>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0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3100" w:type="dxa"/>
            <w:vAlign w:val="bottom"/>
            <w:gridSpan w:val="11"/>
          </w:tcPr>
          <w:p>
            <w:pPr>
              <w:spacing w:after="0" w:line="169" w:lineRule="exact"/>
              <w:rPr>
                <w:rFonts w:ascii="Times New Roman" w:cs="Times New Roman" w:eastAsia="Times New Roman" w:hAnsi="Times New Roman"/>
                <w:sz w:val="18"/>
                <w:szCs w:val="18"/>
                <w:color w:val="0000FF"/>
              </w:rPr>
            </w:pPr>
            <w:hyperlink w:anchor="page128">
              <w:r>
                <w:rPr>
                  <w:rFonts w:ascii="Times New Roman" w:cs="Times New Roman" w:eastAsia="Times New Roman" w:hAnsi="Times New Roman"/>
                  <w:sz w:val="18"/>
                  <w:szCs w:val="18"/>
                  <w:color w:val="0000FF"/>
                </w:rPr>
                <w:t>Form 10-K Summary</w:t>
              </w:r>
            </w:hyperlink>
          </w:p>
        </w:tc>
        <w:tc>
          <w:tcPr>
            <w:tcW w:w="610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differentiated products for the prevention and treatment of infectious disease. We are developing our lead product candidate, adintrevimab, for the prevention and treatment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prevention and treatment options for years to come. We are leveraging our team’s collective expertise and platform to deliver adintrevimab to patients and to discover novel solutions to infectious diseases through internal research and collaborations.</w:t>
      </w:r>
    </w:p>
    <w:p>
      <w:pPr>
        <w:spacing w:after="0" w:line="1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Adintrevimab is designed to be a potent, long-acting and broadly neutralizing antibody for both the prevention and treatment of COVID-19. We believe several key attributes combine to differentiate adintrevimab, including breadth, potency, durability of protection, convenient intramuscular, or IM, administration, and potential for broad application across multiple indications, depending on the SARS-CoV-2 variant.</w:t>
      </w:r>
    </w:p>
    <w:p>
      <w:pPr>
        <w:spacing w:after="0" w:line="1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Data from our Phase 1 healthy volunteer study ADG20-1-001 confirmed the extended half-life of adintrevimab, which we believe may allow for durable protection against COVID-19, depending on the variant. In February 2022, we expanded the Phase 1 study to evaluate safety and pharmacokinetics at higher doses. As of March 27, 2022, there were no study drug related adverse events, serious adverse events, injection-site reactions or hypersensitivity reactions reported across all dose levels evaluated.</w:t>
      </w:r>
    </w:p>
    <w:p>
      <w:pPr>
        <w:spacing w:after="0" w:line="18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are assessing adintrevimab in two separate Phase 2/3 clinical trials: our EVADE trial to evaluate adintrevimab for the prevention of COVID-19 and our STAMP trial to evaluate adintrevimab for the treatment of COVID-19. Our EVADE clinical trial is a global Phase 2/3 clinical trial evaluating adintrevimab as a prevention for COVID-19 in both the post-exposure and pre-exposure settings. Our STAMP trial is our global Phase 2/3 clinical trial evaluating adintrevimab as a treatment for COVID-19. Due to the emergence and global spread of the Omicron variant,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compared to prior variants, enrollment in both EVADE and STAMP was paused on January 11, 2022, and preliminary efficacy and safety data were evaluated in pre-and post-Omicron populations.</w:t>
      </w:r>
    </w:p>
    <w:p>
      <w:pPr>
        <w:spacing w:after="0" w:line="18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the primary analysis population, patients infected with or exposed to a non-Omicron variant, or the pre-Omicron group, adintrevimab met the primary objectives across all three indications, demonstrating statistically significant and clinically meaningful efficacy. In pre-exposure and post-exposure prophylaxis, adintrevimab was associated with 71% and 75% relative risk reductions compared to placebo, respectively, in the prevention of RT-PCR confirmed symptomatic COVID-19. In an exploratory analysis of patients exposed to the Omicron variant, or the post-Omicron group, in pre-exposure prophylaxis, adintrevimab was associated with a clinically meaningful reduction in the risk of developing RT-PCR confirmed symptomatic COVID-19 compared with placebo. In treatment, adintrevimab was associated with a 66% relative risk reduction compared to placebo in the incidence COVID-19 related hospitalization or all cause death through Day 29 in the pre-Omicron group. In patients treated within three days of symptom onset, adintrevimab was associated with a reduced risk of COVID-19 hospitalization or death from any cause through Day 29 by 77% compared to placebo. A preliminary analysis of available safety data in each trial revealed a safety profile similar to that of placebo for adintrevimab.</w:t>
      </w:r>
    </w:p>
    <w:p>
      <w:pPr>
        <w:spacing w:after="0" w:line="19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also evaluating additional broadly neutralizing antibodies targeting the receptor binding domain, or RBD, as well as other subdomains within the spike protein for COVID-19. In addition, we plan to leverage the robust antibody discovery and development capabilities that have enabled our expedited advancement of adintrevimab into clinical trials to develop therapeutic or preventative options for other infectious diseases, such as additional coronaviruses and influenza. In addition to building a portfolio of broadly neutralizing antibodies, we are leveraging our knowledge around broadly neutralizing antibody responses to inform the rational design of coronavirus vaccine antigens.</w:t>
      </w:r>
    </w:p>
    <w:p>
      <w:pPr>
        <w:spacing w:after="0" w:line="1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SARS-CoV-2 has given rise to a global pandemic that swept rapidly throughout the world in 2020. Of significant current concern is the continued emergence of a number of SARS-CoV-2 variants with increased transmissibility, pathogenicity, and/or the ability to evade neutralizing antibodies. In addition to the emergence of these variants, there are multiple factors that we believe contribute to the likelihood of COVID-19 becoming an endemic threat, including: (1) viral transmission before symptom onset; (2) uneven global rollout of vaccinations; (3) ongoing vaccine hesitancy; (4) limited duration of immunity conferred by both natural infection and vaccination; (5) limited vaccine efficacy against certain SARS-CoV-2 variants; (6)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both"/>
        <w:spacing w:after="0" w:line="250" w:lineRule="auto"/>
        <w:rPr>
          <w:sz w:val="20"/>
          <w:szCs w:val="20"/>
          <w:color w:val="auto"/>
        </w:rPr>
      </w:pPr>
      <w:r>
        <w:rPr>
          <w:rFonts w:ascii="Times New Roman" w:cs="Times New Roman" w:eastAsia="Times New Roman" w:hAnsi="Times New Roman"/>
          <w:sz w:val="18"/>
          <w:szCs w:val="18"/>
          <w:color w:val="auto"/>
        </w:rPr>
        <w:t>uncertain impact of vaccines on transmission; and (7) variable implementation of virus mitigation behaviors, such as wearing masks and social distancing. We also believe that future pandemics similar to the COVID-19 pandemic are likely because, in many parts of the world, humans live in close proximity to animal species harboring coronaviruses that are capable of infecting humans.</w:t>
      </w:r>
    </w:p>
    <w:p>
      <w:pPr>
        <w:spacing w:after="0" w:line="1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Our vision is to discover, develop and commercialize differentiated products for the prevention and treatment of infectious diseases. To enable this vision, our current discovery efforts are focused on unique antibody-based product candidates that we optimize to improve breadth, potency, half-life, where applicable, and developability. Key elements that we believe differentiate our approach include: (1) recognition of the importance of and identification of broadly neutralizing antibodies; (2) industry-leading B cell mining, protein engineering and developability screening capabilities through our internal expertise and collaborations; and (3) reducing risk of clinical resistance.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We were founded in June 2020 to develop a portfolio of anti-coronavirus antibodies discovered by Adimab, LLC, or Adimab, for both the prevention and treatment of COVID-19 and future emerging coronaviruses. Our founding scientists discovered adintrevimab, our lead product candidate, while working at Adimab, an industry leader in translating target hypotheses into therapeutically relevant antibodies. In order to maximize adintrevimab’s potential and to facilitate its development and commercialization with appropriate infectious disease and development expertise and resources,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monoclonal antibodies, or mAbs. Our leadership team has more than 100 years of combined development and commercialization experience with small and large molecules in infectious disease, as well as decades of domain expertise in B-cell immunology of viral diseases. Many of our team members have held senior positions at companies such as Pfizer Inc., Cubist Pharmaceuticals, Inc., Adimab, Biogen Inc. and Ironwood Pharmaceuticals, Inc., among others.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goal is to discover, develop and commercialize differentiated products for the prevention and treatment of infectious diseases. In order to achieve this goal, our strategy involves execution of the following key elements:</w:t>
      </w:r>
    </w:p>
    <w:p>
      <w:pPr>
        <w:spacing w:after="0" w:line="50" w:lineRule="exact"/>
        <w:rPr>
          <w:sz w:val="20"/>
          <w:szCs w:val="20"/>
          <w:color w:val="auto"/>
        </w:rPr>
      </w:pPr>
    </w:p>
    <w:p>
      <w:pPr>
        <w:jc w:val="both"/>
        <w:ind w:left="1140" w:hanging="504"/>
        <w:spacing w:after="0" w:line="243"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team’s collective expertise in development, manufacturing and commercialization to deliver adintrevimab and future product candidates to patients. </w:t>
      </w:r>
      <w:r>
        <w:rPr>
          <w:rFonts w:ascii="Times New Roman" w:cs="Times New Roman" w:eastAsia="Times New Roman" w:hAnsi="Times New Roman"/>
          <w:sz w:val="18"/>
          <w:szCs w:val="18"/>
          <w:color w:val="auto"/>
        </w:rPr>
        <w:t>Since our inception, we have assembled a team with deep and specific expertise in discovering,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manufacturing and commercializing novel treatments for infectious diseases, including extensive experience with developing mAb-based therapies. Based on our team’s collective successful track record, we believe we will be able to execute on the clinical, regulatory, manufacturing and commercialization plan for adintrevimab, as well as any future programs.</w:t>
      </w:r>
    </w:p>
    <w:p>
      <w:pPr>
        <w:spacing w:after="0" w:line="72" w:lineRule="exact"/>
        <w:rPr>
          <w:rFonts w:ascii="Times New Roman" w:cs="Times New Roman" w:eastAsia="Times New Roman" w:hAnsi="Times New Roman"/>
          <w:sz w:val="18"/>
          <w:szCs w:val="18"/>
          <w:color w:val="auto"/>
        </w:rPr>
      </w:pPr>
    </w:p>
    <w:p>
      <w:pPr>
        <w:jc w:val="both"/>
        <w:ind w:left="1140" w:hanging="50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Complete development and obtain regulatory authorization or approval for our lead product candidate, adintrevimab, for both the prevention and treatment of COVID-19</w:t>
      </w:r>
      <w:r>
        <w:rPr>
          <w:rFonts w:ascii="Times New Roman" w:cs="Times New Roman" w:eastAsia="Times New Roman" w:hAnsi="Times New Roman"/>
          <w:sz w:val="18"/>
          <w:szCs w:val="18"/>
          <w:color w:val="auto"/>
        </w:rPr>
        <w:t>. Our clinical development plan for adintrevimab includes two global clinical trials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demonstrate the efficacy and safety of adintrevimab for the prevention and treatment of COVID-19. Our Phase 2/3 global clinical trial, EVADE, evaluates adintrevimab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Similarly, our Phase 2/3 global clinical trial, STAMP, evaluates adintrevimab for the treatment of mild to moderate COVID-19 in patients at high risk of disease progression. Due to the emergence and global spread of the Omicron variant,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compared to prior variants and uncertainty around the ability of the 300 mg dose of adintrevimab to prevent and treat disease due to the Omicron variant, enrollment in both EVADE and STAMP was paused on January 11, 2022. Data generated prior to pausing trials has been evaluated and may provide a path to a potential Emergency Use Authorization, or EUA, and/or Biologics License Application, or BLA, and commercialization, if adintrevimab is authorized and/or approved. As variants with varying degrees of neutralization activity to adintrevimab or other antibodies emerge over time, a variant based approach, including pharmacokinetics and pharmacodynamics/PD modeling, may be needed to support dose modification based on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of adintrevimab against the predominant circulating variants at any given time. We plan to file for EUA in the second quarter of 2022 and to discuss a potential path to BLA with the FDA and marketing authorization with health authorities outside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jc w:val="both"/>
        <w:ind w:left="1140" w:hanging="504"/>
        <w:spacing w:after="0" w:line="23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Successfully commercialize adintrevimab, if authorized or approved. </w:t>
      </w:r>
      <w:r>
        <w:rPr>
          <w:rFonts w:ascii="Times New Roman" w:cs="Times New Roman" w:eastAsia="Times New Roman" w:hAnsi="Times New Roman"/>
          <w:sz w:val="18"/>
          <w:szCs w:val="18"/>
          <w:color w:val="auto"/>
        </w:rPr>
        <w:t>We believe adintrevimab will have several attractive attributes,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(1) broad application across multiple patient types, including pre- and post-exposure prophylaxis and treatment; (2) convenient IM dosing for use in the outpatient setting; (3) differentiated durability to protect the vulnerable, depending on the variant; (4) rapid onset of protection in the setting of post-exposure prophylaxis compared to vaccines; (5) standard refrigeration requirements to facilitate long term storage and distribution; and (6) long shelf life. Our plan for the commercialization of adintrevimab involves direct sales to governments, including relevant health agencies and national health systems, and in the United States, health insurers, integrated delivery networks and large employers. We intend to establish our own commercial organization in the United States, where we believe a focused commercial infrastructure will be able to successfully commercialize adintrevimab under a regulatory authorization and/or approval, and we are considering commercial options in Europe and beyond. In certain markets, such as Latin America, Asia-Pacific, including China, and Middle Eastern and African countries, we intend to commercialize adintrevimab through partnerships. For example, in July 2021, we entered into a license agreement with Biocon to combat COVID-19 in Southern Asia.</w:t>
      </w:r>
    </w:p>
    <w:p>
      <w:pPr>
        <w:spacing w:after="0" w:line="77" w:lineRule="exact"/>
        <w:rPr>
          <w:rFonts w:ascii="Times New Roman" w:cs="Times New Roman" w:eastAsia="Times New Roman" w:hAnsi="Times New Roman"/>
          <w:sz w:val="18"/>
          <w:szCs w:val="18"/>
          <w:color w:val="auto"/>
        </w:rPr>
      </w:pPr>
    </w:p>
    <w:p>
      <w:pPr>
        <w:jc w:val="both"/>
        <w:ind w:left="1140" w:hanging="504"/>
        <w:spacing w:after="0" w:line="239"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Ensure supply of drug product for adintrevimab and future clinical product candidates. </w:t>
      </w:r>
      <w:r>
        <w:rPr>
          <w:rFonts w:ascii="Times New Roman" w:cs="Times New Roman" w:eastAsia="Times New Roman" w:hAnsi="Times New Roman"/>
          <w:sz w:val="18"/>
          <w:szCs w:val="18"/>
          <w:color w:val="auto"/>
        </w:rPr>
        <w:t>We have partnered with WuXi Biologics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(Hong Kong) Limited, or WuXi, for advintrevimab clinical and commercial drug substance and drug product supply, and we have manufactured an initial supply of adintrevimab at commercial process scale. We believe we have secured sufficient capacity for our initial supply needs, in the event that adintrevimab is authorized under EUA. We continue to evaluate access to worldwide capacity at both WuXi and other contract development and manufacturing organizations, or CDMOs, to ensure we can meet expected future demand for advintrevimab. For future clinical product candidates, we plan to continue to use contract facilities for the development and good manufacturing practices, or GMP, manufacture of our products. CDMOs, including WuXi, will be evaluated for relevant capabilities, program suitability, and ability to meet desired timelines for candidate development. We expect to continue to use multiple contract CDMOs and laboratories to develop our pipeline candidates.</w:t>
      </w:r>
    </w:p>
    <w:p>
      <w:pPr>
        <w:spacing w:after="0" w:line="75" w:lineRule="exact"/>
        <w:rPr>
          <w:rFonts w:ascii="Times New Roman" w:cs="Times New Roman" w:eastAsia="Times New Roman" w:hAnsi="Times New Roman"/>
          <w:sz w:val="18"/>
          <w:szCs w:val="18"/>
          <w:color w:val="auto"/>
        </w:rPr>
      </w:pPr>
    </w:p>
    <w:p>
      <w:pPr>
        <w:jc w:val="both"/>
        <w:ind w:left="1140" w:hanging="504"/>
        <w:spacing w:after="0" w:line="239"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differentiated product candidates to address infectious diseases through internal research, in-licensing and leveraging collaborations. </w:t>
      </w:r>
      <w:r>
        <w:rPr>
          <w:rFonts w:ascii="Times New Roman" w:cs="Times New Roman" w:eastAsia="Times New Roman" w:hAnsi="Times New Roman"/>
          <w:sz w:val="18"/>
          <w:szCs w:val="18"/>
          <w:color w:val="auto"/>
        </w:rPr>
        <w:t>We have built a portfolio of broadly neutralizing SARS-CoV-2 antibodies as our lead disease area of focus.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access to Adimab’s unique B cell mining and protein engineering capabilities for coronavirus and influenza antibody discovery. We are currently leveraging this partnership and building internal capabilities to further expand our portfolio with additional uniquely differentiated anti-viral antibodies targeting COVID-19, as well as other infectious diseases. In addition, we have employed unique protein engineering strategies to significantly enhance adintrevimab activity against the Omicron variant and its sublineages. We are also collaborating with academic institutions on the discovery of vaccine immunogens that elicit broadly neutralizing antibodies to coronaviruses. Finally, we continue to evaluate product candidates for infectious diseases with high unmet medical need through in-licensing opportunities in addition to utilizing our team’s expertise and differentiated design capabilities.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Coronaviruses</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Coronaviruses comprise a large family of viruses that are grouped into four genera: alphacoronavirus, betacoronavirus, gammacoronavirus and deltacoronavirus. Over the past 20 years, three pathogenic novel betacoronaviruses have spilled over into the human population from animal reservoirs to cause outbreaks of deadly pneumonia, including COVID-19, SARS and MERS. In many parts of the world, humans live in close proximity to animal species harboring sarbecoviruses, a lineage of betacoronaviruses that are capable of using human angiotensin-converting enzyme 2, or hACE2, receptors, and enabling infection in humans. In particular, bats are known to host such viruses, and large bat populations exist alongside humans in certain regions across the world, including eastern Europe, East Africa and southern China. Furthermore, bats are capable of carrying multiple sarbecoviruses, allowing for genetic recombination and the emergence of viral variants with higher propensity for transmission to humans. Current estimates suggest that between 6% and 23% of bats harbor viruses with such transmission potential. Not surprisingly, humans living in close proximity to bat populations have been infected by SARS-like coronaviruses. For example, approximately 0.5% to 3% of the rural population in southern China have antibody responses to these viruses, demonstrating past infection. This highlights the zoonotic nature of the sarbecovirus lineage, which includes both SARS-CoV-1 and SARS-CoV-2. Continued human intrusion into previously undeveloped habitats and increased exposure to these viral reservoirs are likely to result in more frequent occurrences of viral spillover, with potentially catastrophic consequences.</w:t>
      </w:r>
    </w:p>
    <w:p>
      <w:pPr>
        <w:spacing w:after="0" w:line="19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COVID-19, the disease caused by SARS-CoV-2 and its variants, has given rise to a global pandemic that swept rapidly throughout the world in 2020 and continues to cause infection and disease due to waning immunity and the continued emergence of resistant SAR-CoV-2 variants. The genome of SARS-CoV-2 encodes a spike, or S, protein, which is the surface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18"/>
          <w:szCs w:val="18"/>
          <w:color w:val="auto"/>
        </w:rPr>
        <w:t>protein common to all members of the coronavirus family and mediates attachment and entry into host cells. The S protein is the only known target for neutralizing antibodies, and neutralizing antibodies to this protein are associated with protection from infection and disease. For this reason, the S protein is the primary target for currently available vaccines and therapeutic mAbs. Because the vast majority of potent neutralizing antibodies recognize epitopes overlapping the human ACE2 binding site on the RBD, most clinical-stage and EUA authorized SARS-CoV-2 antibodies target this antigenic region.</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COVID-19 remains a significant global health crisis and case numbers continue to rise. According to estimates as of March 25, 2022 from the Johns Hopkins University, there have been approximately 478 million cases of laboratory-confirmed COVID-19 and 6.1 million COVID-19-related deaths worldwide, with approximately 80 million laboratory-confirmed cases of COVID-19 and more than 975,000 COVID-19-related deaths in the United States. Disease modeling conducted by several different organizations have further suggested that these estimates significantly undercount the true number of infections and deaths related to COVID-19.</w:t>
      </w:r>
    </w:p>
    <w:p>
      <w:pPr>
        <w:spacing w:after="0" w:line="18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Of significant current concern is the emergence of a number of SARS-CoV-2 variants with increased transmissibility, pathogenicity, and/or the ability to evade neutralizing antibodies. Variants of concern, or VOCs, include Alpha (B.1.1.7), Beta (B.1.351), Gamma (P.1); Delta (B.1.617.2) and Omicron (B.1.1.529/BA.1). Since their initial detection, some of these variants have spread rapidly worldwide, with confirmed cases in the United States, Canada and several European countries, indicating increased transmissibility relative to ancestral strains of SARS-CoV-2. As of March 19, 2022, the U.S. Centers for Disease Control and Prevention projected that the Omicron variant and its sub-lineages account for &gt;99% of new COVID-19 cases in the United States. Importantly, several of the amino acid substitutions within the Omicron RBD are associated with escape from common classes of neutralizing antibodies, thereby endowing Omicron with significantly increased resistance to serum neutralizing antibodies induced following natural infection and vaccination with ancestral strains of the virus. Correspondingly, two doses of currently available vaccines have been shown to confer little to no protection against symptomatic disease caused by Omicron at &gt;25 weeks post-vaccination. Homologous and heterologous BNT162b2 or mRNA-1273 booster immunization increases the level of protective efficacy to 60-70%, but this protection has been shown to wane over time. Due to its immune evasive properties, the emergence of the Omicron variant has been accompanied by a significant increase in SARS-CoV-2 breakthrough infections globally. Importantly, recent studies have shown that almost all clinical-stage and EUA authorized mAbs display significantly reduced or completely abolished activity against Omicron (BA.1) and/or its sublineages (BA1.1 and BA.2). Thus, there is an urgent need to develop next-generation mAbs that recognize current and future SARS-CoV-2 VOCs.</w:t>
      </w: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SARS-CoV-2 Variants Continue to Emerge Causing New Waves of Infections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60720" cy="1036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to the emergence of these variants, there are multiple factors that we believe contribute to the likelihood of COVID-19 becoming an endemic threat, including: (1) viral transmission before symptom onset; (2) uneven global rollout of vaccinations; (3) ongoing vaccine hesitancy; (4) limited duration of immunity conferred by both natural infection and vaccination; (5) limited vaccine efficacy against certain SARS-CoV-2 variants; (6) uncertain impact of vaccines on transmission; and (7) variable implementation of virus mitigation behaviors, such as wearing masks and social distancing.</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Current Approaches for Prevention and Treatment of COVID-19 and Their Limitations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response to the ongoing pandemic, multiple agents have been discovered, developed and authorized at an unprecedented speed to address COVID-19.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Vaccines for Prevention of COVID-19</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Several vaccines have been approved for the prevention of COVID-19 both in the United States and abroad. These include mRNA-based vaccines, such as Moderna’s mRNA-1273 and Pfizer/BioNTech’s BNT162b2, and adenovirus-based vaccines, such as AstraZeneca’s AZD1222, and Janssen’s JNJ-78436735. While available COVID-19 vaccines have demonstrated meaningful efficacy in preventing symptomatic disease caused the original SARS-CoV-2 strain and early ancestral variants (e.g. D614G and Alpha), we believe additional solutions for the prevention of COVID-19 are required given considerable uncertainty around the future ability of vaccines to protect against disease and transmission, due to multiple factors, including:</w:t>
      </w:r>
    </w:p>
    <w:p>
      <w:pPr>
        <w:spacing w:after="0" w:line="73" w:lineRule="exact"/>
        <w:rPr>
          <w:sz w:val="20"/>
          <w:szCs w:val="20"/>
          <w:color w:val="auto"/>
        </w:rPr>
      </w:pPr>
    </w:p>
    <w:p>
      <w:pPr>
        <w:jc w:val="both"/>
        <w:ind w:left="1140" w:hanging="504"/>
        <w:spacing w:after="0" w:line="243"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Limited efficacy against certain viral variants. </w:t>
      </w:r>
      <w:r>
        <w:rPr>
          <w:rFonts w:ascii="Times New Roman" w:cs="Times New Roman" w:eastAsia="Times New Roman" w:hAnsi="Times New Roman"/>
          <w:sz w:val="18"/>
          <w:szCs w:val="18"/>
          <w:color w:val="auto"/>
        </w:rPr>
        <w:t>While COVID-19 vaccines have demonstrated meaningful efficacy in preventing infection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original strain of COVID-19, emerging evidence shows significantly lower levels of protection against certain variants. Multiple clinical and real-world studies have demonstrated reduced vaccine effectiveness against the Beta (B.1.351), Delta, and Omicron variants. For example, studies have shown that two doses of currently available vaccines confer little to no protection against symptomatic disease caused by the Omicron variant and its sub-lineages.</w:t>
      </w:r>
    </w:p>
    <w:p>
      <w:pPr>
        <w:spacing w:after="0" w:line="72" w:lineRule="exact"/>
        <w:rPr>
          <w:rFonts w:ascii="Times New Roman" w:cs="Times New Roman" w:eastAsia="Times New Roman" w:hAnsi="Times New Roman"/>
          <w:sz w:val="18"/>
          <w:szCs w:val="18"/>
          <w:color w:val="auto"/>
        </w:rPr>
      </w:pPr>
    </w:p>
    <w:p>
      <w:pPr>
        <w:jc w:val="both"/>
        <w:ind w:left="1140" w:hanging="504"/>
        <w:spacing w:after="0" w:line="243"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Limited durability of response impacting the ability to achieve long term immunity. </w:t>
      </w:r>
      <w:r>
        <w:rPr>
          <w:rFonts w:ascii="Times New Roman" w:cs="Times New Roman" w:eastAsia="Times New Roman" w:hAnsi="Times New Roman"/>
          <w:sz w:val="18"/>
          <w:szCs w:val="18"/>
          <w:color w:val="auto"/>
        </w:rPr>
        <w:t>Due to a combination of waning antibody titers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the emergence of SARS-CoV-2 variants that display significantly reduced susceptibility to vaccine and infection-induced antibodies, and the limited level of mucosal immunity conferred by systemically administered vaccines, protection against symptomatic COVID-19 is relatively short-lived. As long as significant numbers of people globally are not protected against infection and transmission, SARS-CoV-2 variants will continue to circulate and cause disease.</w:t>
      </w:r>
    </w:p>
    <w:p>
      <w:pPr>
        <w:spacing w:after="0" w:line="72"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Unpredictable level of protection in immunocompromised individuals. </w:t>
      </w:r>
      <w:r>
        <w:rPr>
          <w:rFonts w:ascii="Times New Roman" w:cs="Times New Roman" w:eastAsia="Times New Roman" w:hAnsi="Times New Roman"/>
          <w:sz w:val="18"/>
          <w:szCs w:val="18"/>
          <w:color w:val="auto"/>
        </w:rPr>
        <w:t>Since vaccines leverage an individual’s existing immune system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 protection, vaccines may have little to no effectiveness against infection and disease in those who have compromised immune systems. Studies show that a subset of these individuals mount poor antibody responses to currently available mRNA vaccines, demonstrating the unmet medical need for effective preventative options for immunocompromised populations.</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Delayed onset of protection. </w:t>
      </w:r>
      <w:r>
        <w:rPr>
          <w:rFonts w:ascii="Times New Roman" w:cs="Times New Roman" w:eastAsia="Times New Roman" w:hAnsi="Times New Roman"/>
          <w:sz w:val="18"/>
          <w:szCs w:val="18"/>
          <w:color w:val="auto"/>
        </w:rPr>
        <w:t>The peak neutralizing antibody response conferred by currently available vaccines is usually 10 to 14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final dose or booster vaccination, resulting in a period of time during which an individual is susceptible to SARS-CoV-2 infection and disease, despite having received the vaccine. Furthermore, given that certain vaccines require two doses, three to four weeks apart, full protection may not be achieved for several weeks after the initial dose.</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Vaccine hesitancy. </w:t>
      </w:r>
      <w:r>
        <w:rPr>
          <w:rFonts w:ascii="Times New Roman" w:cs="Times New Roman" w:eastAsia="Times New Roman" w:hAnsi="Times New Roman"/>
          <w:sz w:val="18"/>
          <w:szCs w:val="18"/>
          <w:color w:val="auto"/>
        </w:rPr>
        <w:t>Numerous surveys attribute vaccine hesitancy to a constellation of perceived safety, side effect and quality concerns.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mid-March 2022, according to the CDC, only 65% of the total U.S. population was fully vaccinated and only 45% had received at least one booster. Globally, vaccine adoption and hesitancy are consistent with the U.S. figures. According to Our World in Data, as of mid-March 2022, 57% of the world population had been fully vaccinated.</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4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Availability and adoption in children. </w:t>
      </w:r>
      <w:r>
        <w:rPr>
          <w:rFonts w:ascii="Times New Roman" w:cs="Times New Roman" w:eastAsia="Times New Roman" w:hAnsi="Times New Roman"/>
          <w:sz w:val="18"/>
          <w:szCs w:val="18"/>
          <w:color w:val="auto"/>
        </w:rPr>
        <w:t>While children generally do not develop the severe consequences of COVID-19 seen in adults,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studies have shown that they are still capable of transmitting SARS-CoV-2. Although an EUA was granted for use of the Pfizer/BioNTech vaccine in children ages five through eleven years, vaccine hesitancy by parents remains a potential obstacle to widespread adoption in school-aged children. Survey data collected in February 2022 by the Kaiser Family Foundation indicated that 41% of parents do not plan to or are waiting to see if they will vaccinate their children under 5-years old when vaccines first become available to them. This same survey indicated the percentage is 21% for children aged 5 to 11.</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mAbs for Prevention or Treatment of COVID-19</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Some SARS-CoV-2 mAb therapies have been granted an EUA in the United States for the prevention of symptomatic COVID-19. Bamlanivimab/etesevimab and casirivimab/imdevimab were granted an EUA for post-exposure prophylaxis for individuals at high risk for progression to severe COVID-19 who are not fully vaccinated or not expected to mount an adequate immune response to vaccines. Tixagevimab/cilgavimab is the only mAb product that has been granted an EUA for pre-exposure prophylaxis and is limited to use in individuals who have moderate to severe immune compromise and may not mount an adequate immune response to vaccines or from whom vaccination is not recommended due to a history of severe adverse reaction to a COVID-19 vaccine. This product has also recently been recommended for authorization in EU member states by the European Medicines Agency.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Similarly, some SARS-CoV-2 mAb therapies, either as a monotherapy or a combination cocktail, have been granted an EUA in the United States or full marketing authorization in EU member states for the treatment of mild to moderate COVID-19 in patients at high risk of disease progression. Products granted an EUA include bamlanivimab, bamlanivimab/etesevimab, casirivimab/imdevimab, sotrovimab and bebtelovimab; casirivimab/imdevimab, sotrovimab and regdanvimab have been granted marketing authorization in the EU.</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Despite this progress in the availability of mAbs for the prevention and treatment of COVID-19, the clinical utility of some of these products has varied over time due to the emergence of SARS-CoV-2 variants demonstrating partial or full resistance to neutralization. The longevity of currently available mAbs for the prevention and treatment of COVID-19 is unknown due to the ongoing risk of the emergence of additional SARS-CoV-2 variants. For this reason, a broad range of mAb products are still needed for prevention and treatment of COVID-19 as waves of SARS-COV-2 variants continue to emerge over time.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Currently Available mAbs</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The COVID-19 pandemic has been characterized by waves of SARS-CoV-2 variants with increased transmissibility, pathogenicity, and/or the ability to evade neutralizing antibodies. Different variants have shown partial or full resistance to neutralization by certain currently available mAbs, leading to temporary pauses or permanent discontinuation of certain products and the need to alter dosing regimens for other products. For example, the FDA previously revoked the EUA for bamlanivimab as a single agent, and distribution of a second agent, bamlanvimab/etesevimab, was paused in the United States on June 25, 2021 due to lack of activity against the Gamma (P.1) and Beta (B.1.351) variants. Distribution of bamlanivimab/etesevimab subsequently resumed with the emergence of the Delta variant, against which this product retained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The FDA subsequently halted the use of bamlanvimab/etesevimab and casirivimab/imdevimab in all U.S. regions on January 24, 2022 and halted the use of sotrovimab in certain U.S. regions on March 25, 2022 due to decreased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activity against all or a subset of the Omicron variant lineage, leaving bebtelovimab as the only mAb product available for treatment in all U.S. regions as of March 26, 2022. Bebtelovimab is only recommended for use if none of the preferred therapies for high risk, non-hospitalized patients are available, feasible to deliver or clinically appropriate. On February 24, 2022, the FDA revised the EUA for tixagevimab/cilgavimab to increase the initial dose in response to reduced neutralization activity against some lineages of the Omicron variant.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In Europe, IV administration in outpatient settings by community nurses or general practitioners remains very limited due to lack of appropriate infrastructure and sites of care. Additional factors that have limited use of mAbs include lack of awareness and education on appropriate use as well as perceived or genuine difficulty accessing treatment.</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Antivirals for Treatment of COVID-19</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Some antiviral products have been granted approval or EUA in the United States or marketing authorization in EU member states for the treatment of mild to moderate COVID-19 in patients at high risk of disease progression. Remdesevir, delivered as 3 days of intravenous therapy, is approved for this use in the United States and oral nirmatrelvir/ritonavir and molnupiravir have been granted an EUA. Remdesevir has been granted conditional marking authorization and nirmatrelvir/ritonavir has been granted full marketing authorization in the EU. Molnupiravir is currently not authorized for use in the European Union; the EMA’s Committee for Medicinal Products for Human Use issued advice on the use of this agent for the treatment of COVID-19 to support national authorities, who may decide on possible early use of this medicine prior to marketing authorization.</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Currently Available Antivirals for the Treatment of COVID-19</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Adoption of oral antivirals may be impacted by high pill burden, drug-drug interactions, limitations of use in certain populations and concerns about resistance. Adherence to the high pill burden of currently available oral agent’s dosing regimens may be difficult for some patients. In addition, drug-drug interactions may complicate dosing, particularly for nirmatrelvir/ ritonavir, and this agent is also not recommended for use in patients for severe renal or hepatic impairment. Molnupiravir is currently recommended as a last-line agent due to low efficacy and is not recommended for use in pregnancy or patients less than 18 years of age. Use of remdesevir for outpatient treatment may be limited by the inconvenience of its multi-day IV dosing regimen. In addition, resistance is also a concern for all antivirals, as evidenced in HIV and hepatitis 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Approach to The Development of Antibody-based Solutions for Coronaviruses and Other Infectious Diseases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vision is to discover, develop and commercialize differentiated products for the prevention and treatment of infectious diseases. To enable this vision, our current discovery efforts are focused on unique antibody-based product candidates that we optimize to improve breadth, potency, half-life, where applicable, and developability. We believe that mAb therapies with the following characteristics will have the potential to address the limitations of certain currently available mAbs used for the prevention or treatment of infectious diseases:</w:t>
      </w:r>
    </w:p>
    <w:p>
      <w:pPr>
        <w:spacing w:after="0" w:line="235" w:lineRule="exact"/>
        <w:rPr>
          <w:sz w:val="20"/>
          <w:szCs w:val="20"/>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potency and broad neutralizing activity against circulating viral variants and future outbreaks caused by antigenically related viruses;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mechanisms of action, including direct virus neutralization and elimination of infected host cells;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Convenient outpatient administration as IM or subcutaneous administration;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both rapid and durable protection against disease.</w:t>
      </w:r>
    </w:p>
    <w:p>
      <w:pPr>
        <w:spacing w:after="0" w:line="21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 Fc portion binds to host cell receptors to activate the innate immune system to eliminate infected host cells and is a key determinant of serum half-life. Key elements that we believe differentiate our approach include:</w:t>
      </w:r>
    </w:p>
    <w:p>
      <w:pPr>
        <w:spacing w:after="0" w:line="69" w:lineRule="exact"/>
        <w:rPr>
          <w:sz w:val="20"/>
          <w:szCs w:val="20"/>
          <w:color w:val="auto"/>
        </w:rPr>
      </w:pPr>
    </w:p>
    <w:p>
      <w:pPr>
        <w:jc w:val="both"/>
        <w:ind w:left="1140" w:hanging="504"/>
        <w:spacing w:after="0" w:line="243"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Recognition of the importance of and identification of broadly neutralizing antibodies: </w:t>
      </w:r>
      <w:r>
        <w:rPr>
          <w:rFonts w:ascii="Times New Roman" w:cs="Times New Roman" w:eastAsia="Times New Roman" w:hAnsi="Times New Roman"/>
          <w:sz w:val="18"/>
          <w:szCs w:val="18"/>
          <w:color w:val="auto"/>
        </w:rPr>
        <w:t>From the outset for our COVID-19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chose to focus on mAbs capable of broadly neutralizing not only SARS-CoV-2 and its variants, but also the entire viral class of sarbecoviruses that target the hACE2 receptor. Our rationale was driven by the recognition that COVID-19 is a continuation of previous human coronavirus outbreaks, including SARS and MERS, and the likelihood that future variants will continue to emerge and cause outbreaks in the human population. We are employing similar strategies for other antigenically variable viruses, such as influenza.</w:t>
      </w:r>
    </w:p>
    <w:p>
      <w:pPr>
        <w:spacing w:after="0" w:line="72" w:lineRule="exact"/>
        <w:rPr>
          <w:rFonts w:ascii="Times New Roman" w:cs="Times New Roman" w:eastAsia="Times New Roman" w:hAnsi="Times New Roman"/>
          <w:sz w:val="18"/>
          <w:szCs w:val="18"/>
          <w:color w:val="auto"/>
        </w:rPr>
      </w:pPr>
    </w:p>
    <w:p>
      <w:pPr>
        <w:jc w:val="both"/>
        <w:ind w:left="1140" w:hanging="504"/>
        <w:spacing w:after="0" w:line="24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Industry-leading B cell mining, protein engineering and developability screening capabilities through internal expertise and our partnership with Adimab: </w:t>
      </w:r>
      <w:r>
        <w:rPr>
          <w:rFonts w:ascii="Times New Roman" w:cs="Times New Roman" w:eastAsia="Times New Roman" w:hAnsi="Times New Roman"/>
          <w:sz w:val="18"/>
          <w:szCs w:val="18"/>
          <w:color w:val="auto"/>
        </w:rPr>
        <w:t>We leverage deep B cell mining capabilities to isolate broadly neutralizing antibodies from human donors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sources. We then utilize protein engineering capabilities to improve the potency, breadth, biophysical properties, developability and half-life of the antibody candidates we advance into preclinical development. Where applicable, we specifically engineer our antibodies to extend their half-lives without affecting Fc-mediated innate immune effector activity. We also have the ability to engineer antibodies using alternative molecular formats, such as single domains or bispecifics, to further enhance functional activity.</w:t>
      </w:r>
    </w:p>
    <w:p>
      <w:pPr>
        <w:spacing w:after="0" w:line="70" w:lineRule="exact"/>
        <w:rPr>
          <w:rFonts w:ascii="Times New Roman" w:cs="Times New Roman" w:eastAsia="Times New Roman" w:hAnsi="Times New Roman"/>
          <w:sz w:val="18"/>
          <w:szCs w:val="18"/>
          <w:color w:val="auto"/>
        </w:rPr>
      </w:pPr>
    </w:p>
    <w:p>
      <w:pPr>
        <w:jc w:val="both"/>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Reducing risk of clinical resistance: </w:t>
      </w:r>
      <w:r>
        <w:rPr>
          <w:rFonts w:ascii="Times New Roman" w:cs="Times New Roman" w:eastAsia="Times New Roman" w:hAnsi="Times New Roman"/>
          <w:sz w:val="18"/>
          <w:szCs w:val="18"/>
          <w:color w:val="auto"/>
        </w:rPr>
        <w:t>We are developing antibodies that target conserved residues on viral spike proteins, which are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important for viral fitness and therefore less likely to mutate. In addition, the residues that our antibodies recognize are not readily targeted by antibodies induced by natural infection, thus limiting immune pressure on these sites. Targeting of conserved sites that are subject to limited immune selection pressure reduces but does not fully eliminate the risk of circulating resistance. For these reasons, broadly neutralizing anti-coronavirus antibodies, including adintrevimab, have maintained neutralizing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most circulating SARS-CoV-2 variants described to date. In contrast, many SARS-CoV-2-specific antibodies, which bind to variable epitopes that are readily targeted by endogenous neutralizing antibodies, have shown reduced activity against several variants of concern.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Adintrevimab: An Example of B cell Mining and Protein Engineering Capabilities</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We have employed this platform to discover adintrevimab. As the first step in the identification of advintrevimab, a blood sample was obtained from a survivor of the 2003 SARS outbreak who had never been exposed to SARS-CoV-2. The B cells were sorted based on reactivity to SARS-CoV-2, enabling us to isolate and identify 200 antibodies that bound to the SARS-CoV-2 S protein. Three of these antibodies were affinity engineered using the Adimab protein engineering platform. Affinity maturation allowed us to increase SARS-CoV-2 S protein binding affinity and neutralization potency by as much as 500- and 77-fold, respectively, as shown in the graphic below. Based on this enhanced profile, we selected ADG2, the progeny with the most improved binding affinity and neutralization potency, for further study. Additional preclinical studies indicated that ADG2 also exhibited highly potent activity against a panel of divergent SARS-like viruses, including SARS-CoV-1, WIV1 and SHC014, whereas the other clinical-stage antibodies demonstrated either limited potency or were non-neutralizing, or N.N., at the highest concentration tested, as shown in the graphic below. We further engineered ADG2 with an Fc region modification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designed to extend the half-life to enable the potential for a single-dose administration to provide durable protection against symptomatic COVID-19 which resulted in our lead product candidate, adintrevimab.</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Protein Engineering Substantially Improved Binding to and Neutralization of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wp:posOffset>
            </wp:positionV>
            <wp:extent cx="5160645" cy="2477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064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To determine whether ADG2 displayed broad neutralization, we evaluated its activity against additional members of the sarbecovirus lineage. Clade 1 of this lineage is of particular concern as it includes members that can infect human cells using the hACE2 receptor. We compared the activity of ADG2 with other currently available or clinical-stage mAbs against a subset of Clade 1 sarbecoviruses in authentic virus neutralization assays using transfected HeLa cells that express the hACE2 receptor and non-human primate Vero cells. ADG2 demonstrated high potency, defined as an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8"/>
          <w:szCs w:val="18"/>
          <w:color w:val="auto"/>
        </w:rPr>
        <w:t xml:space="preserve"> value of 0.01 mcg/mL or less, against SARS-CoV-2 in the two different assays, whereas the potency of certain other antibodies was observed to vary. Importantly, ADG2 exhibited highly potent activity against the other Clade 1 viruses tested, including SARS-CoV-1, WIV1 and SHC014, whereas the other antibodies demonstrated either limited potency or were non-neutralizing, or N.N., at the highest concentration tested, as shown in the graphic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ADG2 Shows Broad Neutralization Activity Across Diverse SARS-Related Coronaviruses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285750</wp:posOffset>
            </wp:positionV>
            <wp:extent cx="5160645" cy="3206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064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Subsequent work indicated that advintrevimab neutralized the Omicron BA.1 variant with reduced potency relative to previous SARS-CoV-2 VOCs (Alpha, Beta, Delta, and Gamma). We therefore employed our protein engineering platform to enhance advintrevimab activity against BA.1 while retaining activity against other SARS-CoV-2 VOCs. Within two months, we generated affinity matured versions of advintrevimab with over 100-fold improved binding affinity and up to 40-fold enhanced neutralization against BA.1 while maintaining activity against other VOCs and SARS-CoV. Thus, our unique B cell mining and protein engineering capabilities allow us to identify unique, functionally active clones that can be engineered and re-engineered for enhanced neutralization potency and breadth of recognition.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Protein Engineering Substantially Improved Binding and Neutralizing Activity of ADG20 (adintrevimab) Against Omicron/BA.1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139700</wp:posOffset>
            </wp:positionV>
            <wp:extent cx="5760720" cy="2751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Re-engineered ADG20 (adintrevimab) Progeny Maintain Binding and Neutralizing Activity Against Other SARS-CoV-2 Variants of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139700</wp:posOffset>
            </wp:positionV>
            <wp:extent cx="5760720" cy="3008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Adintrevimab: Our Near-Term Solution for the Prevention and Treatment of COVID-19</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Adintrevimab, our lead product candidate, is designed to be a potent, broadly neutralizing antibody for both the prevention and treatment of COVID-19, including disease caused by most variants, as either a single or combination agent. Unlike most other antibody-based therapies specifically targeting SARS-CoV-2, adintrevimab has demonstrated in non-clinical studies an ability to neutralize SARS-CoV-2, including most variants of concern, as well as a broad range of sarbecoviruses with neutralization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8"/>
          <w:szCs w:val="18"/>
          <w:color w:val="auto"/>
        </w:rPr>
        <w:t>s ranging from 0.004-1.1 mcg/mL in live-virus neutralization assays. In addition, adintrevimab has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potential to be conveniently administered as an IM injection. We believe these and other attributes of adintrevimab differentiate it from some antibodies that are either available under EUA or in development to address COVID-19.</w:t>
      </w:r>
    </w:p>
    <w:p>
      <w:pPr>
        <w:spacing w:after="0" w:line="16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Our clinical development plan for adintrevimab includes a Phase 1 healthy volunteer single ascending-dose escalation study to establish safety, pharmacokinetics, and serum virus neutralizing antibody titers of adintrevimab and two global clinical trials designed to demonstrate the safety and efficacy of adintrevimab for the prevention and treatment of COVID-19, respectively. Our Phase 2/3 global clinical trial, EVADE, evaluates adintrevimab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Similarly, we are evaluating adintrevimab for the treatment of mild to moderate COVID-19 in patients at high risk of disease progression, in our Phase 2/3 STAMP trial.</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Key Advantages of Adintrevimab</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adintrevimab will have the following key advantages:</w:t>
      </w:r>
    </w:p>
    <w:p>
      <w:pPr>
        <w:spacing w:after="0" w:line="100" w:lineRule="exact"/>
        <w:rPr>
          <w:sz w:val="20"/>
          <w:szCs w:val="20"/>
          <w:color w:val="auto"/>
        </w:rPr>
      </w:pPr>
    </w:p>
    <w:p>
      <w:pPr>
        <w:jc w:val="both"/>
        <w:ind w:left="1140" w:hanging="504"/>
        <w:spacing w:after="0" w:line="25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Broadly neutralizing activity across sarbecoviruses. </w:t>
      </w:r>
      <w:r>
        <w:rPr>
          <w:rFonts w:ascii="Times New Roman" w:cs="Times New Roman" w:eastAsia="Times New Roman" w:hAnsi="Times New Roman"/>
          <w:sz w:val="18"/>
          <w:szCs w:val="18"/>
          <w:color w:val="auto"/>
        </w:rPr>
        <w:t>From the outset, we selected and engineered the mAb that became adintrevimab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specifically for its potential ability to broadly neutralize not only SARS-CoV-2 and the majority of SARS-CoV-2 variants of concern, but also additional members of the sarbecovirus lineage.</w:t>
      </w:r>
    </w:p>
    <w:p>
      <w:pPr>
        <w:spacing w:after="0" w:line="63" w:lineRule="exact"/>
        <w:rPr>
          <w:rFonts w:ascii="Times New Roman" w:cs="Times New Roman" w:eastAsia="Times New Roman" w:hAnsi="Times New Roman"/>
          <w:sz w:val="18"/>
          <w:szCs w:val="18"/>
          <w:color w:val="auto"/>
        </w:rPr>
      </w:pPr>
    </w:p>
    <w:p>
      <w:pPr>
        <w:jc w:val="both"/>
        <w:ind w:left="1140" w:hanging="504"/>
        <w:spacing w:after="0" w:line="25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application across multiple patient indications. </w:t>
      </w:r>
      <w:r>
        <w:rPr>
          <w:rFonts w:ascii="Times New Roman" w:cs="Times New Roman" w:eastAsia="Times New Roman" w:hAnsi="Times New Roman"/>
          <w:sz w:val="18"/>
          <w:szCs w:val="18"/>
          <w:color w:val="auto"/>
        </w:rPr>
        <w:t>Adintrevimab has the potential to address pre- and post-exposure prophylaxis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to treatment of COVID-19, allowing governments and providers the flexibility to potentially use adintrevimab in the populations where it is most needed.</w:t>
      </w:r>
    </w:p>
    <w:p>
      <w:pPr>
        <w:spacing w:after="0" w:line="63" w:lineRule="exact"/>
        <w:rPr>
          <w:rFonts w:ascii="Times New Roman" w:cs="Times New Roman" w:eastAsia="Times New Roman" w:hAnsi="Times New Roman"/>
          <w:sz w:val="18"/>
          <w:szCs w:val="18"/>
          <w:color w:val="auto"/>
        </w:rPr>
      </w:pPr>
    </w:p>
    <w:p>
      <w:pPr>
        <w:ind w:left="1140" w:hanging="504"/>
        <w:spacing w:after="0" w:line="27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 onset of protection. </w:t>
      </w:r>
      <w:r>
        <w:rPr>
          <w:rFonts w:ascii="Times New Roman" w:cs="Times New Roman" w:eastAsia="Times New Roman" w:hAnsi="Times New Roman"/>
          <w:sz w:val="18"/>
          <w:szCs w:val="18"/>
          <w:color w:val="auto"/>
        </w:rPr>
        <w:t>As a mAb, adintrevimab has the potential to confer rapid protection post-dose against COVID-19 in the post-exposure setting.</w:t>
      </w:r>
    </w:p>
    <w:p>
      <w:pPr>
        <w:spacing w:after="0" w:line="45"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durability. </w:t>
      </w:r>
      <w:r>
        <w:rPr>
          <w:rFonts w:ascii="Times New Roman" w:cs="Times New Roman" w:eastAsia="Times New Roman" w:hAnsi="Times New Roman"/>
          <w:sz w:val="18"/>
          <w:szCs w:val="18"/>
          <w:color w:val="auto"/>
        </w:rPr>
        <w:t>Adintrevimab has the potential to provide durable protection by virtue of its potency and half-life extension.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Physiologically-based pharmacokinetic modeling has suggested that a single-dose 300 mg IM injection of adintrevimab will result in serum neutralizing titers that we believe may provide durable protection, depending on the variant. Duration of protection is especially important in the immunocompromised population who may remain unprotected by vaccines.</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Convenient, IM administration for use in the outpatient setting. </w:t>
      </w:r>
      <w:r>
        <w:rPr>
          <w:rFonts w:ascii="Times New Roman" w:cs="Times New Roman" w:eastAsia="Times New Roman" w:hAnsi="Times New Roman"/>
          <w:sz w:val="18"/>
          <w:szCs w:val="18"/>
          <w:color w:val="auto"/>
        </w:rPr>
        <w:t>Intravenous administration of currently available COVID-19 mAbs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specialized facilities that are properly equipped to accommodate IV dosing in actively infected patients, which may lead to a delay in administration. In contrast, the low viscosity, high concentration formulation and potency of adintrevimab, allow it to be delivered as a convenient, IM injection in traditional outpatient settings.</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4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Potential for affordability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antibody therapy that is administered by IM injection with potential durable protection, depending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variant, has the potential to offer payors, providers and patients an affordable option to prevent and treat COVID-19. Initiatives by the Centers for Medicare &amp; Medicaid Services to decrease out-of-pocket costs to patients and increase reimbursement for COVID-19 antibody therapies to providers underscore the importance of ensuring affordable access to COVID-19 antibodies. We believe adintrevimab’s potential for affordability may allow for greater pricing flexibility to encourage broader access to adintrevimab and appropriate use by government and private payors, physicians and patients.</w:t>
      </w:r>
    </w:p>
    <w:p>
      <w:pPr>
        <w:spacing w:after="0" w:line="70" w:lineRule="exact"/>
        <w:rPr>
          <w:rFonts w:ascii="Times New Roman" w:cs="Times New Roman" w:eastAsia="Times New Roman" w:hAnsi="Times New Roman"/>
          <w:sz w:val="18"/>
          <w:szCs w:val="18"/>
          <w:color w:val="auto"/>
        </w:rPr>
      </w:pPr>
    </w:p>
    <w:p>
      <w:pPr>
        <w:jc w:val="both"/>
        <w:ind w:left="1140" w:hanging="504"/>
        <w:spacing w:after="0" w:line="25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Standard refrigeration requirements to facilitate worldwide distribution and storage. </w:t>
      </w:r>
      <w:r>
        <w:rPr>
          <w:rFonts w:ascii="Times New Roman" w:cs="Times New Roman" w:eastAsia="Times New Roman" w:hAnsi="Times New Roman"/>
          <w:sz w:val="18"/>
          <w:szCs w:val="18"/>
          <w:color w:val="auto"/>
        </w:rPr>
        <w:t>Adintrevimab may be conveniently stored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distributed under standard refrigerated conditions prior to administration. We anticipate that adintrevimab will be stable in sterile liquid form under refrigerated storage conditions and continue to confirm the long-term stability of adintrevimab.</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Adintrevimab has the potential to impact viral replication and subsequent disease through multiple mechanisms of action, including direct neutralization of free virus and elimination of infected host cells through Fc-mediated innate immune effector activity. The majority of SARS-CoV-2-specific neutralizing antibodies target the RBD of the spike protein. Neutralizing anti-RBD antibodies that are commonly elicited by natural SARS-CoV-2 infection and vaccination (so-called “public” antibodies) have been categorized into three classes (class 1, 2, and 3) based on their convergent sequence features and binding epitopes. Public antibodies target amino acid residues that are variable among SARS-like coronaviruses, suggesting that they are less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jc w:val="both"/>
        <w:spacing w:after="0" w:line="242" w:lineRule="auto"/>
        <w:rPr>
          <w:sz w:val="20"/>
          <w:szCs w:val="20"/>
          <w:color w:val="auto"/>
        </w:rPr>
      </w:pPr>
      <w:r>
        <w:rPr>
          <w:rFonts w:ascii="Times New Roman" w:cs="Times New Roman" w:eastAsia="Times New Roman" w:hAnsi="Times New Roman"/>
          <w:sz w:val="18"/>
          <w:szCs w:val="18"/>
          <w:color w:val="auto"/>
        </w:rPr>
        <w:t>likely to be important for viral fitness and are therefore more susceptible to mutation. Amino acid mutations that are present in multiple variants of concern, including those at positions E484, L452 and K417, confer resistance to many class 1 and class 2 antibodies, suggesting that these mutations emerged due to immune selection pressure by these types of antibodies. Because many clinical-stage and EUA authorized SARS-CoV-2 antibodies were identified from COVID-19 survivors and belong to one of these three public antibody classes, several of these mAbs display reduced activity against multiple SARS-CoV-2 variants of concern.</w:t>
      </w:r>
    </w:p>
    <w:p>
      <w:pPr>
        <w:spacing w:after="0" w:line="18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Adintrevimab recognizes an RBD epitope that is distinct from those targeted by public class 1-3 antibodies. The amino acid residues that adintrevimab engages are conserved among most bat SARS-like coronaviruses, which provides it with broadly neutralizing capabilities and suggests that these residues may be important to viral fitness, and thus less likely to mutate in the context of an infection. In addition, the binding site engaged by adintrevimab is not readily targeted by endogenous public antibodies, which limits immune pressure at these residues. A comparison of adintrevimab binding to the RBD of the SARS-CoV-2 S protein with that of Class 1-3 antibodies is illustrated in the molecular model presented below. Although adintrevimab displays reduced activity against the Omicron (BA.1) variant and lacks activity against the BA.2 sublineage relative to earlier variants of concern, the potency of neutralization shown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BA.1 is similar to or higher than that of most EUA approved SARS-CoV-2-specific antibodies that bind variable epitopes. Furthermore, unlike many other SARS-CoV-2-specific antibodies, adintrevimab has been shown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to bind and neutralize the majority of SARS-CoV-2 variants of concern and variants of interest that have emerged to date. Thus, although Omicron variant and its sub-lineages have demonstrated that universal SARS-CoV-2 variant neutralization may not be feasible with anti-RBD antibody monotherapies, antibodies that show broad-spectrum activity against divergent sarbecoviruses are more likely to retain activity against emerging SARS-CoV-2 variants than antibodies with narrow activity.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Adintrevimab Targets a Unique Site on the RBD of the SARS-CoV-2 S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11430</wp:posOffset>
            </wp:positionV>
            <wp:extent cx="5760720" cy="5014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501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addition to neutralizing activity, adintrevimab displays Fc-mediated innate immune effector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including antibody-dependent cellular cytotoxicity, or ADCC, antibody-dependent cellular phagocytosis, or ADCP, and antibody-dependent complement deposition, or ADCD. We believe this mechanism of action may help to clear infected host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contribute to the control of SARS-CoV-2 infection.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0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Adintrevimab has been evaluated in a series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to demonstrate its potency and breadth as well as safety and efficacy in various animal models.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binding studies have demonstrated that adintrevimab binds with high affinity to a diverse set of RBD subdomain 1, or RBD SD1, molecules from naturally circulating SARS-CoV-2 variants and related sarbecoviruses. Additional binding studies have indicated that the Fc modifications of adintrevimab confer enhanced affinity to non-human primate and human neonatal Fc receptors, or FcRn, at low pH, which has translated into a prolonged serum half-life in non-human primates due to enhanced recycling via FcRn.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adintrevimab has demonstrated neutralizing activity against SARS-CoV-2 and most emerging variants that have been associated with lower efficacy rates of certain vaccines and are resistant or partially resistant to a subset of currently available or clinical-stage mAbs.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adintrevimab demonstrated an ability to prevent and treat SARS-CoV-2 infection and associated disease as well as a prolonged serum half-life. Prophylactic administration of ADG2 or adintrevimab provided protection against SARS-CoV-2 infection in three different animal models, and treatment with ADG2 reduced disease burden in animals infected with SARS-CoV-2.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i w:val="1"/>
          <w:iCs w:val="1"/>
          <w:color w:val="auto"/>
        </w:rPr>
        <w:t>In Vitro Studies of Adintrevimab Demonstrated Potency and Broad Neutralization of SARS-CoV-2 Against the Majority of Known Variants</w:t>
      </w:r>
    </w:p>
    <w:p>
      <w:pPr>
        <w:spacing w:after="0" w:line="10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 xml:space="preserve">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analysis conducted by an independent laboratory using authentic SARS-CoV-2 assays, we evaluated the potency and neutralizing activity of adintrevimab against the Victoria virus strain, which is similar to the original Wuhan-Hu-1 virus strain, Alpha (B.1.1.7), Beta (B.1.351), Gamma (P.1), Delta (B.1.617.2), Omicron (B.1.529 or BA.1) and two Omicron sub-lineages (BA.1.1 and BA.2) variants. Adintrevimab demonstrated potent viral neutralization activity (defined as an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8"/>
          <w:szCs w:val="18"/>
          <w:color w:val="auto"/>
        </w:rPr>
        <w:t xml:space="preserve"> of 0.01 mcg/ml or less) against the original Victoria virus as well as the Alpha, Beta, Gamma, and Delta variants. In contrast, a subset of SARS-CoV-2-specific antibodies displayed substantial loss of neutralization activity against a subset of these variants, with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8"/>
          <w:szCs w:val="18"/>
          <w:color w:val="auto"/>
        </w:rPr>
        <w:t xml:space="preserve"> values exceeding 1 mcg/mL. Adintrevimab also displayed neutralizing activity against the Omicron BA.1 and BA1.1 lineages, albeit with reduced potency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8"/>
          <w:szCs w:val="18"/>
          <w:color w:val="auto"/>
        </w:rPr>
        <w:t xml:space="preserve"> ~ 1 mcg/ml) relative to earlier SARS-CoV-2 strains but lacked detectable activity against the BA.2 lineage. Similarly, the majority of other clinical-stage or EUA authorized mAbs demonstrated significantly reduced or completely abolished activity against Omicron and its sublineages, thus highlighting the remarkable immune evasive properties of this particular variant of concern.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Adintrevimab Displays Neutralizing Activity Against Most SARS-CoV-2 Variants of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285750</wp:posOffset>
            </wp:positionV>
            <wp:extent cx="5760720" cy="3480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neutralization potency and breadth of adintrevimab was also evaluated by an independent U.S. government laboratory against a panel of 64 SARS-CoV-2 pseudovirus variants. We utilized the non-clinical and pre-clinical services program offered by the National Institute of Allergy and Infectious Diseases to generate this data. Variants tested included spike proteins encoding the full sets of mutations observed in emerging variants of concern and variants of interest. As shown in the graphic below, adintrevimab displayed neutralization activity across most variants tested to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Adintrevimab Displayed Neutralization Activity Against Most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285750</wp:posOffset>
            </wp:positionV>
            <wp:extent cx="5760720" cy="360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As shown in the graphic below, we believe that intervention with an antiviral neutralizing antibody before exposure to SARS-CoV-2, post-exposure but prior to the onset of symptoms or early in the course of symptomatic disease when viral replication is high but before the onset of significant immune pathology is likely to provide the greatest benefit to patients. This belief is supported by clinical experience with SARS-CoV-2 mAbs as well as prior experience with the use of neutralizing antibodies for the prevention and treatment of other respiratory virus infections such as influenza and respiratory syncytial virus, or RSV. For these reasons, our clinical development strategy is focused on prevention and early treatment of COVID-19 with the goal of preventing severe disease and its sequelae.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Adintrevimab: In Development for Prevention and Treatment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148590</wp:posOffset>
            </wp:positionV>
            <wp:extent cx="5160645" cy="1859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064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7" w:name="page18"/>
    <w:bookmarkEnd w:id="17"/>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As shown below, our clinical development plan for adintrevimab includes a series of clinical trials to demonstrate the potential of adintrevimab for both the prevention and treatment of COVID-19 in adults and adolescents. We initiated our clinical program with a Phase 1 healthy volunteer single ascending-dose escalation study to establish safety, pharmacokinetics, and serum virus neutralizing antibody titers of adintrevimab over a period of 12 months. This study also provided preliminary safety and pharmacokinetic data at the 300 mg IM dose to support progression to Phase 2/3 trials. Our Phase 2/3 global clinical trial, EVADE, evaluates adintrevimab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Our Phase 2/3 global clinical trial, STAMP, evaluates adintrevimab in the treatment of mild to moderate COVID-19 in patients at high risk of disease progression. Follow-up in all three trials is ongoing and preliminary results are presented below across all populations studied.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Clinical Development Program for Adintrevimab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148590</wp:posOffset>
            </wp:positionV>
            <wp:extent cx="5760720" cy="3317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First-in-Human Phase 1 Dose Escalation Clinical Trial</w:t>
      </w:r>
    </w:p>
    <w:p>
      <w:pPr>
        <w:spacing w:after="0" w:line="106"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February 2021, we initiated a Phase 1 single ascending-dose escalation clinical trial (ADG20-1-001), which is designed to evaluate the safety, tolerability and pharmacokinetic properties of adintrevimab, along with serum virus neutralizing antibody titers. We completed enrollment of 30 healthy volunteers across three cohorts in March of 2021, with ten participants per cohort randomized 8 to 2 to adintrevimab or placebo, respectively. Each</w:t>
      </w:r>
    </w:p>
    <w:p>
      <w:pPr>
        <w:jc w:val="both"/>
        <w:spacing w:after="0" w:line="239" w:lineRule="auto"/>
        <w:rPr>
          <w:sz w:val="20"/>
          <w:szCs w:val="20"/>
          <w:color w:val="auto"/>
        </w:rPr>
      </w:pPr>
      <w:r>
        <w:rPr>
          <w:rFonts w:ascii="Times New Roman" w:cs="Times New Roman" w:eastAsia="Times New Roman" w:hAnsi="Times New Roman"/>
          <w:sz w:val="18"/>
          <w:szCs w:val="18"/>
          <w:color w:val="auto"/>
        </w:rPr>
        <w:t>participant received a single dose of either 300 mg IM, 500 mg IV or 600 mg IM of adintrevimab or placebo. Data from a six-month evaluation timepoint confirmed the extended half-life of adintrevimab, which approached 100 days based on the 300 mg IM dose cohort and we believe may allow for durable protection, depending on the SARS-CoV-2 variant. As of March 28, 2022, there were no study drug related adverse events, serious adverse events, injection-site reactions or hypersensitivity reactions reported through 12 month follow-up across the majority of participants in all three initial cohorts. Due to the reduction in neutralizing activity of adintrevimab against the Omicron variant and the potential for higher doses to overcome this shift in potency as well as address potential future SARS-CoV-2 variants, the Phase 1 study was amended in February 2022 to evaluate safety and pharmacokinetics of higher doses of adintrevimab. Preliminary safety data through two weeks post dosing suggest a favorable safety profile at the 1200 mg dose administered IM or IV with no study drug related adverse events, serious adverse events, injection-site reactions or hypersensitivity reactions reported. A population pharmacokinetic model based on the Phase 1 healthy volunteer data from the initial dose cohorts supported the extended half-life of adintrevimab and showed high bioavailabity (92%) following IM administration.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Pharmacokinetic Profile of a Single 300 mg IM Dose of Adintrevimab at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148590</wp:posOffset>
            </wp:positionV>
            <wp:extent cx="5760720" cy="2623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Serum virus neutralizing antibody titers are believed to be a key correlate of protection against COVID-19. In an exploratory analysis using an authentic virus neutralization assay, we compared serum virus neutralizing antibody titers on days 2, 7 and 21, and months 3 and 6 following a single 300 mg IM dose of adintrevimab to titers achieved 7 to 31 days, corresponding to peak titers, following administration of two doses of the AZD1222 or mRNA-1273 vaccine. As illustrated in the graphic below, by day 2 or the day following administration of a single 300 mg IM dose of adintrevimab, measured serum neutralizing antibody titers against the D614G strain were similar to peak serum neutralizing antibody titers induced by the mRNA-1273 COVID-19 vaccine and significantly exceeded peak titers generated by the AZD1222 vaccine. By day 7, serum neutralizing antibody titers for adintrevimab were significantly higher than peak titers generated by either vaccine and at month 6, neutralizing antibody titers were similar to the level of peak serum neutralizing antibody titers induced by the mRNA-1273 COVID-19 vaccine. These data further support the potential for a single 300 mg IM injection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adintrevimab to provide durable protection against COVID-19, depending on the SARS-CoV-2 variant.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Serum Virus Neutralizing Titers After of a Single 300 mg IM Dose of Adintrevimab at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148590</wp:posOffset>
            </wp:positionV>
            <wp:extent cx="5760720" cy="3591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072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line="221" w:lineRule="auto"/>
        <w:rPr>
          <w:sz w:val="20"/>
          <w:szCs w:val="20"/>
          <w:color w:val="auto"/>
        </w:rPr>
      </w:pPr>
      <w:r>
        <w:rPr>
          <w:rFonts w:ascii="Times New Roman" w:cs="Times New Roman" w:eastAsia="Times New Roman" w:hAnsi="Times New Roman"/>
          <w:sz w:val="19"/>
          <w:szCs w:val="19"/>
          <w:color w:val="auto"/>
          <w:vertAlign w:val="superscript"/>
        </w:rPr>
        <w:t>a</w:t>
      </w:r>
      <w:r>
        <w:rPr>
          <w:rFonts w:ascii="Times New Roman" w:cs="Times New Roman" w:eastAsia="Times New Roman" w:hAnsi="Times New Roman"/>
          <w:sz w:val="14"/>
          <w:szCs w:val="14"/>
          <w:color w:val="auto"/>
        </w:rPr>
        <w:t>Vaccine timepoint: 7 to 31 days post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4"/>
          <w:szCs w:val="14"/>
          <w:color w:val="auto"/>
        </w:rPr>
        <w:t xml:space="preserve"> dose; </w:t>
      </w:r>
      <w:r>
        <w:rPr>
          <w:rFonts w:ascii="Times New Roman" w:cs="Times New Roman" w:eastAsia="Times New Roman" w:hAnsi="Times New Roman"/>
          <w:sz w:val="19"/>
          <w:szCs w:val="19"/>
          <w:color w:val="auto"/>
          <w:vertAlign w:val="superscript"/>
        </w:rPr>
        <w:t>b</w:t>
      </w:r>
      <w:r>
        <w:rPr>
          <w:rFonts w:ascii="Times New Roman" w:cs="Times New Roman" w:eastAsia="Times New Roman" w:hAnsi="Times New Roman"/>
          <w:sz w:val="14"/>
          <w:szCs w:val="14"/>
          <w:color w:val="auto"/>
        </w:rPr>
        <w:t xml:space="preserve">adintrevimab recipients only; </w:t>
      </w:r>
      <w:r>
        <w:rPr>
          <w:rFonts w:ascii="Times New Roman" w:cs="Times New Roman" w:eastAsia="Times New Roman" w:hAnsi="Times New Roman"/>
          <w:sz w:val="19"/>
          <w:szCs w:val="19"/>
          <w:color w:val="auto"/>
          <w:vertAlign w:val="superscript"/>
        </w:rPr>
        <w:t>c</w:t>
      </w:r>
      <w:r>
        <w:rPr>
          <w:rFonts w:ascii="Times New Roman" w:cs="Times New Roman" w:eastAsia="Times New Roman" w:hAnsi="Times New Roman"/>
          <w:sz w:val="14"/>
          <w:szCs w:val="14"/>
          <w:color w:val="auto"/>
        </w:rPr>
        <w:t xml:space="preserve"> Excludes samples taken following SARS-CoV-2 vaccination. Samples above upper limit of quantification (ULOQ) imputed to ULOQ. LOD=limit of detection;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£ 0.05;**</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£ 0.01;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£ 0.0001 (2-tailed Mann-Whitney U test; nominal p values shown).</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Combined Phase 2/3 EVADE Trial of Adintrevimab for the Prevention of COVID-19</w:t>
      </w:r>
    </w:p>
    <w:p>
      <w:pPr>
        <w:spacing w:after="0" w:line="10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Our combined Phase 2/3 EVADE clinical trial of adintrevimab evaluates the safety and efficacy of adintrevimab in the prevention of symptomatic COVID-19 in two independent trial populations: (1) individuals with known exposure to a person with laboratory-confirmed SARS-CoV-2 infection, which we refer to as post-exposure prophylaxis, and (2) individuals who are at increased risk for SARS-CoV-2 infection, which we refer to as pre-exposure prophylaxis. The eligible trial populations also include individuals at risk of generating poor vaccine response, such as those who are immunocompromised. Our EVADE trial is designed as a randomized, double-blind, placebo-controlled clinical trial to evaluate the efficacy of a single IM dose of adintrevimab in preventing COVID-19, with an original target enrollment of approximately 6,400 individuals across both populations in the United States and other countries. We initiated enrollment in our EVADE trial in April 2021 and expanded enrollment to adolescents in the Phase 3 portion of both populations after iDMC review of safety data from the first 200 adult participants across both populations in the Phase 2 portion of the trial on August 24, 2021. We subsequently paused enrollment on January 11, 2022, due to the emergence and global spread of the Omicron variant,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and, at the time, the 300 mg dose was thought to be unlikely to provide durable protection against COVID-19 due to the Omicron variant. At the time of the enrollment pause, a total of 487 participants were enrolled in the post-exposure cohort and 2,101 participants were enrolled in the pre-exposure cohort. The primary endpoint for these cohorts is the proportion of participants with laboratory-confirmed symptomatic COVID-19 through Day 28 and 3 months, respectively. The primary efficacy endpoint for pre-exposure prophylaxis was adjusted to 3 months, compared to the original planned follow-up period of 6 months, to allow assessment of efficacy against the Delta variant prior to widespread emergence of Omicron. All participants will be followed in both cohorts through 14 months for safety. Some of our clinical trial sites are located in Ukraine and we are monitoring the current conflict in this region to evaluate any potential impact to the trial.</w:t>
      </w:r>
    </w:p>
    <w:p>
      <w:pPr>
        <w:spacing w:after="0" w:line="172"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Of the 487 participants randomized in the post-exposure cohort, 348 were included in the primary efficacy population, which included all randomized participants without evidence of current SARS-CoV-2 infection and who were randomized prior to November 30, 2021. In the primary efficacy analysis, adintrevimab was associated with a statistically significant lower incidence of SARS-CoV-2 RT-PCR positive symptomatic COVID-19 through Day 28 compared with placebo (3/173, 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 w:name="page21"/>
    <w:bookmarkEnd w:id="20"/>
    <w:p>
      <w:pPr>
        <w:jc w:val="both"/>
        <w:spacing w:after="0" w:line="224" w:lineRule="auto"/>
        <w:rPr>
          <w:sz w:val="20"/>
          <w:szCs w:val="20"/>
          <w:color w:val="auto"/>
        </w:rPr>
      </w:pPr>
      <w:r>
        <w:rPr>
          <w:rFonts w:ascii="Times New Roman" w:cs="Times New Roman" w:eastAsia="Times New Roman" w:hAnsi="Times New Roman"/>
          <w:sz w:val="18"/>
          <w:szCs w:val="18"/>
          <w:color w:val="auto"/>
        </w:rPr>
        <w:t>vs. 12/175, 6.9%, respectively). The standardized risk difference was -4.9% (95% CI: -8.8, -1.0; p=0.0135), demonstrating a 75% relative risk reduction in favor of adintrevimab through 28 days or the emergence of Omicron, whichever was earlier. There were two (1.1%) COVID-19 related hospitalizations in the placebo group compared to none in the adintrevimab group. Of the 2,101 participants enrolled in the pre-exposure cohort, 1,433 were included in the primary efficacy population, which included all randomized participants without evidence of current or prior SARS-CoV-2 infection and who were randomized prior to November 30, 2021. In the primary efficacy analysis, adintrevimab was associated with a statistically significant lower incidence of SARS-CoV-2 RT-PCR positive symptomatic COVID-19 compared with placebo through Month 3 or the emergence of Omicron (12/730, 1.6% vs. 40/703, 5.7%). The standardized risk difference was -4.0% (95% CI –6.0, -2.1; p &lt; 0.0001), demonstrating a 71% relative risk reduction in favor of adintrevimab through 3 months or the emergence of Omicron, whichever was earlier. There were 5 (0.7%) COVID-19 related hospitalizations in the placebo group compared to none in the adintrevimab group.</w:t>
      </w:r>
    </w:p>
    <w:p>
      <w:pPr>
        <w:spacing w:after="0" w:line="178"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We also conducted an exploratory analysis of participants enrolled after November 30, 2021 and who were at risk of exposure to Omicron through the data cut-off date of March 2, 2022. In the small number of participants in the post-exposure prophylaxis population randomized post-Omicron, adintrevimab was not associated with a benefit in the reduction of RT-PCR-confirmed symptomatic COVID-19 through Day 28. In a pre-specified exploratory analysis of the pre-exposure prophylaxis cohort, which included 402 participants (196 and 206 in the adintrevimab and placebo groups, respectively) randomized after November 30, 2021 and followed after the emergence of Omicron (BA.1), a clinically meaningful reduction in the risk of developing RT-PCR confirmed symptomatic COVID-19 was observed with adintrevimab, as compared to placebo. Adintrevimab was associated with a relative risk reduction of 59% and 47% with a median follow-up duration of 56 and 77 days, respectively (nominal p &lt;0.05).</w:t>
      </w:r>
    </w:p>
    <w:p>
      <w:pPr>
        <w:spacing w:after="0" w:line="175"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8"/>
          <w:szCs w:val="18"/>
          <w:color w:val="auto"/>
        </w:rPr>
        <w:t>A preliminary analysis of available safety data across both cohorts through March 2, 2022 with a median follow-up duration of 140 days for the pre-exposure cohort and 126 days for the post-exposure cohort in 1,239 adintrevimab treated participants revealed a similar safety profile to that of placebo. The incidence of adverse events, including serious adverse events, was similar between the adintrevimab and placebo groups. No study drug related serious adverse events, including no study drug related adverse events leading to death, were reported. The most frequently reported adverse events were solicited injection site reactions, the majority of which were mild or moderate in severity and occurred with similar frequency in both groups. One mild hypersensitivity reaction of mild urticaria was reported in an adintrevimab treated participant.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Combined Phase 2/3 STAMP Trial of Adintrevimab for the Treatment of COVID-19</w:t>
      </w:r>
    </w:p>
    <w:p>
      <w:pPr>
        <w:spacing w:after="0" w:line="92"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Our STAMP combined Phase 2/3 clinical trial evaluates adintrevimab for the treatment of COVID-19 in ambulatory adult patients with mild to moderate disease who are at high risk of disease progression. Our STAMP trial is designed as a double-blind, randomized, placebo-controlled clinical trial to evaluate the efficacy of a single IM dose of adintrevimab compared to placebo in preventing COVID-19-related hospitalization or all-cause death through Day 29, with an original target enrollment of approximately 1,100 patients, all of whom were to be enrolled outside of the United States. We</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initiated enrollment in our STAMP trial in July 2021 and expanded enrollment to adolescents after iDMC review of safety and preliminary efficacy data from the Phase 2 portion of the trials on December 21, 2021. We subsequently paused enrollment on January 11, 2022 due to the emergence and global spread of the Omicron variant,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and was thought to be unlikely to provide benefit for disease due to this variant. At the time of the enrollment pause, a total of 399 participants were randomized in the trial. The primary objectives of this clinical trial are to assess the safety and efficacy of adintrevimab compared to placebo in the prevention of COVID-19-related hospitalization or death through Day 29. All participants will be followed through 14 months for safety. Some of our clinical trial sites are in Ukraine and we are monitoring the current conflict in this region to evaluate any potential impact on the trial.</w:t>
      </w:r>
    </w:p>
    <w:p>
      <w:pPr>
        <w:spacing w:after="0" w:line="176"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Of the 399 participants randomized in the trial, 336 were included in the primary efficacy population, which was defined as all randomized participants with COVID-19 due to non-Omicron SARS-CoV-2 variants, as determined by whole genome sequencing or epidemiology. In the primary analysis of efficacy, adintrevimab met statistical significance and was associated with a lower incidence of COVID-19 related hospitalization or all cause death through Day 29 compared with placebo (8/169, 4.7% vs. 23/167, 13.8%). The standardized risk difference was -8.6 % (95% CI: -14.65,</w:t>
      </w:r>
    </w:p>
    <w:p>
      <w:pPr>
        <w:spacing w:after="0" w:line="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-2.57; p=0.0052), demonstrating a 66% relative risk reduction in favor of adintrevimab. There was 1 (0.6%) death in the adintrevimab group, compared with 6 (3.6%) deaths in the placebo group through Day 29. In patients treated within three days of symptom onset, adintrevimab was associated with a reduced risk of COVID-19 hospitalization or death from any cause through Day 29 by 77% compared to placebo, 3.3% (3/91) in the adintrevimab group compared to 14.1% (12/85) in the placebo group. An exploratory analysis of efficacy was conducted in the small number (N=63; 29 in the adintrevimab group and 34 in the placebo group) of participants with COVID-19 due to the Omicron SARS-CoV-2 variant. There were two events of COVID-19 related hospitalization and no deaths through day 29; both events of hospitalization occurred in the placebo group. The sample size was too small to draw any conclusion regarding the efficacy of adintrevimab for the treatment of COVID-19 due to the Omicron variant.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1" w:name="page22"/>
    <w:bookmarkEnd w:id="21"/>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An analysis of available safety data through February 2, 2022 with a median duration of follow-up of 73 days in the 192 participants in the adintrevimab group revealed no safety concerns for adintrevimab. The incidence of adverse events, including serious adverse events, was lower in the adintrevimab group compared to the placebo group. No study drug related serious adverse events, including no study drug related adverse events leading to death, were reported. The most frequently reported adverse events were solicited injection site reactions, all of which were mild or moderate in severity and occurred with similar frequency in both groups.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Regulatory Strategy</w:t>
      </w:r>
    </w:p>
    <w:p>
      <w:pPr>
        <w:spacing w:after="0" w:line="10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Based on the available data from EVADE and STAMP, we plan to request an EUA in the second quarter of 2022 for the use of adintrevimab in pre-and post-exposure prophylaxis as well as in the treatment of mild to moderate COVID-19 in high-risk individuals. We also plan to discuss the path to a biologics license application, or BLA, for adintrevimab with the FDA in the second quarter of 2022 and to determine the path to marketing authorization with regulatory authorities outside the United States.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Clinical Development Plan</w:t>
      </w:r>
    </w:p>
    <w:p>
      <w:pPr>
        <w:spacing w:after="0" w:line="10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Similar to our strategy for the adult and adolescent populations, we anticipate generating data to support the use of adintrevimab for both the prevention and treatment of COVID-19 in the pediatric population. We currently have an aligned clinical plan with the FDA to evaluate adintrevimab as a preventative and treatment option in the pediatric population, with a trial in individuals between two and eleven years of age. The pediatric study plan may need to be modified following BLA discussions with the FDA. We believe adintrevimab has the potential to provide a treatment option for children at high risk of severe disease and be a viable prevention option for high risk children, such as those with moderate to severe immunocompromise who generate suboptimal vaccine responses.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 Opportunity</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Emergency Use Authorization (EUA) Environment</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an EUA environment where the federal government signs an Advance Purchase Agreement, or APA, with a manufacturer for a specific number of doses at a fixed price, product distribution is overseen by federal and state governments and product is ordered by institutions, prescribed by physicians and administered in a variety of settings. Product is free to the institutions and patients, but patients can be billed for administration costs. Currently, all oral antivirals and monoclonal antibodies are made available under APAs. Only Gilead's intravenous antiviral, remdesivir, which received full FDA approval for treatment of non-hospitalized patients (12 years of age or older) at high risk for COVID-19 disease progression in January 2022, is available under a standard purchase model where hospitals, clinics, and other institutions purchase product through distributors.</w:t>
      </w:r>
    </w:p>
    <w:p>
      <w:pPr>
        <w:spacing w:after="0" w:line="18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an EUA environment where the federal government does not sign an APA, the manufacturer sells product directly to wholesalers and/or distributors who ship the product to various sites of care, and provider institutions and clinics can bill health plans for product. GlaxoSmithKline and Vir Biotechnology’s sotrovimab was granted an EUA in May 2021 but did not receive an APA until November 2021. In an EUA, a manufacturer cannot make any claims about the safety and efficacy of its drug; with a full marketing authorization/BLA, a manufacturer can make these claims as long as they are consistent with the product’s label.</w:t>
      </w:r>
    </w:p>
    <w:p>
      <w:pPr>
        <w:spacing w:after="0" w:line="18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successful with our request for emergency use authorization of adintrevimab in the U.S., we intend to seek an APA and to sell product directly to wholesalers and/or distributors while our request for an APA is pending.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Patient Populations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Pre-Exposure Prophylaxis (PrEP)</w:t>
      </w:r>
    </w:p>
    <w:p>
      <w:pPr>
        <w:spacing w:after="0" w:line="10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an EUA environment, the Healthcare Provider and Patient Fact Sheets specify the patient populations eligible to receive COVID-19 treatment and prevention, and utilization of PrEP products is bound by these specifications. If we are successful with our request for EUA of adintrevimab for pre-exposure prophylaxis, we estimate that the total addressable PrEP market for adintrevimab in the U.S. is approximately 7-8 million immunocompromised patients.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ind w:firstLine="509"/>
        <w:spacing w:after="0" w:line="266" w:lineRule="auto"/>
        <w:rPr>
          <w:sz w:val="20"/>
          <w:szCs w:val="20"/>
          <w:color w:val="auto"/>
        </w:rPr>
      </w:pPr>
      <w:r>
        <w:rPr>
          <w:rFonts w:ascii="Times New Roman" w:cs="Times New Roman" w:eastAsia="Times New Roman" w:hAnsi="Times New Roman"/>
          <w:sz w:val="18"/>
          <w:szCs w:val="18"/>
          <w:color w:val="auto"/>
        </w:rPr>
        <w:t>For example, the tixagevimab/cilgavimab February 2022 Fact Sheet states, in part, that tixagevimab/cilgavimab may only be used in adults and pediatric individuals (12 years of age and older weighing at least 40 kg):</w:t>
      </w:r>
    </w:p>
    <w:p>
      <w:pPr>
        <w:spacing w:after="0" w:line="54" w:lineRule="exact"/>
        <w:rPr>
          <w:sz w:val="20"/>
          <w:szCs w:val="20"/>
          <w:color w:val="auto"/>
        </w:rPr>
      </w:pPr>
    </w:p>
    <w:p>
      <w:pPr>
        <w:ind w:left="102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not currently infected with SARS-CoV-2 and who have not had a known recent exposure to an individual infected with SARS-CoV-2; and</w:t>
      </w:r>
    </w:p>
    <w:p>
      <w:pPr>
        <w:ind w:left="1540" w:right="20" w:hanging="509"/>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oWho have moderate to severe immune compromise due to a medical condition or receipt of immunosuppressive medications or treatments and may not mount an adequate immune response to COVID-19 vaccination; or</w:t>
      </w:r>
    </w:p>
    <w:p>
      <w:pPr>
        <w:spacing w:after="0" w:line="1" w:lineRule="exact"/>
        <w:rPr>
          <w:rFonts w:ascii="Times New Roman" w:cs="Times New Roman" w:eastAsia="Times New Roman" w:hAnsi="Times New Roman"/>
          <w:sz w:val="18"/>
          <w:szCs w:val="18"/>
          <w:color w:val="auto"/>
        </w:rPr>
      </w:pPr>
    </w:p>
    <w:p>
      <w:pPr>
        <w:ind w:left="1540" w:hanging="50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oFor whom vaccination with any available COVID-19 vaccine, according to the approved or authorized schedule, is not recommended due to a history of severe adverse reaction (e.g., severe allergic reaction) to a COVID-19 vaccine(s) and/or COVID-19 vaccine component(s).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CDC Guidelines suggest prioritizing the following patient populations due to limited drug supply:</w:t>
      </w:r>
    </w:p>
    <w:p>
      <w:pPr>
        <w:spacing w:after="0" w:line="1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are within 1 year of receiving B-cell depleting therapies (e.g., rituximab, ocrelizumab, ofatumumab, alemtuzumab);</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receiving Bruton tyrosine kinase inhibitors;</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Chimeric antigen receptor T cell recipients;</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Post-hematopoietic cell transplant recipients who have chronic graft versus host disease or who are taking immunosuppressive medications for another indication;</w:t>
      </w:r>
    </w:p>
    <w:p>
      <w:pPr>
        <w:spacing w:after="0" w:line="1"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hematologic malignancies who are on active therapy;</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Lung transplant recipients;</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are within 1 year of receiving a solid-organ transplant (other than lung transplant);</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Solid-organ transplant recipients with recent treatment for acute rejection with T or B cell depleting agents;</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severe combined immunodeficiencies; and</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untreated HIV who have a CD4 T lymphocyte cell count &lt;50 cells/mm3.</w:t>
      </w:r>
    </w:p>
    <w:p>
      <w:pPr>
        <w:spacing w:after="0" w:line="2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successful with our request for emergency use authorization of adintrevimab for pre-exposure prophylaxis, Adagio estimates that the total addressable PrEP market for adintrevimab in the U.S. is approximately 7-8 million immunocompromised patients.</w:t>
      </w:r>
    </w:p>
    <w:p>
      <w:pPr>
        <w:spacing w:after="0" w:line="16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We have conducted several waves of market research with physicians that have reflected that there are gaps in pre-exposure prophylactic alternatives in a variety of U.S. populations. Specifically, Adagio recently commissioned a consulting firm to conduct epidemiological analyses supplemented with physician interviews to quantify the size of the adult immunocompromised population in the United States. Their analysis suggested that there are an additional 10-12 million adults in the U.S. with impaired immune responses attributable to conditions such as uncontrolled Type 2 diabetes and autoimmune disorders such as severe multiple sclerosis, psoriasis, rheumatoid arthritis, and irritable bowel disease, bringing the total potential addressable immunocompromised population in the U.S. closer to 20 million patients. Extrapolated to European Union countries (whose population is approximately 1.5x that of the United States), there are an additional 30 million immunocompromised adults that could be candidates for PrEP therapy in the EU.</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populations identified include:</w:t>
      </w:r>
    </w:p>
    <w:p>
      <w:pPr>
        <w:spacing w:after="0" w:line="16" w:lineRule="exact"/>
        <w:rPr>
          <w:sz w:val="20"/>
          <w:szCs w:val="20"/>
          <w:color w:val="auto"/>
        </w:rPr>
      </w:pPr>
    </w:p>
    <w:p>
      <w:pPr>
        <w:ind w:left="1540" w:right="20" w:hanging="514"/>
        <w:spacing w:after="0" w:line="23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200 million “fully-vaccinated” adults, the 20% who will “definitely not” not seek a booster (200 million adults x .20 = 40 million adults);</w:t>
      </w:r>
    </w:p>
    <w:p>
      <w:pPr>
        <w:spacing w:after="0" w:line="1" w:lineRule="exact"/>
        <w:rPr>
          <w:rFonts w:ascii="Times New Roman" w:cs="Times New Roman" w:eastAsia="Times New Roman" w:hAnsi="Times New Roman"/>
          <w:sz w:val="18"/>
          <w:szCs w:val="18"/>
          <w:color w:val="auto"/>
        </w:rPr>
      </w:pPr>
    </w:p>
    <w:p>
      <w:pPr>
        <w:ind w:left="1540" w:hanging="514"/>
        <w:spacing w:after="0" w:line="23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200 million “fully-vaccinated” adults, the 1-2% who experienced side effects so severe they would not seek a booster (200 million adults x .015 = 3 million adults);</w:t>
      </w:r>
    </w:p>
    <w:p>
      <w:pPr>
        <w:spacing w:after="0" w:line="1" w:lineRule="exact"/>
        <w:rPr>
          <w:rFonts w:ascii="Times New Roman" w:cs="Times New Roman" w:eastAsia="Times New Roman" w:hAnsi="Times New Roman"/>
          <w:sz w:val="18"/>
          <w:szCs w:val="18"/>
          <w:color w:val="auto"/>
        </w:rPr>
      </w:pPr>
    </w:p>
    <w:p>
      <w:pPr>
        <w:ind w:left="1540" w:hanging="514"/>
        <w:spacing w:after="0" w:line="23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 of the unvaccinated adult population (15% of the U.S. population) who refuse to get vaccinated but who have indicated interest in neutralizing monoclonal antibody therapy (258 million adults x .15 x .20 = 7.7 million adults);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43"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48 million children &lt; 12 years old, the approximately 1% who are immunocompromised and/or have health conditions that predispose them to negative outcomes with COVID-19 (48 million children &lt; 12 x .01 = 480,000).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an EUA environment, the Healthcare Provider and Patient Fact Sheets specify the patient populations eligible to receive COVID-19 treatments.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 Sheets are largely driven by the CDC’s Guidelines, which are updated frequently.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Specifically, the CDC COVID-19 Treatment Guidelines prioritize the following risk groups for anti-SARS-CoV-2 therapy based on 4 key elements: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vaccination status, immune status, and clinical risk factors. The groups are listed by tier in descending order of priority: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Tier 1</w:t>
      </w:r>
    </w:p>
    <w:p>
      <w:pPr>
        <w:spacing w:after="0" w:line="16" w:lineRule="exact"/>
        <w:rPr>
          <w:sz w:val="20"/>
          <w:szCs w:val="20"/>
          <w:color w:val="auto"/>
        </w:rPr>
      </w:pPr>
    </w:p>
    <w:p>
      <w:pPr>
        <w:ind w:left="1540" w:hanging="514"/>
        <w:spacing w:after="0" w:line="234"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Immunocompromised individuals not expected to mount an adequate immune response to COVID-19 vaccination or SARS-CoV-2 infection due to their underlying conditions, regardless of vaccine status (see Immunocompromising Conditions below); or</w:t>
      </w:r>
    </w:p>
    <w:p>
      <w:pPr>
        <w:spacing w:after="0" w:line="1" w:lineRule="exact"/>
        <w:rPr>
          <w:rFonts w:ascii="Times New Roman" w:cs="Times New Roman" w:eastAsia="Times New Roman" w:hAnsi="Times New Roman"/>
          <w:sz w:val="18"/>
          <w:szCs w:val="18"/>
          <w:color w:val="auto"/>
        </w:rPr>
      </w:pPr>
    </w:p>
    <w:p>
      <w:pPr>
        <w:ind w:left="1540" w:hanging="514"/>
        <w:spacing w:after="0" w:line="234"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Unvaccinated individuals at the highest risk of severe disease (anyone aged ≥75 years or anyone aged ≥65 years with additional risk factors)</w:t>
      </w:r>
    </w:p>
    <w:p>
      <w:pPr>
        <w:ind w:left="520"/>
        <w:spacing w:after="0" w:line="236" w:lineRule="auto"/>
        <w:rPr>
          <w:sz w:val="20"/>
          <w:szCs w:val="20"/>
          <w:color w:val="auto"/>
        </w:rPr>
      </w:pPr>
      <w:r>
        <w:rPr>
          <w:rFonts w:ascii="Times New Roman" w:cs="Times New Roman" w:eastAsia="Times New Roman" w:hAnsi="Times New Roman"/>
          <w:sz w:val="18"/>
          <w:szCs w:val="18"/>
          <w:color w:val="auto"/>
        </w:rPr>
        <w:t>Tier 2</w:t>
      </w:r>
    </w:p>
    <w:p>
      <w:pPr>
        <w:ind w:left="1540" w:hanging="514"/>
        <w:spacing w:after="0" w:line="23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Unvaccinated individuals at risk of severe disease not included in Tier 1 (anyone aged ≥65 years or anyone aged &lt;65 years with clinical risk factors)</w:t>
      </w:r>
    </w:p>
    <w:p>
      <w:pPr>
        <w:ind w:left="520"/>
        <w:spacing w:after="0" w:line="236" w:lineRule="auto"/>
        <w:rPr>
          <w:sz w:val="20"/>
          <w:szCs w:val="20"/>
          <w:color w:val="auto"/>
        </w:rPr>
      </w:pPr>
      <w:r>
        <w:rPr>
          <w:rFonts w:ascii="Times New Roman" w:cs="Times New Roman" w:eastAsia="Times New Roman" w:hAnsi="Times New Roman"/>
          <w:sz w:val="18"/>
          <w:szCs w:val="18"/>
          <w:color w:val="auto"/>
        </w:rPr>
        <w:t>Tier 3</w:t>
      </w:r>
    </w:p>
    <w:p>
      <w:pPr>
        <w:ind w:left="1540" w:hanging="514"/>
        <w:spacing w:after="0" w:line="235"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Vaccinated individuals at high risk of severe disease (anyone aged ≥75 years or anyone aged ≥65 years with clinical risk factors)</w:t>
      </w:r>
    </w:p>
    <w:p>
      <w:pPr>
        <w:ind w:left="520"/>
        <w:spacing w:after="0" w:line="235" w:lineRule="auto"/>
        <w:rPr>
          <w:sz w:val="20"/>
          <w:szCs w:val="20"/>
          <w:color w:val="auto"/>
        </w:rPr>
      </w:pPr>
      <w:r>
        <w:rPr>
          <w:rFonts w:ascii="Times New Roman" w:cs="Times New Roman" w:eastAsia="Times New Roman" w:hAnsi="Times New Roman"/>
          <w:sz w:val="18"/>
          <w:szCs w:val="18"/>
          <w:color w:val="171717"/>
        </w:rPr>
        <w:t>Tier 4</w:t>
      </w:r>
    </w:p>
    <w:p>
      <w:pPr>
        <w:ind w:left="1540" w:hanging="514"/>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Vaccinated individuals at risk of severe disease (anyone aged ≥65 years or anyone aged &lt;65 with clinical risk factors)</w:t>
      </w:r>
    </w:p>
    <w:p>
      <w:pPr>
        <w:spacing w:after="0" w:line="2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2020, the CDC estimated that 45% of the U.S. adult population, or 115 million individuals, have one or more comorbidities associated with increased risk for complications from SARS-CoV-2 infections.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conducted several waves of market research with physicians that have reflected that there are gaps in COVID-19 treatment alternatives in a variety of U.S. patient populations, including:</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Infected patients concerned about “Long COVID” seeking to rapidly drive down their viral load; and</w:t>
      </w:r>
    </w:p>
    <w:p>
      <w:pPr>
        <w:spacing w:after="0" w:line="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Infected patients for whom quarantining is not an option due to impending travel, work obligations, or other reasons.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Post-Exposure Prophylaxis (PEP)</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an EUA environment, the Healthcare Provider and Patient Fact Sheets specify the patient populations eligible to receive COVID-19 post-exposure prophylaxis. For example, at the time casirivimab/imdevimab was available for distribution, its Healthcare Provider Fact Sheet stated it was authorized for use in:</w:t>
      </w:r>
    </w:p>
    <w:p>
      <w:pPr>
        <w:spacing w:after="0" w:line="69" w:lineRule="exact"/>
        <w:rPr>
          <w:sz w:val="20"/>
          <w:szCs w:val="20"/>
          <w:color w:val="auto"/>
        </w:rPr>
      </w:pPr>
    </w:p>
    <w:p>
      <w:pPr>
        <w:ind w:left="102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 and pediatric individuals (12 years of age and older weighing at least 40 kg) for post-exposure prophylaxis of COVID-19 in individuals who are at high risk for progression to severe COVID-19, including hospitalization or death, and are</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Not fully vaccinated; or</w:t>
      </w:r>
    </w:p>
    <w:p>
      <w:pPr>
        <w:ind w:left="1540" w:hanging="509"/>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oWho are not expected to mount an adequate immune response to complete SARS-CoV-2 vaccination (for example, individuals with immunocompromising conditions including those taking immunosuppressive medications); and</w:t>
      </w:r>
    </w:p>
    <w:p>
      <w:pPr>
        <w:spacing w:after="0" w:line="1" w:lineRule="exact"/>
        <w:rPr>
          <w:rFonts w:ascii="Times New Roman" w:cs="Times New Roman" w:eastAsia="Times New Roman" w:hAnsi="Times New Roman"/>
          <w:sz w:val="18"/>
          <w:szCs w:val="18"/>
          <w:color w:val="auto"/>
        </w:rPr>
      </w:pPr>
    </w:p>
    <w:p>
      <w:pPr>
        <w:ind w:left="2040" w:right="20" w:hanging="505"/>
        <w:spacing w:after="0" w:line="234" w:lineRule="auto"/>
        <w:tabs>
          <w:tab w:leader="none" w:pos="2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exposed to an individual infected with SARS-CoV-2 consistent with close contact criteria per Centers for Disease Control and Prevention (CDC); or</w:t>
      </w:r>
    </w:p>
    <w:p>
      <w:pPr>
        <w:spacing w:after="0" w:line="1" w:lineRule="exact"/>
        <w:rPr>
          <w:rFonts w:ascii="Times New Roman" w:cs="Times New Roman" w:eastAsia="Times New Roman" w:hAnsi="Times New Roman"/>
          <w:sz w:val="18"/>
          <w:szCs w:val="18"/>
          <w:color w:val="auto"/>
        </w:rPr>
      </w:pPr>
    </w:p>
    <w:p>
      <w:pPr>
        <w:ind w:left="2040" w:hanging="505"/>
        <w:spacing w:after="0" w:line="243" w:lineRule="auto"/>
        <w:tabs>
          <w:tab w:leader="none" w:pos="2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at high risk of exposure to an individual infected with SARS-CoV-2 because of occurrence of SARS-CoV-2 infection in other individuals in the same institutional setting (for example, nursing homes, prisons).</w:t>
      </w:r>
    </w:p>
    <w:p>
      <w:pPr>
        <w:spacing w:after="0" w:line="2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Since exposures are directly related to infections, the size of the PEP population is difficult to quantify at any given time. As a guide, the March 2022 casirivimab/imdevimab Physician Letter references the consideration of use in the following U.S. PEP populations:</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individuals in long-term care facilities</w:t>
      </w:r>
    </w:p>
    <w:p>
      <w:pPr>
        <w:spacing w:after="0" w:line="15"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incarcerated individuals</w:t>
      </w:r>
    </w:p>
    <w:p>
      <w:pPr>
        <w:ind w:left="1020" w:hanging="503"/>
        <w:spacing w:after="0" w:line="23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immunocompromised adults</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adults who are at high risk for progression to severe COVID-19</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conducted several waves of market research with physicians that have reflected that there are gaps in post-exposure prophylactic alternatives in a variety of U.S. patient populations, including: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Exposed patients concerned about “Long COVID” seeking to rapidly drive down their viral load in case they have COVID; and</w:t>
      </w:r>
    </w:p>
    <w:p>
      <w:pPr>
        <w:spacing w:after="0" w:line="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Exposed patients for whom quarantining is not an option due to impending travel, work obligations, or other reasons.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Pediatrics</w:t>
      </w:r>
    </w:p>
    <w:p>
      <w:pPr>
        <w:spacing w:after="0" w:line="10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Although children are at lower risk of developing severe COVID-19 compared to adults, a subset of children experience poor outcomes, including severe acute disease, such as the multisystem inflammatory syndrome, or MIS-C, and long-term sequelae of disease, also known as long COVID. Safe and effective therapies are needed to prevent severe disease and hospitalization in high-risk children as well as complications of COVID-19 such as MIS-C and long COVID. Similarly, although there is a paucity of data regarding the immune response to COVID-19 vaccines in children with moderate to severe immunocompromise, a subset of these children may have suboptimal immune responses to vaccines similar to adults with certain forms of immunocompromise and thus have the potential to benefit from a passive immune approach. Currently, the CDC recommends that children ages 5 to 11 with moderate to severe immunocompromise receive a 3 dose primary series of the Pfizer-BioNTech vaccine and that pre-teens and adolescents with moderate to severe immunocompromise receive a total of 4 doses of a mRNA COVID-19 vaccine.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Adintrevimab Attributes vs. Competitive mAbs</w:t>
      </w:r>
    </w:p>
    <w:p>
      <w:pPr>
        <w:spacing w:after="0" w:line="10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believe adintrevimab has a unique combination of attributes that positions adintrevimab to be a potentially differentiated mAb for both the prevention and treatment of COVID-19. There are no head-to-head trials between adintrevimab and any product, and therefore no safety or efficacy comparisons can be made.</w:t>
      </w:r>
    </w:p>
    <w:p>
      <w:pPr>
        <w:spacing w:after="0" w:line="17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Reducing Risk of Clinical Resistance. </w:t>
      </w:r>
      <w:r>
        <w:rPr>
          <w:rFonts w:ascii="Times New Roman" w:cs="Times New Roman" w:eastAsia="Times New Roman" w:hAnsi="Times New Roman"/>
          <w:sz w:val="18"/>
          <w:szCs w:val="18"/>
          <w:color w:val="auto"/>
        </w:rPr>
        <w:t>Many SARS-CoV-2 variants of concern and variants of interest likely emerged in response to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pressure exerted on variable amino acid residues such as K417 and E484, which are targeted by public antibodies commonly induced by natural infection and vaccination. Because most of the mAbs currently in development were isolated from COVID-19 survivors and belong to one of the three classes of public RBD-directed antibodies, many of the clinical-stage mAbs show significant loss of potency against multiple variants of concern. For example, casirivimab, bamlanivimab, etesevimab and regandivimab all show significant loss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potency against the Beta (B1.351), Gamma (P.1), Iota (B.1.526), Epsilon (B.1.429), and Omicron (B.1.529) variants, which contain mutations at the key amino acid residues recognized by these antibodies. In contrast, the adintrevimab epitope is not readily targeted by endogenous antibodies, thereby potentially increasing the barrier to circulating viral escape. In support of this notion, adintrevimab demonstrates potent neutralizing activity against many SARS-CoV-2 variants that escape recognition by certain clinical-stage or EUA authorized mAbs, including the Alpha (B.1.1.7), Beta (B1.351), Gamma (P.1) and Delta (B.1.617.2) variants of concern. Adintrevimab also displays neutralizing activity against the Omicron BA.1 sub-variant, albeit with reduced potency relative to earlier variants, and no activity against the BA.2 sub-variant.</w:t>
      </w:r>
    </w:p>
    <w:p>
      <w:pPr>
        <w:spacing w:after="0" w:line="18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Half-Life Extension. </w:t>
      </w:r>
      <w:r>
        <w:rPr>
          <w:rFonts w:ascii="Times New Roman" w:cs="Times New Roman" w:eastAsia="Times New Roman" w:hAnsi="Times New Roman"/>
          <w:sz w:val="18"/>
          <w:szCs w:val="18"/>
          <w:color w:val="auto"/>
        </w:rPr>
        <w:t>Adintrevimab was engineered from its parent antibody, ADG2, with a modification in the Fc region that results in enhanced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binding to FcRn at low pH levels. Enhanced binding to FcRn receptors at low pH levels improves FcRn-mediated antibody recycling, leading to an extended serum half-life in humans. The prolonged half-life for adintrevimab is supported by preliminary pharmacokinetic data from the Phase 1 healthy volunteer study. Adintrevimab has the potential to provide durable protection by virtue of its potency and half-life extension, depending on the variant.</w:t>
      </w:r>
    </w:p>
    <w:p>
      <w:pPr>
        <w:spacing w:after="0" w:line="17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Effector Function. </w:t>
      </w:r>
      <w:r>
        <w:rPr>
          <w:rFonts w:ascii="Times New Roman" w:cs="Times New Roman" w:eastAsia="Times New Roman" w:hAnsi="Times New Roman"/>
          <w:sz w:val="18"/>
          <w:szCs w:val="18"/>
          <w:color w:val="auto"/>
        </w:rPr>
        <w:t>Antibodies with Fc-mediated immune effector function summon immune cells and other immune mediators to the site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infection to help destroy infected cells and clear the infection.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for other SARS-CoV-2 mAbs also suggest that Fc effector functions help to modulate protective immune responses. Notably, tixagevimab/cilgavimab includes Fc modifications that reduce innate immune effector functions. In contrast, adintrevimab was engineered to retain Fc-mediated innate immune effector activity, including ADCC and ADCP.</w:t>
      </w:r>
    </w:p>
    <w:p>
      <w:pPr>
        <w:spacing w:after="0" w:line="1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Potency. </w:t>
      </w:r>
      <w:r>
        <w:rPr>
          <w:rFonts w:ascii="Times New Roman" w:cs="Times New Roman" w:eastAsia="Times New Roman" w:hAnsi="Times New Roman"/>
          <w:sz w:val="18"/>
          <w:szCs w:val="18"/>
          <w:color w:val="auto"/>
        </w:rPr>
        <w:t>Adintrevimab displays highly potent neutralizing activity (defined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equal to 0.01 mcg/mL or less) against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majority of variants of concern and variants of interest, including Alpha (B.1.1.7), Beta (B1.351), Gamma (P.1) and Delta (B.1.617.2). Adintrevimab also demonstrates neutralizing activity against the Omicron BA.1 and BA.1.1 variants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8"/>
          <w:szCs w:val="18"/>
          <w:color w:val="auto"/>
        </w:rPr>
        <w:t>s of approximately 1.0 mcg/mL. Adintrevimab did not show detectable neutralizing activity against the BA.2 variant in authentic virus neutralization assays. Importantly, when combining the overall neutralization breadth, including additional SARS-like viruses, and potency profile, adintrevimab is potentially differentiated from almost all clinical-stage and EUA authorized SARS-CoV-2-specific antibodies.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Convenient Dosing Regimen. </w:t>
      </w:r>
      <w:r>
        <w:rPr>
          <w:rFonts w:ascii="Times New Roman" w:cs="Times New Roman" w:eastAsia="Times New Roman" w:hAnsi="Times New Roman"/>
          <w:sz w:val="18"/>
          <w:szCs w:val="18"/>
          <w:color w:val="auto"/>
        </w:rPr>
        <w:t>Intravenous administration of currently available COVID-19 mAbs requires specialized facilities that are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equipped to accommodate IV dosing in actively infected patients, which may lead to a delay in administration. Given the potency, low viscosity and high concentration formulation of adintrevimab, we are developing adintrevimab as an IM injection for both the prevention and treatment of COVID-19.</w:t>
      </w:r>
    </w:p>
    <w:p>
      <w:pPr>
        <w:spacing w:after="0" w:line="1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Breadth. </w:t>
      </w:r>
      <w:r>
        <w:rPr>
          <w:rFonts w:ascii="Times New Roman" w:cs="Times New Roman" w:eastAsia="Times New Roman" w:hAnsi="Times New Roman"/>
          <w:sz w:val="18"/>
          <w:szCs w:val="18"/>
          <w:color w:val="auto"/>
        </w:rPr>
        <w:t>Adintrevimab has demonstrated broad neutralizing activity against most SARS-CoV-2 variants and other SARS-like viruses that infect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cells through the same hACE2 receptor pathway as SARS-CoV-2. To our knowledge, the only other mAb in late-stage clinical development that has demonstrated activity against additional SARS-like viruses is sotrovimab, but with lower potency against most variants compared to adintrevimab.</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Adintrevimab Attributes vs. Antivirals</w:t>
      </w:r>
    </w:p>
    <w:p>
      <w:pPr>
        <w:spacing w:after="0" w:line="10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believe adintrevimab has the potential to address certain limitations of currently available COVID antivirals for the treatment of COVID-19, including inconvenient administration and potential for lack of compliance, drug-drug interactions and restrictions of use in certain patient populations. Oral and IV antivirals require patients to take doses over several days, whereas adintrevimab has the potential to provide clinical benefit with a single dose. Oral antivirals require the patient to receive, fill and pay for the prescription via a retail or specialty pharmacy, whereas adintrevimab is expected to be administered in a physician’s office or urgent care setting, minimizing delays in administration of therapy. As a mAb, adintrevimab has low potential for drug-drug interactions and pharmacokinetics are not anticipated to be impacted by patient factors such as renal or hepatic impairment. There are no head-to-head trials between adintrevimab and any product, and therefore no safety or efficacy comparisons can be made.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Go-to-Market Strategy</w:t>
      </w:r>
    </w:p>
    <w:p>
      <w:pPr>
        <w:spacing w:after="0" w:line="10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believe the commercialization of adintrevimab, if authorized or approved, will involve direct sales to governments, including relevant health agencies and national health systems, and in the United States, health insurers, integrated delivery networks and large employers. We intend to establish our own commercial organization in the United States, where we believe a focused commercial infrastructure will be able to successfully commercialize adintrevimab under a regulatory authorization and/or approval, and we are considering commercial options in Europe and beyond. We have begun discussions with some of these entities and will continue to do so as we progress adintrevimab through a potential EUA and commercialization. In certain markets, such as Latin America, Asia-Pacific, including China, and Middle Eastern and African countries, we intend to commercialize adintrevimab through partnerships.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Product Candidates Beyond Adintrevimab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5760720" cy="256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07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illustrated in the graphic above, we are developing additional product candidates that target conserved epitopes both within and outside of the RBD for the prevention and treatment of COVID-19 and have initiated discovery programs focused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on preventative agents for additional coronaviruses as well as seasonal and pandemic influenza, which are discussed in greater detail below. We have discontinued development of ADG10 due its less favorable neutralization profile compared to adintrevimab.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Programs in Discovery</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envision additional product development opportunities emerging from our coronavirus discovery efforts for the prevention and treatment of COVID-19. We believe the discovery of additional broadly neutralizing antibodies that target new viral epitopes both within and outside the RBD will ensure long-lasting product activity for COVID-19 as new variants of SARS-CoV-2 arise as well as for future outbreaks of disease that may emerge from additional SARS-like viruses with pandemic potential.</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believe that the robust antibody discovery, engineering, and development capabilities that have enabled our expedited advancement of adintrevimab into clinical trials may also be used to develop preventative or therapeutic options for other infectious diseases, such as seasonal and pandemic influenza. Broadly neutralizing antibodies with extended half-life have the potential to be used directly for the prevention of infection and disease. We have formulated a strategy to discover and engineer potent, broadly neutralizing antibodies targeting certain regions of the influenza virus surface protein, with the goal of generating product candidates with the potential to provide protection against both seasonal and pandemic influenza.</w:t>
      </w:r>
    </w:p>
    <w:p>
      <w:pPr>
        <w:spacing w:after="0" w:line="1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the epitopes targeted by broadly neutralizing antibodies can be used as templates for the rational design of vaccine immunogens that elicit similar types of antibodies. In collaboration with an academic partner, we have initiated work on the design of coronavirus vaccine antigens that focus the antibody response on highly conserved epitopes defined by adintrevimab and other broadly neutralizing antibodies discovered by us and others.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do not currently own or operate any manufacturing facilities and have invested significant resources to develop a commercial scale manufacturing process for adintrevimab in partnership with our contract manufacturer partner, WuXi, with whom we have been working since our inception. With WuXi, we have manufactured drug substance supply at commercial scale in the planned commercial launch facility. Adintrevimab drug substance is produced using an industry standard mAb manufacturing process including a recombinant Chinese Hamster Ovary, or CHO, commercial cell line, fed-batch suspension cell culture and a chromatography column-based purification process. We have also manufactured drug product supply at commercial scale in the planned commercial launch facility at WuXi. The drug product manufacture uses an industry standard sterile liquid drug product manufacturing process and formulation that enables IM delivery of adintrevimab.</w:t>
      </w:r>
    </w:p>
    <w:p>
      <w:pPr>
        <w:spacing w:after="0" w:line="1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have established long-term master services agreements with WuXi, pursuant to which we purchase adintrevimab drug substance and drug product for both clinical and commercial supply. The master services agreements are also applicable to any future clinical candidates identified for development, should we elect to use WuXi for development and supply of those candidates. We may stop placing orders under the master services agreements at any time, provided that we fulfill our obligations to make payment for, or pay cancellation-related costs related to,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w:t>
      </w:r>
    </w:p>
    <w:p>
      <w:pPr>
        <w:spacing w:after="0" w:line="1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have also established a cell line license agreement with WuXi that allows for the transfer and use of the commercial cell line currently used in the manufacture of adintrevimab drug substance at WuXi. This license enables cell line and manufacturing process transfer to additional contract manufacturers. We are obligated to pay WuXi royalties in the range of 0.3% to 0.5% based on our net sales of any products covered by the cell line license agreement, unless we use WuXi to manufacture all of our commercial supplies, and we may buy out our royalty obligations by making a one-time payment of $15.0 million to WuXi at our option. Royalties are due on a licensed product-by-licensed product basis commencing on the date of the first commercial sale of the applicable product and continue for so long as we commercialize licensed products or until we exercise our option to buy out the royalty obligations.</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expect to continue to devote significant resources to the manufacture of adintrevimab, and we do not expect any meaningful impediments to executing our current supply plan to provide under EUA or for commercial use. However, within the context of the global pandemic, sufficient capacity for commercial scale manufacturing has been constrained on a worldwide basis. While any reduction or halt in the supply of adintrevimab drug substance or drug product could limit our ability to supply product until a replacement contract manufacturer is found and qualified, we believe that we have sufficient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jc w:val="both"/>
        <w:spacing w:after="0" w:line="242" w:lineRule="auto"/>
        <w:rPr>
          <w:sz w:val="20"/>
          <w:szCs w:val="20"/>
          <w:color w:val="auto"/>
        </w:rPr>
      </w:pPr>
      <w:r>
        <w:rPr>
          <w:rFonts w:ascii="Times New Roman" w:cs="Times New Roman" w:eastAsia="Times New Roman" w:hAnsi="Times New Roman"/>
          <w:sz w:val="18"/>
          <w:szCs w:val="18"/>
          <w:color w:val="auto"/>
        </w:rPr>
        <w:t>supply of adintrevimab to support our clinical trial needs and to fulfill our initial supply needs upon receipt of an EUA or BLA approval, if granted. We will also continue to apply mitigation strategies to ensure minimal disruption to our manufacturing supply due to global raw material supply chain shortages. We continue to identify additional drug substance and drug product contract manufacturers to ensure that we will have sufficient capacity and redundancy within our supply chain to avoid product shortages or product delays in the future, This continued surveillance of drug substance and drug product contract manufacturer capabilities applies to our adintrevimab program as well as to our clinical pipeline candidates.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Adimab</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were founded in June 2020 by Adimab to focus initially on the development of antibodies for both the prevention and treatment of COVID-19. Adimab is a leading provider of antibody discovery, engineering and optimization services and has established an extensive presence in the drug discovery industry.</w:t>
      </w:r>
    </w:p>
    <w:p>
      <w:pPr>
        <w:spacing w:after="0" w:line="17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are party to an assignment and license agreement with Adimab under which Adimab assigned to us its rights to all existing coronavirus antibodies controlled by it and their derivatives, including adintrevimab. See “—Licensing, Collaborations and Partnerships—Assignment and License Agreement with Adimab.” In addition,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Adagio, Adagio will have the exclusive option to require Adimab to assign us its rights in any such antibody and to grant us certain licenses. See “—Licensing, Collaborations and Partnerships—Collaboration Agreement with Adimab.”</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Collaborations and Partnerships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0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with Adimab, or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1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17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Through December 31, 2021, we had made aggregate milestone payments of $7.5 million to Adimab under the Adimab Assignment Agreement.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18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jc w:val="both"/>
        <w:spacing w:after="0" w:line="241" w:lineRule="auto"/>
        <w:rPr>
          <w:sz w:val="20"/>
          <w:szCs w:val="20"/>
          <w:color w:val="auto"/>
        </w:rPr>
      </w:pPr>
      <w:r>
        <w:rPr>
          <w:rFonts w:ascii="Times New Roman" w:cs="Times New Roman" w:eastAsia="Times New Roman" w:hAnsi="Times New Roman"/>
          <w:sz w:val="18"/>
          <w:szCs w:val="18"/>
          <w:color w:val="auto"/>
        </w:rPr>
        <w:t>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1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Through December 31, 2021, we had made aggregate payments of $9.0 million to Adimab under the Adimab Assignment Agreement, inclusive of the milestone payments.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or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19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17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Under the agreement, we are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 For so long as we are paying such quarterly fee (or earlier (i) if we experience a change of control after the third anniversary of the Adimab Collaboration Agreement or (ii) Adimab owns less than a specified percentage of our equity), Adimab and its affiliates will not assist or direct certain third parties to discover or optimize antibodies that are intended to bind to coronaviruses or influenza viruses with limited exception.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9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jc w:val="both"/>
        <w:ind w:firstLine="509"/>
        <w:spacing w:after="0"/>
        <w:rPr>
          <w:sz w:val="20"/>
          <w:szCs w:val="20"/>
          <w:color w:val="auto"/>
        </w:rPr>
      </w:pPr>
      <w:r>
        <w:rPr>
          <w:rFonts w:ascii="Times New Roman" w:cs="Times New Roman" w:eastAsia="Times New Roman" w:hAnsi="Times New Roman"/>
          <w:sz w:val="18"/>
          <w:szCs w:val="18"/>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 (ii) practicing, licensing, assigning, granting options to, or otherwise covenanting away rights to the foregoing products, and (iii) licensing or otherwise granting covenants not to sue third parties for the foregoing products.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December 31, 2021, we had made aggregate payments of $2.6 million to Adimab under the Adimab Collaboration Agreement.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Scripps Research Institute</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August 2021, we entered into a research collaboration and license agreement, or the Research Agreement, with The Scripps Research Institute, or TSRI. Under the terms of the Research Agreement, TSRI will perform research activities to identify vaccine candidates for the prevention, diagnosis or treatment of influenza or beta coronaviruses, or the Research Program, which is expected to be completed by August 2023. As of December 31, 2021, we had paid TSRI an aggregate of $1.5 million in funding, which is credited against research funding payable by the Company under the Research Agreement. Additionally, we are obligated to make specified payments to TSRI to the extent that TSRI complies with certain exclusivity covenants.</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Pursuant to the terms of the Research Agreement, we were granted an exclusive option to acquire an exclusive, worldwide, sublicensable license under TSRI’s rights in certain patent rights and know-how for the exploitation of any vaccine product containing, comprised of, or derived from, any vaccine candidate identified or developed under the Research Agreement, subject to certain exceptions, conditions and reserved rights. As of December 31, 2021, we have not exercised this option.</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To the extent any licensed product covered by the Research Agreement is commercialized, the Company is obligated to pay TSRI royalties of a low single-digit percentage on a product-by-product and country-by-country basis based on a percentage of net sales, subject to reduction and floor. Royalties are payable for each product on a country-by-country basis through the later of (i) the expiration of the last valid claim of any patent covering such product in such country or (ii) 12 years from the first commercial sale of such product. The Research Agreement will expire when no further royalties are due to TSRI.</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 Line License Agreement with WuXi</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party to a Cell Line License Agreement with WuXi, entered into as of December 2, 2020. See “Management’s Discussion and Analysis of Financial Condition and Results of Operations—Contractual Obligations and Commitments” and “—Manufacturing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Biocon Biologics Limited</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July 2021, we entered into a license agreement with Biocon to combat the ongoing COVID-19 crisis in southern Asia. Under the license agreement, we granted Biocon exclusive rights to manufacture and commercialize an antibody treatment in India and additional select emerging markets based on the commercial process developed for adintrevimab. As part of the agreement, Biocon will be granted access to the data from our ongoing Phase 2/3 adintrevimab clinical trials and access to our anticipated EUA package, as well as regulatory submissions, to support approval or emergency authorization in India and other select emerging markets.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jc w:val="both"/>
        <w:spacing w:after="0" w:line="241" w:lineRule="auto"/>
        <w:rPr>
          <w:sz w:val="20"/>
          <w:szCs w:val="20"/>
          <w:color w:val="auto"/>
        </w:rPr>
      </w:pPr>
      <w:r>
        <w:rPr>
          <w:rFonts w:ascii="Times New Roman" w:cs="Times New Roman" w:eastAsia="Times New Roman" w:hAnsi="Times New Roman"/>
          <w:sz w:val="18"/>
          <w:szCs w:val="18"/>
          <w:color w:val="auto"/>
        </w:rPr>
        <w:t>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1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antibody and small molecule antivirals targeting COVID-19. Companies that have authorized or late-stage COVID-19 antibody-based programs include AstraZeneca plc, Brii Biosciences Limited, Celltrion Healthcare Co, Ltd., Eli Lilly and Co, Regeneron Pharmaceuticals, Inc. in collaboration with Roche Pharmaceuticals, SAB Biotherapeutics, Inc. and Vir Biotechnology, Inc. in collaboration with GlaxoSmithKline. In addition, companies that have approved or authorized antiviral programs for the treatment of COVID-19 include Merck and Co., Inc. (oral), Pfizer Pharmaceuticals (oral), and Gilead (IV). Beyond antibody and small molecule antiviral treatments, we also face competition from SARS-CoV-2 vaccines that are either available under EUA, approved or in development for the prevention of COVID-19.</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obtained EUAs from the FDA for the treatment of mild to moderate COVID-19 in high risk patients and the prevention of COVID-19 in immunocompromised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proprietary protection in the United States and in other countries for commercially important technology, current and future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Our pending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18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antibody field that may be important for the development of our business. We also intend to seek patent protection or rely upon trade secret rights to protect other technologies that may be used to discover and validate targets, as well as to manufacture and develop novel antibody products. Additional regulatory protection may also be afforded through data exclusivity, market exclusivity and patent term extensions where available.</w:t>
      </w:r>
    </w:p>
    <w:p>
      <w:pPr>
        <w:spacing w:after="0" w:line="1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Adintrevimab and ADG10</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As of March 30, 2022, we own one patent family for which we have one PCT patent application (WO2021/207597, published October 14, 2021), two issued U.S. patents (U.S. 11,192,940, issued December 7, 2021 and U.S. 11,220,536, issued January 11, 2022), one allowed U.S. patent application (U.S. Publication 2021/0388067, published December 16, 2021), one pending U.S. non-provisional patent application, and two foreign patent applications in Argentina and Taiwan. This patent family is directed to broadly neutralizing anti-coronavirus antibodies, including ADG20 (adintrevimab) and ADG10, and uses thereof. These patents and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As of March 30, 2022, we own a second patent family for which we have filed one PCT patent application and two foreign patent applications in Argentina and Taiwan. This patent family is directed to additional broadly neutralizing anti-coronavirus antibodies, combination therapies, and uses thereof. These patent applications and any additional U.S. non-provisional patent applications or foreign patent applications timely filed based upon such applications, if issued, are expected to expire in 2042, without taking into account any possible patent term adjustment or extension.</w:t>
      </w:r>
    </w:p>
    <w:p>
      <w:pPr>
        <w:spacing w:after="0" w:line="18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As of March 30, 2022, we own four additional patent families for which we have filed provisional U.S. patent applications. The first patent family is directed to methods of treating and preventing disease based on data obtained from adintrevimab clinical trials and includes eighteen U.S. provisional patent applications. The second patent family is directed to adintrevimab formulations, combination therapies, and uses thereof and includes one U.S. provisional patent application. The third patent family is directed to additional broadly neutralizing anti-coronavirus antibodies, combination therapies, and uses thereof and includes two U.S. provisional patent applications. Any U.S. non-provisional patent applications timely filed based upon these U.S. provisional patent applications, if issued, are expected to expire in 2042, without taking into account any possible patent term adjustment or extension. The fourth patent family is directed to methods of treating or preventing coronavirus infection using anti-coronavirus antibodies, and any U.S. non-provisional patent applications timely filed based on this U.S. provisional patent application, if issued, is expected to expire in 2043, without taking into account any possible patent term adjustment or extension.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Proprietary Information</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the United States, biologic products are licensed by the FDA for marketing under the Public Health Service Act, or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Development Process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 product may be marketed in the United States generally involves the following:</w:t>
      </w:r>
    </w:p>
    <w:p>
      <w:pPr>
        <w:spacing w:after="0" w:line="104" w:lineRule="exact"/>
        <w:rPr>
          <w:sz w:val="20"/>
          <w:szCs w:val="20"/>
          <w:color w:val="auto"/>
        </w:rPr>
      </w:pPr>
    </w:p>
    <w:p>
      <w:pPr>
        <w:ind w:left="1140" w:hanging="504"/>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clinical trial material in accordance with Good Manufacturing Practices, or GMPs;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Application, or IND, which must become effective before human clinical trials may begin;</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reviewing each clinical site before each clinical trial may be initiated;</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or GCPs, and any additional requirements for the protection of human research subjects and their health information to establish the safety, purity, potency and efficacy of the proposed biologic product for its intended use;</w:t>
      </w:r>
    </w:p>
    <w:p>
      <w:pPr>
        <w:spacing w:after="0" w:line="68"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substantive evidence of safety, purity, potency, and efficacy from results of nonclinical testing and clinical trials;</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prior to BLA approval of the manufacturing facility or facilities where the biologic product is produced to assess compliance with GMPs to assure that the facilities, methods and controls are adequate to preserve the biologic’s identity, strength, quality and purity;</w:t>
      </w:r>
    </w:p>
    <w:p>
      <w:pPr>
        <w:spacing w:after="0" w:line="68"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BLA;</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including a vote by external committee members;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and payment of associated user fees, when applicable; and</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7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8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IRBs are charged with protecting the welfare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3" w:name="page34"/>
    <w:bookmarkEnd w:id="33"/>
    <w:p>
      <w:pPr>
        <w:jc w:val="both"/>
        <w:spacing w:after="0" w:line="245" w:lineRule="auto"/>
        <w:rPr>
          <w:sz w:val="20"/>
          <w:szCs w:val="20"/>
          <w:color w:val="auto"/>
        </w:rPr>
      </w:pPr>
      <w:r>
        <w:rPr>
          <w:rFonts w:ascii="Times New Roman" w:cs="Times New Roman" w:eastAsia="Times New Roman" w:hAnsi="Times New Roman"/>
          <w:sz w:val="18"/>
          <w:szCs w:val="18"/>
          <w:color w:val="auto"/>
        </w:rPr>
        <w:t>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00" w:lineRule="exact"/>
        <w:rPr>
          <w:sz w:val="20"/>
          <w:szCs w:val="20"/>
          <w:color w:val="auto"/>
        </w:rPr>
      </w:pPr>
    </w:p>
    <w:p>
      <w:pPr>
        <w:ind w:left="520" w:right="20" w:hanging="512"/>
        <w:spacing w:after="0" w:line="27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biologic product is initially introduced into healthy human subjects and tested for safety. In the case of some biologic products for rare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diseases, the initial human testing is often conducted in patients.</w:t>
      </w:r>
    </w:p>
    <w:p>
      <w:pPr>
        <w:spacing w:after="0" w:line="45" w:lineRule="exact"/>
        <w:rPr>
          <w:rFonts w:ascii="Times New Roman" w:cs="Times New Roman" w:eastAsia="Times New Roman" w:hAnsi="Times New Roman"/>
          <w:sz w:val="18"/>
          <w:szCs w:val="18"/>
          <w:color w:val="auto"/>
        </w:rPr>
      </w:pPr>
    </w:p>
    <w:p>
      <w:pPr>
        <w:ind w:left="520" w:hanging="512"/>
        <w:spacing w:after="0" w:line="27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biologic product is evaluated in a limited patient population to identify possible adverse effects and safety risks, to preliminarily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the efficacy of the biologic product for specific targeted diseases and to determine dosage tolerance, optimal dosage and dosing schedule.</w:t>
      </w:r>
    </w:p>
    <w:p>
      <w:pPr>
        <w:spacing w:after="0" w:line="45" w:lineRule="exact"/>
        <w:rPr>
          <w:rFonts w:ascii="Times New Roman" w:cs="Times New Roman" w:eastAsia="Times New Roman" w:hAnsi="Times New Roman"/>
          <w:sz w:val="18"/>
          <w:szCs w:val="18"/>
          <w:color w:val="auto"/>
        </w:rPr>
      </w:pPr>
    </w:p>
    <w:p>
      <w:pPr>
        <w:jc w:val="both"/>
        <w:ind w:left="520" w:hanging="512"/>
        <w:spacing w:after="0" w:line="24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risk/benefit ratio of the biologic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Under the Prescription Drug User Fee Act, as amended, or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17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has an acceptable purity profile and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9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Before approving a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One of the performance goals agreed to by the FDA under the PDUFA is to review and render a decision on standard BLAs within 10 months of filing and priority BLAs within six months of filing. The FDA does not always meet its PDUFA goal dates for standard and priority BLAs, and its review goals are subject to change from time to time. The review process and the PDUFA goal date may be extended by three months if the FDA requests or if the BLA sponsor provides additional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information or clarification regarding information already provided in the submission within the three months preceding the PDUFA goal date.</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Emergency Use Authorization (EUA)</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Secretary of the Department of Health and Human Services, or HHS, the FDA has the authority to allow unapproved medical products or unapproved uses of cleared or approved medical products to be used to diagnose, treat or prevent serious or life-threatening diseases or conditions caused by chemical, biological, radiological or nuclear warfare threat agents when there are no adequate, approved and available alternatives.</w:t>
      </w:r>
    </w:p>
    <w:p>
      <w:pPr>
        <w:spacing w:after="0" w:line="1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 xml:space="preserve">Under this authority, the FDA may issue an EUA if the following four statutory criteria have been met: (1) a serious or life-threatening condition exists; (2) evidence of effectiveness exists; (3) a risk-benefit analysis shows that the benefits of the product outweigh the risks; and (4) no other alternatives exist for diagnosing, preventing or treating the disease or condition.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data from animal models,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as well as the quality and quantity of the available evidence.</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6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On January 31, 2020, the Secretary of HHS issued a declaration of a public health emergency related to COVID-19. On February 4, 2020, HHS determined that COVID-19 represents a public health emergency that has a significant potential to affect national security or the health and security of U.S. citizens living abroad and, subsequently, declared on March 24, 2020 that circumstances exist to justify the authorization of emergency use of certain medical products, during the COVID-19 pandemic, subject to the terms of any authorization as issued by the FDA. The declaration of the Secretary of HHS has been further updated, and the FDA has issued numerous guidances to sponsors seeking to obtain EUAs to diagnose and treat COVID-19.</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71"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Following approval, the manufacturing facilities are subject to biennial inspections by the FDA, and such inspections may result in an issuance of FDA Form 483 deficiency observations, an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jc w:val="both"/>
        <w:ind w:firstLine="509"/>
        <w:spacing w:after="0" w:line="225" w:lineRule="auto"/>
        <w:rPr>
          <w:sz w:val="20"/>
          <w:szCs w:val="20"/>
          <w:color w:val="auto"/>
        </w:rPr>
      </w:pPr>
      <w:r>
        <w:rPr>
          <w:rFonts w:ascii="Times New Roman" w:cs="Times New Roman" w:eastAsia="Times New Roman" w:hAnsi="Times New Roman"/>
          <w:sz w:val="18"/>
          <w:szCs w:val="18"/>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176"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applicable regulatory requirements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74"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and Approval Programs</w:t>
      </w:r>
    </w:p>
    <w:p>
      <w:pPr>
        <w:spacing w:after="0" w:line="94"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9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rather than the standard goal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7" w:name="page38"/>
    <w:bookmarkEnd w:id="37"/>
    <w:p>
      <w:pPr>
        <w:jc w:val="both"/>
        <w:ind w:firstLine="509"/>
        <w:spacing w:after="0"/>
        <w:rPr>
          <w:sz w:val="20"/>
          <w:szCs w:val="20"/>
          <w:color w:val="auto"/>
        </w:rPr>
      </w:pPr>
      <w:r>
        <w:rPr>
          <w:rFonts w:ascii="Times New Roman" w:cs="Times New Roman" w:eastAsia="Times New Roman" w:hAnsi="Times New Roman"/>
          <w:sz w:val="18"/>
          <w:szCs w:val="18"/>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The Biologics Price Competition and Innovation Act of 2009, or BPCIA, which was enacted as part of the Patient Protection and Affordable Care Act of 2010, as amended by the Health Care and Education Reconciliation Act of 2010, or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studies and generally at least one clinical study, absent a waiver from the Secretary of the Department of Health and Human Services, or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United States</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United States have a similar process that requires the submission of a clinical study application much like the IND prior to the commencement of human clinical studies.</w:t>
      </w:r>
    </w:p>
    <w:p>
      <w:pPr>
        <w:spacing w:after="0" w:line="16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In the European Union, for example, a clinical trial application, or CTA, must be submitted to each country’s national health authority and an independent ethics committee, much like the FDA and the IRB, 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GCP and the applicable regulatory requirements and the ethical principles that have their origin in the Declaration of Helsinki. The way clinical trials are conducted in the European Union will undergo a major change when the Clinical Trial Regulation (Regulation (EU) No 536/2014) comes into application, probably in 2022. The Regulation harmonizes the assessment and supervision processes for clinical trials throughout the European Union via a Clinical Trials Information System, which will contain a centralized European Union portal and database.</w:t>
      </w:r>
    </w:p>
    <w:p>
      <w:pPr>
        <w:spacing w:after="0" w:line="18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Innovative products that target an unmet medical need may be eligible for a number of expedited development and review programs in the European Union, such as The Priority Medicines, or PRIME, scheme, which provides incentives similar to the breakthrough therapy designation in the United States. Such products are generally eligible for accelerated assessment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8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18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United Kingdom left the European Union on January 31, 2020, following which existing EU medicinal product legislation continued to apply in the United Kingdom during the transition period under the terms of the EU-UK Withdrawal Agreement. A transition period, which ended on December 31, 2020, maintained the United Kingdom’s access to the EU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or TCA, that became effective on January 1, 2021.</w:t>
      </w:r>
    </w:p>
    <w:p>
      <w:pPr>
        <w:spacing w:after="0" w:line="1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As a result of the Northern Ireland Protocol, different rules apply in Northern Ireland than in England, Wales and Scotland, or collectively Great Britain. In general, Northern Ireland continues to follow the EU regulatory regime, but its national medicines and medical devices authority remains the Medicines and Healthcare Products Regulatory Agency, or MHRA. Following the effectiveness of the Human Medicines (Amendment etc.) (EU Exit) Regulations 2019 on January 31, 2020, the UK regulatory regime for clinical trials, marketing authorizations, importing, exporting and pharmacovigilance largely mirrors that of the European Union.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9" w:name="page40"/>
    <w:bookmarkEnd w:id="39"/>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7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Significant uncertainty exits as to obtaining and maintaining coverage and adequate reimbursement for our product candidates, including adintrevimab,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93"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74"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173"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coverage and adequate reimbursement may not be available with respect to the treatments in which our product candidates, if approved, are used under any foreign reimbursement system.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94"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Sales of our product candidate, if authorized or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64" w:lineRule="exact"/>
        <w:rPr>
          <w:sz w:val="20"/>
          <w:szCs w:val="20"/>
          <w:color w:val="auto"/>
        </w:rPr>
      </w:pPr>
    </w:p>
    <w:p>
      <w:pPr>
        <w:jc w:val="both"/>
        <w:ind w:left="1140" w:hanging="504"/>
        <w:spacing w:after="0" w:line="23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63" w:lineRule="exact"/>
        <w:rPr>
          <w:rFonts w:ascii="Times New Roman" w:cs="Times New Roman" w:eastAsia="Times New Roman" w:hAnsi="Times New Roman"/>
          <w:sz w:val="18"/>
          <w:szCs w:val="18"/>
          <w:color w:val="auto"/>
        </w:rPr>
      </w:pPr>
    </w:p>
    <w:p>
      <w:pPr>
        <w:jc w:val="both"/>
        <w:ind w:left="1140" w:right="20" w:hanging="504"/>
        <w:spacing w:after="0" w:line="23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64" w:lineRule="exact"/>
        <w:rPr>
          <w:rFonts w:ascii="Times New Roman" w:cs="Times New Roman" w:eastAsia="Times New Roman" w:hAnsi="Times New Roman"/>
          <w:sz w:val="18"/>
          <w:szCs w:val="18"/>
          <w:color w:val="auto"/>
        </w:rPr>
      </w:pPr>
    </w:p>
    <w:p>
      <w:pPr>
        <w:jc w:val="both"/>
        <w:ind w:left="1140" w:hanging="504"/>
        <w:spacing w:after="0" w:line="23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63" w:lineRule="exact"/>
        <w:rPr>
          <w:rFonts w:ascii="Times New Roman" w:cs="Times New Roman" w:eastAsia="Times New Roman" w:hAnsi="Times New Roman"/>
          <w:sz w:val="18"/>
          <w:szCs w:val="18"/>
          <w:color w:val="auto"/>
        </w:rPr>
      </w:pPr>
    </w:p>
    <w:p>
      <w:pPr>
        <w:jc w:val="both"/>
        <w:ind w:left="1140" w:right="20" w:hanging="504"/>
        <w:spacing w:after="0" w:line="23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64" w:lineRule="exact"/>
        <w:rPr>
          <w:rFonts w:ascii="Times New Roman" w:cs="Times New Roman" w:eastAsia="Times New Roman" w:hAnsi="Times New Roman"/>
          <w:sz w:val="18"/>
          <w:szCs w:val="18"/>
          <w:color w:val="auto"/>
        </w:rPr>
      </w:pPr>
    </w:p>
    <w:p>
      <w:pPr>
        <w:jc w:val="both"/>
        <w:ind w:left="1140" w:hanging="504"/>
        <w:spacing w:after="0" w:line="229"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w:t>
      </w:r>
    </w:p>
    <w:p>
      <w:pPr>
        <w:spacing w:after="0" w:line="65" w:lineRule="exact"/>
        <w:rPr>
          <w:rFonts w:ascii="Times New Roman" w:cs="Times New Roman" w:eastAsia="Times New Roman" w:hAnsi="Times New Roman"/>
          <w:sz w:val="18"/>
          <w:szCs w:val="18"/>
          <w:color w:val="auto"/>
        </w:rPr>
      </w:pPr>
    </w:p>
    <w:p>
      <w:pPr>
        <w:jc w:val="both"/>
        <w:ind w:left="1140" w:hanging="504"/>
        <w:spacing w:after="0" w:line="23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8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1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1" w:name="page42"/>
    <w:bookmarkEnd w:id="41"/>
    <w:p>
      <w:pPr>
        <w:jc w:val="both"/>
        <w:spacing w:after="0" w:line="242" w:lineRule="auto"/>
        <w:rPr>
          <w:sz w:val="20"/>
          <w:szCs w:val="20"/>
          <w:color w:val="auto"/>
        </w:rPr>
      </w:pPr>
      <w:r>
        <w:rPr>
          <w:rFonts w:ascii="Times New Roman" w:cs="Times New Roman" w:eastAsia="Times New Roman" w:hAnsi="Times New Roman"/>
          <w:sz w:val="18"/>
          <w:szCs w:val="18"/>
          <w:color w:val="auto"/>
        </w:rPr>
        <w:t>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8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Since that time, there have been significant efforts to modify or eliminate the ACA. For example, the Tax Cuts and Jobs Act, or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91"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legislation, including the Infrastructure Investment and Jobs Act, extended the 2% reduction, on average, to 2031 unless additional congressional action is taken. However, pursuant to COVID-19 relief legislation, the 2% Medicare sequester reductions have been suspended from May 1, 2020 through December 31, 2022.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Additionally,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9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the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expand the ACA. For example,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unknown what form any other such changes or law would take and how or whether it may affect our business in the future. We expect that changes or additions to the ACA or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8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ACA has been subject to challenges in the courts. On June 17, 2021, the U.S. Supreme Court dismissed on procedural grounds a challenge that argued that the ACA is unconstitutional in its entirety because the “individual mandate” was repealed by Congress. Thus, the ACA will remain in effect in its current form, although the U.S. Supreme Court has not yet ruled on the constitutionality of the ACA. It is possible that the ACA will be subject to judicial or Congressional challenges in the future.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 is unclear how such challenges and the healthcare reform measures of the Biden administration will impact the ACA and our business.</w:t>
      </w:r>
    </w:p>
    <w:p>
      <w:pPr>
        <w:spacing w:after="0" w:line="21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ACA, effective January 1, 2019, to close the coverage gap in most Medicare drug plans by increasing from 50 percent to 70 percent the point-of-sale discount that is owed by pharmaceutical manufacturers who participate in Medicare Part D.</w:t>
      </w:r>
    </w:p>
    <w:p>
      <w:pPr>
        <w:spacing w:after="0" w:line="1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w:t>
      </w:r>
    </w:p>
    <w:p>
      <w:pPr>
        <w:spacing w:after="0" w:line="185"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There has been heightened governmental scrutiny over the manner in which manufacturers set prices for their marketed products. Such scrutiny has resulted in several recent congressional inquiries,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2026.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As a result of litigation challenging the MFN Model, on December 27, 2021, CMS published a final rule that rescinded the MFN Model interim final rule.</w:t>
      </w:r>
    </w:p>
    <w:p>
      <w:pPr>
        <w:spacing w:after="0" w:line="19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July 2021, the Biden administration released an executive order, “Promoting Competition in the American Economy,” with multiple provisions aimed at prescription drugs. In response to the executive order, on September 9, 2021, HHS released a Comprehensive Plan for Addressing High Drug Prices that outlines principles for drug pricing reform and sets out a variety of potential legislative policies that Congress could pursue to advance these principles. In addition, Congress is considering drug pricing as part of other reform initiatives.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 Further, it is possible that additional governmental action is taken in response to the COVID-19 pandemic.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As of February 1, 2022, we had 101 full-time employees and two part-time employees. Of our 103 full- and part-time employees, approximately 29 have Ph.D. or M.D. degrees and 73 are engaged in research and development activities. We have a remote workforce, with approximately 35% of our employees based in Massachusetts, 12% based in California, 7% based in New Jersey, 7% based in North Carolina, 6% based in Florida, 6% based in Pennsylvania, and the remaining 27% in various additional states, including one in Austria. None of our employees are represented by labor unions or covered by collective bargaining agreements. We consider our relationship with our employees to be good.</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and maintaining and enhancing our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Since our inception, we have been a virtual company with our employees working from their homes. We rent an office in an office space building in Waltham, Massachusetts for general and administrative purposes. We do not own or lease any laboratory or manufacturing facilities. We believe that our remote working approach is adequate to meet our ongoing needs, and that, if we require physical facilities, we will be able to obtain additional facilities on commercially reasonable terms.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54" w:lineRule="exact"/>
        <w:rPr>
          <w:sz w:val="20"/>
          <w:szCs w:val="20"/>
          <w:color w:val="auto"/>
        </w:rPr>
      </w:pPr>
    </w:p>
    <w:p>
      <w:pPr>
        <w:ind w:left="1020" w:right="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currently in clinical and preclinical development. If we are unable to successfully develop, receive regulatory approval or Emergency Use Authorization, or EUA, for and commercialize our product candidates for the indications we seek, or successfully develop any other product candidates, or experience significant delays in doing so, our business will be harmed.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adintrevimab and any future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Health Emergency will continue to be in place for an extended period of time and that the product we are developing for COVID-19 would be granted an EUA by the U.S. Food and Drug Administration, or the FDA, or be granted an EUA in the second quarter of 2022 if we submit a request to the FDA for an EUA,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be adversely affected by the evolving and ongoing COVID-19 global pandemic.</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emerging and future SARS-CoV-2 variants could reduce the activity and effectiveness of adintrevimab as a potential prevention of or treatment for symptomatic COVID-19.</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5" w:name="page46"/>
    <w:bookmarkEnd w:id="45"/>
    <w:p>
      <w:pPr>
        <w:jc w:val="both"/>
        <w:ind w:left="102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populations for our lead monoclonal antibody product candidate or our other product candidates may be smaller than we or third parties currently project, which may affect our ability to enroll our clinical trials as well as the addressable markets for our product candidates.</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Adintrevimab and our other monoclonal antibody product candidates may face significant competition from vaccines, antiviral agents and other therapeutics for COVID-19 that are currently available or in development.</w:t>
      </w:r>
    </w:p>
    <w:p>
      <w:pPr>
        <w:spacing w:after="0" w:line="54"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and/or retention of patients in clinical trials, or we may pause, delay or terminate enrollment in our clinical trials, which could in turn delay or prevent our receipt of necessary regulatory approvals.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directors, officers and key employees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a material weakness in our internal control over financial reporting.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we expect to continue to incur significant expenses and operating losses for the foreseeable future. Our net losses were $226.8 million for the year ended December 31, 2021 and $65.3 million for the period from June 3, 2020 (inception) to December 31, 2020. As of December 31, 2021, we had an accumulated deficit of $292.1 million. Since our inception, we have financed our operations with net proceeds of $464.7 million raised in our private placements of preferred stock, including the sale of our Series C preferred stock in April 2021, and approximately $327.5 million of net proceeds (after deducting underwriting discounts and offering expenses) from our initial public offering in August 2021. We have no products approved for commercialization and have never generated any revenue from product sales.</w:t>
      </w:r>
    </w:p>
    <w:p>
      <w:pPr>
        <w:spacing w:after="0" w:line="1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69" w:lineRule="exact"/>
        <w:rPr>
          <w:sz w:val="20"/>
          <w:szCs w:val="20"/>
          <w:color w:val="auto"/>
        </w:rPr>
      </w:pPr>
    </w:p>
    <w:p>
      <w:pPr>
        <w:jc w:val="both"/>
        <w:ind w:left="1020" w:hanging="503"/>
        <w:spacing w:after="0" w:line="25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clinical trials of adintrevimab, including advancement through late-stage global clinical trials, as well as initiate and complete additional clinical trials of future product candidates or current product candidates in new indications or patient populations;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development of our other product candidates and our preclinical and discovery programs;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or EUA and reimbursement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establish and validate our commercial-scale cGMP manufacturing process;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 under current good manufacturing practices, or cGMP, for clinical trials and potential EUA and commercial sales at our contracted manufacturing facilities;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 up manufacturing capabilities to commercialize any product candidates for which we may obtain regulatory approval or EUA;</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including research, clinical, development, manufacturing quality control, quality assurance, regulatory and scientific personnel;</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1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18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312"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3"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Additionally, if we submit a request for an EUA, we may not be successful in receiving an EUA in the second quarter of 2022 or at any time. Consequently, any predictions you make about our future success or viability may not be as accurate as they could be if we had a longer operating history or a history of successfully developing and commercializing products.</w:t>
      </w:r>
    </w:p>
    <w:p>
      <w:pPr>
        <w:spacing w:after="0" w:line="1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29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expect to continue to incur significant expenses and operating losses over the next several years as we continue to develop our product candidate pipeline and build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jc w:val="both"/>
        <w:spacing w:after="0" w:line="242" w:lineRule="auto"/>
        <w:rPr>
          <w:sz w:val="20"/>
          <w:szCs w:val="20"/>
          <w:color w:val="auto"/>
        </w:rPr>
      </w:pPr>
      <w:r>
        <w:rPr>
          <w:rFonts w:ascii="Times New Roman" w:cs="Times New Roman" w:eastAsia="Times New Roman" w:hAnsi="Times New Roman"/>
          <w:sz w:val="18"/>
          <w:szCs w:val="18"/>
          <w:color w:val="auto"/>
        </w:rPr>
        <w:t>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As of December 31, 2021, we had cash, cash equivalents and marketable securities of $591.4 million. As of March 31, 2022, we believe that our existing cash, cash equivalents and marketable securities, will be sufficient to fund our operating expenses and capital expenditure requirements into the second half of 2024. This estimate is based on assumptions that may prove to be wrong, and we could exhaust our available capital resources sooner than we expect. We plan to use our cash, cash equivalents and marketable securities to fund clinical development, manufacturing supply and initial commercialization costs for adintrevimab, and for working capital and other general corporate purposes, including development of additional programs in our pipeline. Our existing cash, cash equivalents and marketable securities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83"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adintrevimab and our other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non-clinical studies, preclinical development, laboratory testing and clinical trials for adintrevimab and future product candidates and associated development programs;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pipeline;</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as well as timing of process development and manufacturing scale-up and validation activities associated with adintrevimab and our future product candidates and other programs as we advance them through preclinical and clinical development;</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capacity for commercial supply of our product candidates, or the raw material components thereof;</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additional research, clinical, development, scientific and manufacturing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7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288"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0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6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and all of our product candidates are currently in clinical and preclinical development. In February 2021, we initiated a Phase 1 clinical trial evaluating adintrevimab, our lead monoclonal antibody product candidate. We have also advanced adintrevimab into global pivotal trials for the prevention and treatment of COVID-19. We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may not occur for several years, if ever, will depend heavily on the successful development, regulatory approval or granting of EUA for the prevention and/or treatment of COVID-19, obtaining of manufacturing supply, capacity and expertise and eventual commercialization of our product candidates. In the absence of a public health emergency, we will not be able to receive an EUA. The success of adintrevimab or any other product candidates that we develop or otherwise may acquire will depend on several factors, including:</w:t>
      </w:r>
    </w:p>
    <w:p>
      <w:pPr>
        <w:spacing w:after="0" w:line="73"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or INDs, with the FDA, or comparable foreign applications that allow commencement of our planned clinical trials or future clinical trials for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sales, marketing and distribution capabilities and launching commercial sales of products, if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required state licenses for distribution of our products, if authorized or approved, or other distribution disruptions;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adintrevimab or any other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that we develop;</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need for therapies for the prevention and treatment of COVID-19, including due to the continuation and severity of the pandemic, the development of SARS-CoV-2 into an endemic disease or the inability of other available therapies to address COVID-19;</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and sufficiency of government funding for the purchase and/or reimbursement of products for the diagnosis, prevention and treatment of COVID-19;</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emerging and future SARS-CoV-2 variants could reduce the activity and effectiveness of adintrevimab as a potential prevention of or treatment for symptomatic COVID-19;</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the products following approval;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particularly in light of the current COVID-19 pandemic.</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adintrevimab and any future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50"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potential products. Many small and large companies are developing therapies for the prevention and/or treatment of COVID-19, including antibodies, vaccines, antivirals, and other products. Some of these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globally for the prevention and/or treatment of COVID-19. The success or failure of other companies, or perceived success or failure, may impact our ability to obtain future funding or to successfully commercialize our products for COVID-19 prevention and/or treatment.</w:t>
      </w:r>
    </w:p>
    <w:p>
      <w:pPr>
        <w:spacing w:after="0" w:line="1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trials, the number of patients the FDA or other comparable foreign regulatory authorities will require to be enrolled in the trials in order to establish the safety, efficacy, purity and potency of antibody products or that the design of or data generated in these trials will be acceptable to the FDA or other comparable foreign regulatory authorities to support EUA, or similar authorization outside of the US, or marketing approval.</w:t>
      </w:r>
    </w:p>
    <w:p>
      <w:pPr>
        <w:spacing w:after="0" w:line="1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addition, the FDA or other comparable foreign regulatory authorities may take longer than usual to come to a decision on any EUA, BLA or marketing authorization that we submit and may ultimately determine that there is insufficient data, information or experience with our product candidates to support an authorization or approval decision. The FDA or other comparable foreign regulatory authorities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prevention or treatment of symptomatic COVID-19. Even if we are able to identify and develop such antibodies, we cannot ensure that such product candidates will achieve authorization or marketing approval to safely and effectively prevent or treat symptomatic COVID-19 or other future coronavirus diseases.</w:t>
      </w:r>
    </w:p>
    <w:p>
      <w:pPr>
        <w:spacing w:after="0" w:line="1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17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1" w:name="page52"/>
    <w:bookmarkEnd w:id="51"/>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6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All of our product candidates are in clinical and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19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2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We may experience delays in conducting any clinical trials, and we do not know whether our clinical trials will begin on time, need to be redesigned, recruit and enroll patients on time or be completed on schedule, or at all. For example, following our review of data generated in external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analyses examining the neutralizing activity of adintrevimab against the Omicron SARS-CoV-2 variant in both authentic and pseudovirus assays,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2022 we paused enrollment of new patients in the 300 mg dose arm in both our EVADE and STAMP clinical trials to assess and revise our trial protocols in light of the spread of the Omicron variant. We may experience numerous unforeseen events before, during or after the conduct of our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2" w:name="page53"/>
    <w:bookmarkEnd w:id="52"/>
    <w:p>
      <w:pPr>
        <w:spacing w:after="0" w:line="266" w:lineRule="auto"/>
        <w:rPr>
          <w:sz w:val="20"/>
          <w:szCs w:val="20"/>
          <w:color w:val="auto"/>
        </w:rPr>
      </w:pPr>
      <w:r>
        <w:rPr>
          <w:rFonts w:ascii="Times New Roman" w:cs="Times New Roman" w:eastAsia="Times New Roman" w:hAnsi="Times New Roman"/>
          <w:sz w:val="18"/>
          <w:szCs w:val="18"/>
          <w:color w:val="auto"/>
        </w:rPr>
        <w:t>clinical trials that could delay or prevent our ability to complete such trials or receive marketing approval for or commercialize our product candidates, or that could significantly increase the cost of such trials, including:</w:t>
      </w:r>
    </w:p>
    <w:p>
      <w:pPr>
        <w:spacing w:after="0" w:line="5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0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trial;</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institutional review board, or IRB, approval at each trial site;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clinical trial;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having patients complete a clinical trial or return for post-treatment follow-up;</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the FDA’s regulations and GCP requirements, or applicable regulatory requirements in other countries;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and/or successfully contract with a sufficient number of clinical trial sites;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for use in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4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72"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4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especially if regulatory bodies require the completion of non-inferiority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7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screen failure rate for clinical trials of our product candidates may be higher than we anticipate, requiring us to screen larger numbers of patients than originally planned;</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3" w:name="page54"/>
    <w:bookmarkEnd w:id="53"/>
    <w:p>
      <w:pPr>
        <w:jc w:val="both"/>
        <w:ind w:left="1020"/>
        <w:spacing w:after="0" w:line="242" w:lineRule="auto"/>
        <w:rPr>
          <w:sz w:val="20"/>
          <w:szCs w:val="20"/>
          <w:color w:val="auto"/>
        </w:rPr>
      </w:pPr>
      <w:r>
        <w:rPr>
          <w:rFonts w:ascii="Times New Roman" w:cs="Times New Roman" w:eastAsia="Times New Roman" w:hAnsi="Times New Roman"/>
          <w:sz w:val="18"/>
          <w:szCs w:val="18"/>
          <w:color w:val="auto"/>
        </w:rPr>
        <w:t>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adintrevimab;</w:t>
      </w:r>
    </w:p>
    <w:p>
      <w:pPr>
        <w:spacing w:after="0" w:line="7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6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REMS;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to impose restrictions on its distribution after obtaining marketing approval.</w:t>
      </w:r>
    </w:p>
    <w:p>
      <w:pPr>
        <w:spacing w:after="0" w:line="16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1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Russian military action in Ukraine may impact our ability to complete patient follow-up visits in our clinical trials and could cause such clinical trials to be delayed or suspended.</w:t>
      </w:r>
    </w:p>
    <w:p>
      <w:pPr>
        <w:spacing w:after="0" w:line="15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2022, Russia commenced a military invasion of Ukraine. Russia’s invasion and the ensuing response by Ukraine has disrupted and may continue to disrupt our ability to conduct clinical trials in Ukraine and may also impact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jc w:val="both"/>
        <w:spacing w:after="0" w:line="239" w:lineRule="auto"/>
        <w:rPr>
          <w:sz w:val="20"/>
          <w:szCs w:val="20"/>
          <w:color w:val="auto"/>
        </w:rPr>
      </w:pPr>
      <w:r>
        <w:rPr>
          <w:rFonts w:ascii="Times New Roman" w:cs="Times New Roman" w:eastAsia="Times New Roman" w:hAnsi="Times New Roman"/>
          <w:sz w:val="18"/>
          <w:szCs w:val="18"/>
          <w:color w:val="auto"/>
        </w:rPr>
        <w:t>clinical trials activities in the neighboring countries of Moldova and Georgia should Russian military operations expand there. Although the duration, scope and impact of Russia’s military action is highly unpredictable, certain data generated at these trial sites might not be able to be validated or assessments may be missed, and our clinical trial sites in Ukraine may suspend or terminate trials and patients could be forced to evacuate or choose to relocate, making them unavailable for further participation in clinical trials and adversely impacting the analysis of the patients enrolled in these trials and the overall safety and efficacy analysis of the trials. Alternative sites to fully and timely compensate for our clinical trial activities in Ukraine may not be available and we may need to find other countries in which to conduct these clinical trials. Furthermore, Russian military action may prevent the FDA from auditing clinical trial sites in Ukraine. Interruptions of clinical trials may delay our clinical development and the potential authorization or approval of our product candidates, which could increase our costs and jeopardize our ability to commence product sales and generate revenues.</w:t>
      </w:r>
    </w:p>
    <w:p>
      <w:pPr>
        <w:spacing w:after="0" w:line="29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Health Emergency will continue to be in place for an extended period of time and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5"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We may seek an EUA for the prevention and/or treatment of COVID-19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in the second quarter of 2022 or at any time, or other similar authorization or, if we do apply, that we will be able to obtain an EUA or such authorization in the second quarter of 2022 or at any time.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such as loss of neutralizing activity against dominant circulating SARS-CoV-2 variants arise or if we fail to comply with the conditions of authorization. We cannot predict how long the public health emergency will remain in effect.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or EUA from the FDA, and we cannot market it in the European Union until we receive approval for a MAA from the EMA, or other required regulatory approval in other countries. To date, we have had discussions with the FDA and have received scientific advice from the Medicines and Healthcare products Regulatory Agency, or MHRA, the Swedish Medical Products Agency, or MPA, the Paul Ehrlich Institute, or PEI, and the European Medicines Agency, or EMA, regarding clinical development programs or regulatory approval for any product candidate within the United States, United Kingdom, Sweden, Germany and European Union, respectively. We have had no discussions with other comparable foreign authorities regarding clinical development programs or regulatory approval for any product candidate outside of these jurisdictions.</w:t>
      </w:r>
    </w:p>
    <w:p>
      <w:pPr>
        <w:spacing w:after="0" w:line="18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18"/>
          <w:szCs w:val="18"/>
          <w:color w:val="auto"/>
        </w:rPr>
        <w:t>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04" w:lineRule="exact"/>
        <w:rPr>
          <w:sz w:val="20"/>
          <w:szCs w:val="20"/>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collect sufficient data from clinical trials of our product candidates to support the submission and filing of a BLA with the FDA, MAA with the EMA or other submission;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bioresearch monitoring, or BIMO, FDA inspection or comparable foreign regulatory authorities inspection;</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1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9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29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7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our product candidates are safe and effective for their intended uses. In addition, the FDA or comparable foreign regulatory authorities may determine that antibody monotherapy products are not sufficient and that combination antibody therapies should become the standard of care. The current clinical data available from the STAMP and EVADE trials may be insufficient to support a BLA or marketing authorization and we may not be able to generate additional data if the FDA or comparable foreign regulatory authorities require additional trials in support of a BLA or marketing authorization.</w:t>
      </w:r>
    </w:p>
    <w:p>
      <w:pPr>
        <w:spacing w:after="0" w:line="1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approved. Some side effects may not be appropriately recognized or managed by the treating medical staff, as toxicities resulting from monoclonal antibody therapy targeting an exogenous target, as with our adintrevimab product candidate, can be nonspecific.</w:t>
      </w:r>
    </w:p>
    <w:p>
      <w:pPr>
        <w:spacing w:after="0" w:line="1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7" w:name="page58"/>
    <w:bookmarkEnd w:id="57"/>
    <w:p>
      <w:pPr>
        <w:jc w:val="both"/>
        <w:spacing w:after="0" w:line="242" w:lineRule="auto"/>
        <w:rPr>
          <w:sz w:val="20"/>
          <w:szCs w:val="20"/>
          <w:color w:val="auto"/>
        </w:rPr>
      </w:pPr>
      <w:r>
        <w:rPr>
          <w:rFonts w:ascii="Times New Roman" w:cs="Times New Roman" w:eastAsia="Times New Roman" w:hAnsi="Times New Roman"/>
          <w:sz w:val="18"/>
          <w:szCs w:val="18"/>
          <w:color w:val="auto"/>
        </w:rPr>
        <w:t>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1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8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clinical and commercial success of our monoclonal antibody therapies will depend in part on public acceptance of the use of monoclonal antibody therapies to prevent of treat COVID-19.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28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approvals.</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6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examining the neutralizing activity of adintrevimab against the Omicron SARS-CoV-2 variant in both authentic and pseudovirus assays, in January 2022 we paused enrollment of new patients in the 300 mg dose arm in both our EVADE and STAMP clinical trials to assess and revise our trial protocols in light of the global spread of the Omicron variant.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difficulty of diagnosing the disease under investigation;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contraction of the public health crisis caused by COVID-19;</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 including but not limited to the use of a placebo control or active comparator;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monoclonal antibody and/or vaccine approaches;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 for the disease or condition under investigation;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and/or employer COVID-19 vaccine mandates;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1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7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8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primarily focused on the development of adintrevimab for the prevention and treatment of symptomatic COVID-19.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are currently conducting, and intend to conduct in the future,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the evolving and ongoing COVID-19 global pandemic.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evolving and constantly changing impact of COVID-19, which was declared a global pandemic by the World Health Organization, or WHO, will directly affect the potential commercial prospects of our lead product candidate for the prevention and treatment of COVID-19. The severity of the global pandemic, the availability, administration and acceptance of vaccines, monoclonal antibodies, antiviral agents and other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85"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Additionally, on September 9, 2021, President Biden issued an executive order obligating parties that contract with the federal government to require their employees to be fully vaccinated against COVID-19, with limited exceptions for certain accommodations, and on November 5, 2021 the Department of Labor’s Occupational Safety and Health Administration, or OSHA, issued an emergency temporary standard, or the ETS, requiring all private employers with 100 or more workers to mandate COVID-19 vaccination or produce a weekly test for all employees. Although the executive order has been the subject of legal challenges and is currently enjoined nationwide, there can be no assurance that the executive order will not be upheld and enforced. Further, while the ETS was withdrawn effective January 26, 2022, OSHA has not withdrawn the ETS as a proposed rule. As a company that is likely to have 100 employees at the time such rule may become a final standard, we would be required to mandate COVID-19 vaccination of our workforce or require our unvaccinated employees to be tested weekly if the ETS proposed rule becomes a final standard or if the executive order is upheld in the courts and we were to contract with the federal government. We or our suppliers may incur increased costs, labor disruptions or employee attrition as a result of these mandates. If we or other companies in our supply chain lose employees, it may be difficult in the current competitive labor market to find replacement employees, and this could have a material adverse effect on our business and results of operations.</w:t>
      </w:r>
    </w:p>
    <w:p>
      <w:pPr>
        <w:spacing w:after="0" w:line="19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as the outbreak progresses and some of our CROs, CDMOs and other service providers continue to be impacted. In December 2020, shipment of adintrevimab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7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a suspension in clinical site initiation, including difficulties in recruiting clinical site investigators and clinical site staff;</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ability to manufacture and deliver drug supply for trials due to capacity constraints or lack of raw materials;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ability to supply clinical trial material to clinical trial sites due to supply chain challenges;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(including potential vaccine mandates) as part of a response to the COVID-19 outbreak that may require us to change the ways in which our clinical trials are conducted, which may result in unexpected costs, or to discontinue the clinical trials altogether;</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patient enrollment rates due to unpredictable and variable regional rates of infection;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1" w:name="page62"/>
    <w:bookmarkEnd w:id="61"/>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and other regulatory authorities to accept data from clinical trials in these affected geographies.</w:t>
      </w:r>
    </w:p>
    <w:p>
      <w:pPr>
        <w:spacing w:after="0" w:line="21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the COVID-19 pandemic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8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global COVID-19 pandemic continues to rapidly evolve, particularly with regard to the rapid global spread of the Omicron variant. The extent to which the COVID-19 pandemic impacts our business and operations, including our clinical development and regulatory efforts, will depend on future developments that are highly uncertain and cannot be predicted with confidence as of the date of this Annual Report, such as the ultimate geographic spread of the disease and the neutralizing activity of adintrevimab and any of our other potential COVID-19 product candidates against the dominant circulating variant(s) at any given time,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9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26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Newly emerging and future SARS-CoV-2 variants could reduce the activity and effectiveness of adintrevimab as a potential prevention of or treatment for symptomatic COVID-19.</w:t>
      </w:r>
    </w:p>
    <w:p>
      <w:pPr>
        <w:spacing w:after="0" w:line="5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Multiple variants of the virus that causes COVID-19 have been documented in the United States and globally during this pandemic, including the highly transmissible Omicron and Delta variants, as well as the regional emergence of the Mu and Lambda variants in South America and the Delta Plus variant in the United Kingdom. Although we have shown in pre-clinical studies that adintrevimab has the potential to broadly neutralize SARS-CoV-2 and the predominantly circulating variants, external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to evaluate neutralizing activity of adintrevimab against the Omicron variant generated data showing a greater than 300-fold reduction in neutralizing activity of adintrevimab against the Omicron BA.1 subvariant compared to a reference strain and a lack of neutralizing activity against the Omicron BA.2 subvariant. New SARS-CoV-2 variants could be less impacted by adintrevimab and its mechanism of action, or the results shown in pre-clinical studies may not be replicated in clinical studies. Further, we may not be able to address reductions in neutralization potency with adjustments to the adintrevimab dose or dosing frequency. This would significantly and adversely affect our ability to obtain authorization or approval of and to commercialize adintrevimab. In addition, if our planned dosing of 300 mg of adintrevimab were to be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increased in response to loss of neutralizing activity against dominant circulating SARS-CoV-2 variants or for other reasons, it could impact drug supply and pricing, which could adversely affect our commercial prospects.</w:t>
      </w:r>
    </w:p>
    <w:p>
      <w:pPr>
        <w:spacing w:after="0" w:line="26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develop adintrevimab and future product candidates for use in combination with other therapies or third-party product candidates, which exposes us to additional regulatory risks.</w:t>
      </w:r>
    </w:p>
    <w:p>
      <w:pPr>
        <w:spacing w:after="0" w:line="50"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We may develop adintrevimab and future product candidates for use in combination with one or more currently authorized or approved therapies to prevent or treat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adintrevimab as a monotherapy treatment.</w:t>
      </w:r>
    </w:p>
    <w:p>
      <w:pPr>
        <w:spacing w:after="0" w:line="18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may also evaluate adintrevimab or any future product candidate in combination with one or more other third-party product candidates that have not yet been approved for marketing by the FDA, EMA or comparable foreign regulatory authorities. If so, we will not be able to market and sell adintrevimab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adintrevimab or any product candidate we develop, we may be unable to obtain approval of or market any such product candidate.</w:t>
      </w:r>
    </w:p>
    <w:p>
      <w:pPr>
        <w:spacing w:after="0" w:line="2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spacing w:after="0" w:line="6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A trade and cooperation agreement, or the Trade and Cooperation Agreement, that outlines the post-Transition Period trading relationship between the United Kingdom and the European Union was agreed to in December 2020 and was formally entered into on May 1, 2021.</w:t>
      </w:r>
    </w:p>
    <w:p>
      <w:pPr>
        <w:spacing w:after="0" w:line="7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development, manufacture, importation, approval and commercialization of our product candidates in the United Kingdom. For example, Great Britain is no longer covered by the centralized procedures for obtaining European Union-wide marketing authorizations from the EMA, and a separate marketing authorization will be required to market our product candidates in Great Britain. Any delay in obtaining, or an inability to obtain, any marketing approvals, as a result of Brexit or otherwise, would delay or prevent us from commercializing our product candidates in the United Kingdom or the European Union and limit our ability to generate revenue and achieve and sustain profitability. While the Trade and Cooperation Agreement provides for the tariff-free trade of medicinal products between the United Kingdom and the European Union, there are additional non-tariff costs to such trade that did not exist prior to the end of the Transition Period and frequent delays in the transit of goods between the United Kingdom and the European Union. Further, should the United Kingdom diverge from the European Union from a regulatory perspective in relation to medicinal products, tariffs could be put into place in the future. We could therefore, both now and in the future, face significant additional expenses (when compared to prior to the end of the Transition Period)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3" w:name="page64"/>
    <w:bookmarkEnd w:id="63"/>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manufacture of monoclonal antibody therapies is technically complex and necessitates substantial expertise and capital investment. Production difficulties caused by unforeseen events may delay the availability of material for our clinical studies or commercialization efforts.</w:t>
      </w:r>
    </w:p>
    <w:p>
      <w:pPr>
        <w:spacing w:after="0" w:line="16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other foreign or state regulatory authorities. If we or our manufacturers were to fail to comply with the FDA, EMA or other foreign or state regulatory authorities,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191"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or testing, may lead to an inability to 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18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Any delay, failure or inability to manufacture on a timely basis can impact the timelines for our clinical trials or our commercialization plans. Such delay, failure or inability to manufacture can result from:</w:t>
      </w:r>
    </w:p>
    <w:p>
      <w:pPr>
        <w:spacing w:after="0" w:line="54" w:lineRule="exact"/>
        <w:rPr>
          <w:sz w:val="20"/>
          <w:szCs w:val="20"/>
          <w:color w:val="auto"/>
        </w:rPr>
      </w:pPr>
    </w:p>
    <w:p>
      <w:pPr>
        <w:jc w:val="both"/>
        <w:ind w:left="1020" w:hanging="503"/>
        <w:spacing w:after="0" w:line="245"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7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manufacturing or testing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or other foreign or state regulatory inspection and review of a clinical trial site or records of any clinical or preclinical investigation;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raw materials and reagents;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depletion or performance degradation of the cell line starting material;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product candidates, or the inability to find alternative manufacturing capability in a timely fashion.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4" w:name="page65"/>
    <w:bookmarkEnd w:id="64"/>
    <w:p>
      <w:pPr>
        <w:jc w:val="both"/>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3"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labeling, packaging and storage facilities, and distributors, are subject to extensive regulation. Components of a finished therapeutic product approved for commercial sale or used in late-stage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EUA,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authorization of an EUA or approval of a BLA or MAA) if the facilities or quality systems of our or any of our CDMOs do not pass such audit or inspections. Certain of our CDMO’s facilities have not yet been inspected by regulatory authorities. If any of our CDMO’s facilities do not pass a pre-approval or other plant inspection, FDA or EMA approval (or authorization under EUA) of the products will not be granted.</w:t>
      </w:r>
    </w:p>
    <w:p>
      <w:pPr>
        <w:spacing w:after="0" w:line="18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or audit us or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19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manufacture, test, label, package and store clinical and commercial supplies of our product candidates.</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are currently manufacturing, testing, labeling, packaging and storing our product candidates in partnership with CDMOs. We do not own or operate any facilities for product manufacturing, labeling, packaging, storage and distribution or testing. We are dependent on third parties to manufacture, label, package, store, and distribute the clinical and commercial supplies of our current and any future product candidates. We have established a relationship with WuXi to manufacture adintrevimab for initial supply under EUA (if authorized). We have not yet fully manufactured our product candidates on a commercial scale, and cost estimates for the commercial manufacturing of our product candidates are subject to fluctuation.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5" w:name="page66"/>
    <w:bookmarkEnd w:id="65"/>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facilities used by our contract manufacturers and contract testing labs to manufacture and test our product candidates must be approved by the FDA pursuant to inspections that will be conducted after we submit our EUA or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18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engaged WuXi for development and generation of the production cell line starting material for adintrevimab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181"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addition, we currently rely on WuXi, a CDMO in China, for clinical supply of adintrevimab</w:t>
      </w:r>
      <w:r>
        <w:rPr>
          <w:sz w:val="1"/>
          <w:szCs w:val="1"/>
          <w:color w:val="auto"/>
        </w:rPr>
        <w:drawing>
          <wp:inline distT="0" distB="0" distL="0" distR="0">
            <wp:extent cx="26035" cy="1047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104775"/>
                    </a:xfrm>
                    <a:prstGeom prst="rect">
                      <a:avLst/>
                    </a:prstGeom>
                    <a:noFill/>
                    <a:ln>
                      <a:noFill/>
                    </a:ln>
                  </pic:spPr>
                </pic:pic>
              </a:graphicData>
            </a:graphic>
          </wp:inline>
        </w:drawing>
      </w:r>
      <w:r>
        <w:rPr>
          <w:rFonts w:ascii="Times New Roman" w:cs="Times New Roman" w:eastAsia="Times New Roman" w:hAnsi="Times New Roman"/>
          <w:sz w:val="18"/>
          <w:szCs w:val="18"/>
          <w:color w:val="auto"/>
        </w:rPr>
        <w:t>and will rely on WuXi for commercial supply and supply under EUA of adintrevimab, if authorized.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our reliance on third-parties for manufacturing, testing, labeling, packaging and storing our product candidates entails risks to which we would not be subject if we manufactured, tested, labeled, packaged and stored our product candidates ourselves, including:</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sufficient and timely manufacturing capacity;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third-party manufacturers to execute our manufacturing procedures and other logistical support requirements appropriately;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additional manufacturing agreements with third parties under commercially reasonable terms, if at all;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with third parties in a manner or at a time that is costly or damaging to us;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the intellectual property rights in any improvements made by our third-party manufacturers in the manufacturing process for our product candidates; and</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operations of our third-party manufacturers or suppliers by conditions unrelated to our business or operations, including the bankruptcy of the manufacturer or supplier.</w:t>
      </w:r>
    </w:p>
    <w:p>
      <w:pPr>
        <w:spacing w:after="0" w:line="16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6" w:name="page67"/>
    <w:bookmarkEnd w:id="66"/>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current or any future product candidates, if authorized under EUA or approved. Some of these events could be the basis for FDA action, including injunction, request for recall, seizure or total or partial suspension of production.</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July 2021, we entered into a license agreement with Biocon Biologics Limited, or Biocon, to combat COVID-19 in Southern Asia. Under the license agreement, we will provide Biocon materials and know-how to manufacture and commercialize an antibody treatment based on adintrevimab in India and select emerging markets. Biocon’s ability to successfully manufacture in those territories may be restricted by foreign regulatory requirements.</w:t>
      </w:r>
    </w:p>
    <w:p>
      <w:pPr>
        <w:spacing w:after="0" w:line="2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6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Manufacturing and testing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as the sole procurer of the raw materials used in the manufacture of our product candidates, including certain purification resins and cell culture media, which increases the risk of delays in production. In addition, to date, we have relied on WuXi as our only CDMO.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18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key suppliers or manufacturers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92"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5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7" w:name="page68"/>
    <w:bookmarkEnd w:id="67"/>
    <w:p>
      <w:pPr>
        <w:jc w:val="both"/>
        <w:spacing w:after="0" w:line="239" w:lineRule="auto"/>
        <w:rPr>
          <w:sz w:val="20"/>
          <w:szCs w:val="20"/>
          <w:color w:val="auto"/>
        </w:rPr>
      </w:pPr>
      <w:r>
        <w:rPr>
          <w:rFonts w:ascii="Times New Roman" w:cs="Times New Roman" w:eastAsia="Times New Roman" w:hAnsi="Times New Roman"/>
          <w:sz w:val="18"/>
          <w:szCs w:val="18"/>
          <w:color w:val="auto"/>
        </w:rPr>
        <w:t>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Given the nature of monoclonal antibody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0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0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3"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 including oral options;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8" w:name="page69"/>
    <w:bookmarkEnd w:id="68"/>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adintrevimab and any other product candidates, once approved;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or requirements that our products be used in combination with other products;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 effective against emerging variants as a monotherapy.</w:t>
      </w:r>
    </w:p>
    <w:p>
      <w:pPr>
        <w:spacing w:after="0" w:line="31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adintrevimab or any other product candidate that may receive regulatory approval, we may not be successful in commercializing those product candidates if and when they are approved.</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are currently establishing our commercial infrastructure to support the anticipated marketing and distribution of our product candidates, which we will need to achieve commercial success for adintrevimab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0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independent sales, marketing and market access organizations.</w:t>
      </w:r>
    </w:p>
    <w:p>
      <w:pPr>
        <w:spacing w:after="0" w:line="21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8"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lead monoclonal antibody product candidate or our other product candidates may be smaller than we or third parties currently project, which may affect our ability to enroll our clinical trials as well as the addressable markets for our product candidates.</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Our projections of the number of people who are candidates to receive COVID-19 preventatives and treatments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and patients may not be otherwise amenable to treatment with our product candidates or may become increasingly difficult to identify and access, all of which would adversely affect our ability to enroll our clinical trials and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18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decline, or a widespread perception of a decline, in the spread or severity of the ongoing COVID-19 pandemic, including disease due to variants with relative or absolute resistance to other products, or an increase in available alternative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jc w:val="both"/>
        <w:spacing w:after="0"/>
        <w:rPr>
          <w:sz w:val="20"/>
          <w:szCs w:val="20"/>
          <w:color w:val="auto"/>
        </w:rPr>
      </w:pPr>
      <w:r>
        <w:rPr>
          <w:rFonts w:ascii="Times New Roman" w:cs="Times New Roman" w:eastAsia="Times New Roman" w:hAnsi="Times New Roman"/>
          <w:sz w:val="18"/>
          <w:szCs w:val="18"/>
          <w:color w:val="auto"/>
        </w:rPr>
        <w:t>therapies for or widespread immunity to COVID-19, could reduce the total addressable market for our lead product candidate for the prevention and treatment of COVID-19. Similarly, if new SARS-CoV-2 variants are less impacted by adintrevimab</w:t>
      </w:r>
      <w:r>
        <w:rPr>
          <w:sz w:val="1"/>
          <w:szCs w:val="1"/>
          <w:color w:val="auto"/>
        </w:rPr>
        <w:drawing>
          <wp:inline distT="0" distB="0" distL="0" distR="0">
            <wp:extent cx="34290" cy="1143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Times New Roman" w:cs="Times New Roman" w:eastAsia="Times New Roman" w:hAnsi="Times New Roman"/>
          <w:sz w:val="18"/>
          <w:szCs w:val="18"/>
          <w:color w:val="auto"/>
        </w:rPr>
        <w:t>and its mechanism of action than expected and such variants become more prevalent in the ongoing pandemic, the number of patients that we will be able to successfully treat with adintrevimab, if approved, will be decreased.</w:t>
      </w:r>
    </w:p>
    <w:p>
      <w:pPr>
        <w:spacing w:after="0" w:line="18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 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Annual Report, and in our other filings with the SEC, including estimates derived from them, may differ from information and estimates made by our competitors or from current or future studies conducted by independent sources.</w:t>
      </w:r>
    </w:p>
    <w:p>
      <w:pPr>
        <w:spacing w:after="0" w:line="29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Adintrevimab and our other monoclonal antibody product candidates may face significant competition from vaccines, antiviral agents and other therapeutics for COVID-19 that are currently available or in development.</w:t>
      </w:r>
    </w:p>
    <w:p>
      <w:pPr>
        <w:spacing w:after="0" w:line="5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at a lower cost or is more successful at commercializing an approved therapeutic, we may not be able to successfully commercialize adintrevimab for the prevention and treatment of symptomatic COVID-19, even if approved, or compete with other therapeutics or vaccines, which could adversely impact our business and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jc w:val="both"/>
        <w:ind w:firstLine="509"/>
        <w:spacing w:after="0"/>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differentiated from products in the market;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placement in COVID-19 prevention and treatment guidelines from organizations such as the National Institutes of Health, or NIH, CDC, WHO and the Infectious Diseases Society of America, or IDSA, and equivalent European guidelines;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21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Government entities, such as the Centers for Disease Control and Prevention, or CDC, NIH,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adintrevimab fails to be added to these guidelines, or if it receives poor positioning within those guidelines, payors and other customers may be less inclined to add adintrevimab to their formularies and/or prescribe adintrevimab, significantly reducing demand for adintrevimab, if approved.</w:t>
      </w:r>
    </w:p>
    <w:p>
      <w:pPr>
        <w:spacing w:after="0" w:line="1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Adintrevimab may have to compete against products with Advance Purchase Agreements (APAs) from the U.S. Federal Government.</w:t>
      </w:r>
    </w:p>
    <w:p>
      <w:pPr>
        <w:spacing w:after="0" w:line="21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an EUA environment where the U.S. federal government signs an Advance Purchase Agreement with a manufacturer for a specific number of doses at a fixed price, product distribution is overseen by federal and state governments and product is ordered by institutions, prescribed by physicians and administered in a variety of settings. Product is free to the institutions and patients, but patients can be billed for administration costs. Currently, all oral antivirals and monoclonal antibodies are made available under APAs. Only Gilead's intravenous antiviral, remdesivir, which received full FDA approval for treatment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1" w:name="page72"/>
    <w:bookmarkEnd w:id="71"/>
    <w:p>
      <w:pPr>
        <w:jc w:val="both"/>
        <w:spacing w:after="0" w:line="242" w:lineRule="auto"/>
        <w:rPr>
          <w:sz w:val="20"/>
          <w:szCs w:val="20"/>
          <w:color w:val="auto"/>
        </w:rPr>
      </w:pPr>
      <w:r>
        <w:rPr>
          <w:rFonts w:ascii="Times New Roman" w:cs="Times New Roman" w:eastAsia="Times New Roman" w:hAnsi="Times New Roman"/>
          <w:sz w:val="18"/>
          <w:szCs w:val="18"/>
          <w:color w:val="auto"/>
        </w:rPr>
        <w:t>of non-hospitalized patients (12 years of age or older) at high risk for COVID-19 disease progression in January 2022, is available under a standard purchase model where hospitals, clinics, and other institutions purchase product through distributors. In this environment, we may not qualify for a U.S. federal government contract. U.S. federal government contracts require contractors to meet a substantial number of qualifications, which we may not be able to meet, resulting in our inability to secure a federal contract. Additionally, our primary contract manufacturer is based in China, and the U.S. federal government may decide to avoid contracting with companies who have drug substance produced in China.</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an EUA environment where the U.S. federal government does not sign an APA, manufacturers follow a standard commercial model in which they sell product to wholesalers and/or distributors that ship the product to various sites of care. Under a standard commercial model, provider institutions and clinics can bill health plans for product. GlaxoSmithKline and Vir Biotechnology’s sotrovimab was granted an EUA in May 2021 but did not receive an APA until November 2021; GlaxoSmithKline and Vir Biotechnology operated under a standard commercial model before receiving an APA.</w:t>
      </w:r>
    </w:p>
    <w:p>
      <w:pPr>
        <w:spacing w:after="0" w:line="1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adintrevimab does not receive an APA but competes against products that do have an APA, adoption of adintrevimab could be limited because it would be competing against drugs that are paid for by the federal government and cost nothing to the purchasers or the patients.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biosimilar competition sooner than anticipated.</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9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2"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adintrevimab for the prevention and treatment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2" w:name="page73"/>
    <w:bookmarkEnd w:id="72"/>
    <w:p>
      <w:pPr>
        <w:jc w:val="both"/>
        <w:spacing w:after="0"/>
        <w:rPr>
          <w:sz w:val="20"/>
          <w:szCs w:val="20"/>
          <w:color w:val="auto"/>
        </w:rPr>
      </w:pPr>
      <w:r>
        <w:rPr>
          <w:rFonts w:ascii="Times New Roman" w:cs="Times New Roman" w:eastAsia="Times New Roman" w:hAnsi="Times New Roman"/>
          <w:sz w:val="18"/>
          <w:szCs w:val="18"/>
          <w:color w:val="auto"/>
        </w:rPr>
        <w:t>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8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8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prevention and treatment of COVID-19, including guidance regarding the use of monoclonal antibodies in these indications. If adintrevimab fails to be added to these guidelines, or if it receives poor positioning within these guidelines, payors and other customers may be less inclined to add adintrevimab to their formularies, significantly reducing demand for adintrevimab, if approved.</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8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There can be no assurance that adintrevimab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sell any products that we may develop. If we cannot successfully defend ourselves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spacing w:after="0" w:line="266" w:lineRule="auto"/>
        <w:rPr>
          <w:sz w:val="20"/>
          <w:szCs w:val="20"/>
          <w:color w:val="auto"/>
        </w:rPr>
      </w:pPr>
      <w:r>
        <w:rPr>
          <w:rFonts w:ascii="Times New Roman" w:cs="Times New Roman" w:eastAsia="Times New Roman" w:hAnsi="Times New Roman"/>
          <w:sz w:val="18"/>
          <w:szCs w:val="18"/>
          <w:color w:val="auto"/>
        </w:rPr>
        <w:t>against claims that our product candidates or drugs caused injuries, we will incur substantial liabilities. Regardless of merit or eventual outcome, liability claims may result in:</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1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Maintaining the security of our computer information systems and communication systems is a critical issue for us and we devote considerable internal and external resources to network security and other security measures to protect our systems and users, but these security measures cannot provide absolute security. The multitude and complexity of our computer systems may make them susceptible to service interruption, breaches of security, disruption of data integrity, inadvertent errors that expose our data or systems, malicious intrusion, or random attacks.</w:t>
      </w:r>
    </w:p>
    <w:p>
      <w:pPr>
        <w:spacing w:after="0" w:line="181"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Our internal computer systems, and those of third parties on which we rely, are also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We have in the past and may in the future identify defects, errors, or vulnerabilities, which could inadvertently permit access to or exposure of customer data. The risk of a 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For example, the ongoing conflict between Russia and Ukraine has led to an increase in cyberattacks on the Ukraine, including its government, companies, institutions and people, as well on the financial and communications infrastructure of other countries, companies and individuals therein. If any such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Additionally, such events could lead to an interruption in our supply chain for the manufacturing of clinical and commercial drug substance and drug product, as well as related materials, and could significantly impact development and commercialization timelines and capabilities.</w:t>
      </w:r>
    </w:p>
    <w:p>
      <w:pPr>
        <w:spacing w:after="0" w:line="18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4" w:name="page75"/>
    <w:bookmarkEnd w:id="74"/>
    <w:p>
      <w:pPr>
        <w:jc w:val="both"/>
        <w:spacing w:after="0" w:line="250" w:lineRule="auto"/>
        <w:rPr>
          <w:sz w:val="20"/>
          <w:szCs w:val="20"/>
          <w:color w:val="auto"/>
        </w:rPr>
      </w:pPr>
      <w:r>
        <w:rPr>
          <w:rFonts w:ascii="Times New Roman" w:cs="Times New Roman" w:eastAsia="Times New Roman" w:hAnsi="Times New Roman"/>
          <w:sz w:val="18"/>
          <w:szCs w:val="18"/>
          <w:color w:val="auto"/>
        </w:rPr>
        <w:t>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7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86"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effects of a security breach or privacy violation could be further amplified during the current COVID-19 pandemic. 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security breaches, cyberattacks and other related breaches, such coverage will cover any indemnification claims against us relating to any incident,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2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91"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jc w:val="both"/>
        <w:spacing w:after="0" w:line="242" w:lineRule="auto"/>
        <w:rPr>
          <w:sz w:val="20"/>
          <w:szCs w:val="20"/>
          <w:color w:val="auto"/>
        </w:rPr>
      </w:pPr>
      <w:r>
        <w:rPr>
          <w:rFonts w:ascii="Times New Roman" w:cs="Times New Roman" w:eastAsia="Times New Roman" w:hAnsi="Times New Roman"/>
          <w:sz w:val="18"/>
          <w:szCs w:val="18"/>
          <w:color w:val="auto"/>
        </w:rPr>
        <w:t>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annual global turnover) and confers a private right of action on data subjects and consumer associations to lodge complaints with supervisory authorities, seek judicial remedies and obtain compensation for damages resulting from violations of the GDPR.</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 United Kingdom may continue to take place without a need for additional safeguards during a further transition period, which expires on the earlier of (i) the date on which an adequacy decision with respect to the United Kingdom is adopted by the European Commission; or (ii) the expiry of four months, which shall be extended by a further two months unless either the European Union or the United Kingdom objects. On June 28, 2021 the European Commission formally adopted its adequacy decision finding the United Kingdom to be adequate under the GDPR.</w:t>
      </w:r>
    </w:p>
    <w:p>
      <w:pPr>
        <w:spacing w:after="0" w:line="186"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California voters approved a new privacy law, the California Privacy Rights Act, or the CPRA, in the November 3, 2020 election, which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 For example, on March 2, 2021, Virginia enacted the Virginia Consumer Data Protection Act, or CDPA, which becomes effective on January 1, 2023, and on June 8, 2021, Colorado enacted the Colorado Privacy Act, or CPA, which takes effect on July 1, 2023. The CPA and CDPA are similar to the CCPA and CPRA but aspects of these state privacy statutes remain unclear, resulting in further legal uncertainty.</w:t>
      </w:r>
    </w:p>
    <w:p>
      <w:pPr>
        <w:spacing w:after="0" w:line="19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With the GDPR, CCPA, CPRA, CDPA, CPA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5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9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73"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have engaged CROs and other third parties to conduct our planned preclinical studies or clinical trials, including our ongoing clinical trials of adintrevimab,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193"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7" w:name="page78"/>
    <w:bookmarkEnd w:id="77"/>
    <w:p>
      <w:pPr>
        <w:jc w:val="both"/>
        <w:spacing w:after="0" w:line="238" w:lineRule="auto"/>
        <w:rPr>
          <w:sz w:val="20"/>
          <w:szCs w:val="20"/>
          <w:color w:val="auto"/>
        </w:rPr>
      </w:pPr>
      <w:r>
        <w:rPr>
          <w:rFonts w:ascii="Times New Roman" w:cs="Times New Roman" w:eastAsia="Times New Roman" w:hAnsi="Times New Roman"/>
          <w:sz w:val="18"/>
          <w:szCs w:val="18"/>
          <w:color w:val="auto"/>
        </w:rPr>
        <w:t>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9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6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adintrevimab or any other product candidates.</w:t>
      </w:r>
    </w:p>
    <w:p>
      <w:pPr>
        <w:spacing w:after="0" w:line="1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8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0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8" w:name="page79"/>
    <w:bookmarkEnd w:id="78"/>
    <w:p>
      <w:pPr>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45"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7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5"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3"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two issued U.S. patents with claims directed to adintrevimab and ADG10, respectively, and one allowed U.S. patent application with claims directed to methods of use of adintrevimab, alone or in combination with ADG10, which is projected to issue within the next few months. In addition, although we own a number of pending patent applications, we may not be successful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jc w:val="both"/>
        <w:spacing w:after="0" w:line="223" w:lineRule="auto"/>
        <w:rPr>
          <w:sz w:val="20"/>
          <w:szCs w:val="20"/>
          <w:color w:val="auto"/>
        </w:rPr>
      </w:pPr>
      <w:r>
        <w:rPr>
          <w:rFonts w:ascii="Times New Roman" w:cs="Times New Roman" w:eastAsia="Times New Roman" w:hAnsi="Times New Roman"/>
          <w:sz w:val="18"/>
          <w:szCs w:val="18"/>
          <w:color w:val="auto"/>
        </w:rPr>
        <w:t>prosecuting our filed patent applications to obtain issuance of additional patents. Accordingly, there can be no assurance that we will be able to obtain patent protection for our product candidates.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179"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173"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18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8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0" w:name="page81"/>
    <w:bookmarkEnd w:id="8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8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1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w:t>
      </w:r>
    </w:p>
    <w:p>
      <w:pPr>
        <w:spacing w:after="0" w:line="16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9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filing date.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various extensions may be available, the life of a patent, and the protection it affords, is limited.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1" w:name="page82"/>
    <w:bookmarkEnd w:id="81"/>
    <w:p>
      <w:pPr>
        <w:jc w:val="both"/>
        <w:spacing w:after="0" w:line="237" w:lineRule="auto"/>
        <w:rPr>
          <w:sz w:val="20"/>
          <w:szCs w:val="20"/>
          <w:color w:val="auto"/>
        </w:rPr>
      </w:pPr>
      <w:r>
        <w:rPr>
          <w:rFonts w:ascii="Times New Roman" w:cs="Times New Roman" w:eastAsia="Times New Roman" w:hAnsi="Times New Roman"/>
          <w:sz w:val="18"/>
          <w:szCs w:val="18"/>
          <w:color w:val="auto"/>
        </w:rPr>
        <w:t>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9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 materially and adversely affected.</w:t>
      </w:r>
    </w:p>
    <w:p>
      <w:pPr>
        <w:spacing w:after="0" w:line="2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2" w:name="page83"/>
    <w:bookmarkEnd w:id="82"/>
    <w:p>
      <w:pPr>
        <w:ind w:left="520"/>
        <w:spacing w:after="0"/>
        <w:rPr>
          <w:sz w:val="20"/>
          <w:szCs w:val="20"/>
          <w:color w:val="auto"/>
        </w:rPr>
      </w:pPr>
      <w:r>
        <w:rPr>
          <w:rFonts w:ascii="Times New Roman" w:cs="Times New Roman" w:eastAsia="Times New Roman" w:hAnsi="Times New Roman"/>
          <w:sz w:val="18"/>
          <w:szCs w:val="18"/>
          <w:color w:val="auto"/>
        </w:rPr>
        <w:t>Our current and future collaborations and licenses could subject us to a number of risks, including:</w:t>
      </w:r>
    </w:p>
    <w:p>
      <w:pPr>
        <w:spacing w:after="0" w:line="10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stockholders’ percentage ownership of our company;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select indications or design clinical trials in a way that may be less successful than if we were doing so;</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 from these products;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16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1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what we believe to be our financial or other obligations under the relevant agreement, either of which could have a material adverse effect on our business, financial condition, results of operations and prospects.</w:t>
      </w:r>
    </w:p>
    <w:p>
      <w:pPr>
        <w:spacing w:after="0" w:line="16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8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8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9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jc w:val="both"/>
        <w:ind w:firstLine="509"/>
        <w:spacing w:after="0"/>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18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191"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19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5" w:name="page86"/>
    <w:bookmarkEnd w:id="85"/>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adintrevimab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adintrevimab, and a third party may claim that our development or commercialization of adintrevimab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adintrevimab, which may not be feasible on a technical or commercial basis in a timely manner, and we may have to delay or abandon development of adintrevimab, which could have a material adverse effect on our business.</w:t>
      </w:r>
    </w:p>
    <w:p>
      <w:pPr>
        <w:spacing w:after="0" w:line="19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28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295"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5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current and future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6" w:name="page87"/>
    <w:bookmarkEnd w:id="8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including our competitors may initiate legal proceedings against us alleging that we are infringing, misappropriating or otherwise violating their patents, trademarks, or other intellectual property rights.</w:t>
      </w:r>
    </w:p>
    <w:p>
      <w:pPr>
        <w:spacing w:after="0" w:line="16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We cannot provide any assurance that our current and future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adintrevimab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8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9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7" w:name="page88"/>
    <w:bookmarkEnd w:id="87"/>
    <w:p>
      <w:pPr>
        <w:jc w:val="both"/>
        <w:spacing w:after="0" w:line="250" w:lineRule="auto"/>
        <w:rPr>
          <w:sz w:val="20"/>
          <w:szCs w:val="20"/>
          <w:color w:val="auto"/>
        </w:rPr>
      </w:pPr>
      <w:r>
        <w:rPr>
          <w:rFonts w:ascii="Times New Roman" w:cs="Times New Roman" w:eastAsia="Times New Roman" w:hAnsi="Times New Roman"/>
          <w:sz w:val="18"/>
          <w:szCs w:val="18"/>
          <w:color w:val="auto"/>
        </w:rPr>
        <w:t>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28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0"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8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8" w:name="page89"/>
    <w:bookmarkEnd w:id="88"/>
    <w:p>
      <w:pPr>
        <w:jc w:val="both"/>
        <w:spacing w:after="0" w:line="241" w:lineRule="auto"/>
        <w:rPr>
          <w:sz w:val="20"/>
          <w:szCs w:val="20"/>
          <w:color w:val="auto"/>
        </w:rPr>
      </w:pPr>
      <w:r>
        <w:rPr>
          <w:rFonts w:ascii="Times New Roman" w:cs="Times New Roman" w:eastAsia="Times New Roman" w:hAnsi="Times New Roman"/>
          <w:sz w:val="18"/>
          <w:szCs w:val="18"/>
          <w:color w:val="auto"/>
        </w:rPr>
        <w:t>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8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8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8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18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our competitive position may be impaired and our business, financial condition, results of operations and prospects may be adversely affected.</w:t>
      </w:r>
    </w:p>
    <w:p>
      <w:pPr>
        <w:spacing w:after="0" w:line="212"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2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9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We also expect to rely on trademarks to protect our company name. Once we select new trademarks and apply to register them, our trademark applications may not be approved. Although we would be given an opportunity to respond to those rejections, we may be unable to overcome such rejections. We currently have trademark applications pending in the United States and in certain foreign jurisdictions, but we have no issued trademark registrations in the United States. Third parties may oppose or attempt to cancel our trademark applications or trademarks, or otherwise challenge our use of the trademarks. If we are found to infringe a third party’s trademark rights, we could be forced to rebrand our company or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any of our patents, should they issue;</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0" w:name="page91"/>
    <w:bookmarkEnd w:id="90"/>
    <w:p>
      <w:pPr>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make the inventions covered by our future issued patents or our pending patent applications;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file patent applications covering certain of our inventions;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0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6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79" w:lineRule="exact"/>
        <w:rPr>
          <w:sz w:val="20"/>
          <w:szCs w:val="20"/>
          <w:color w:val="auto"/>
        </w:rPr>
      </w:pPr>
    </w:p>
    <w:p>
      <w:pPr>
        <w:jc w:val="both"/>
        <w:ind w:left="1020" w:hanging="503"/>
        <w:spacing w:after="0" w:line="238"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1" w:name="page92"/>
    <w:bookmarkEnd w:id="91"/>
    <w:p>
      <w:pPr>
        <w:jc w:val="both"/>
        <w:ind w:left="1020"/>
        <w:spacing w:after="0" w:line="242" w:lineRule="auto"/>
        <w:rPr>
          <w:sz w:val="20"/>
          <w:szCs w:val="20"/>
          <w:color w:val="auto"/>
        </w:rPr>
      </w:pPr>
      <w:r>
        <w:rPr>
          <w:rFonts w:ascii="Times New Roman" w:cs="Times New Roman" w:eastAsia="Times New Roman" w:hAnsi="Times New Roman"/>
          <w:sz w:val="18"/>
          <w:szCs w:val="18"/>
          <w:color w:val="auto"/>
        </w:rPr>
        <w:t>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77" w:lineRule="exact"/>
        <w:rPr>
          <w:sz w:val="20"/>
          <w:szCs w:val="20"/>
          <w:color w:val="auto"/>
        </w:rPr>
      </w:pPr>
    </w:p>
    <w:p>
      <w:pPr>
        <w:jc w:val="both"/>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9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88"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adintrevimab or any future product candidates, they will remain subject to ongoing regulatory oversight, which may result in significant additional expense.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2" w:name="page93"/>
    <w:bookmarkEnd w:id="92"/>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Even if we obtain any regulatory approval for adintrevimab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adintrevimab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8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adintrevimab or any future product candidates, a regulatory authority may:</w:t>
      </w:r>
    </w:p>
    <w:p>
      <w:pPr>
        <w:spacing w:after="0" w:line="5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 product candidates; or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12"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adintrevimab or any future product candidates and harm our business, financial condition, results of operations and prospects.</w:t>
      </w:r>
    </w:p>
    <w:p>
      <w:pPr>
        <w:spacing w:after="0" w:line="2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authorization under an EUA or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6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In addition, in order to distribute adintrevimab, if authorized under an EUA, we will need to secure and maintain required state licenses.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3" w:name="page94"/>
    <w:bookmarkEnd w:id="93"/>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1"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7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8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While the United States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or the BBA, among other things, amended the ACA, effective January 1, 2019, to close the coverage gap in most Medicare drug plans, commonly referred to as the “donut hole.” On June 17, 2021, the U.S. Supreme Court dismissed on procedural grounds a challenge that argued that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18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unless additional congressional action is taken. However, COVID-19 relief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4" w:name="page95"/>
    <w:bookmarkEnd w:id="94"/>
    <w:p>
      <w:pPr>
        <w:jc w:val="both"/>
        <w:spacing w:after="0"/>
        <w:rPr>
          <w:sz w:val="20"/>
          <w:szCs w:val="20"/>
          <w:color w:val="auto"/>
        </w:rPr>
      </w:pPr>
      <w:r>
        <w:rPr>
          <w:rFonts w:ascii="Times New Roman" w:cs="Times New Roman" w:eastAsia="Times New Roman" w:hAnsi="Times New Roman"/>
          <w:sz w:val="18"/>
          <w:szCs w:val="18"/>
          <w:color w:val="auto"/>
        </w:rPr>
        <w:t>legislation suspended the 2% Medicare sequester from May 1, 2020 through March 31, 2022. Under current legislation the actual reduction in Medicare payments will vary from 1% in 2022 to up to 3% in the final fiscal year of this sequester.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185"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2026.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As a result of litigation challenging the MFN Model, on December 27, 2021, CMS published a final rule that rescinded the MFN Model interim final rule. In July 2021, the Biden administration released an executive order, “Promoting Competition in the American Economy,” with multiple provisions aimed at prescription drugs. In response to the executive order, on September 9, 2021, HHS released a Comprehensive Plan for Addressing High Drug Prices that outlines principles for drug pricing reform and sets out a variety of potential legislative policies that Congress could pursue to advance these principles. In addition, Congress is considering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new regulations or guidance, or revisions or reinterpretations of existing regulations or guidance, may impose additional costs or lengthen FDA review times for adintrevimab or any future product candidates. We cannot determine how changes in regulations, statutes, policies or interpretations when and if issued, enacted or adopted, may affect our business in the future. Such changes could, among other things, require:</w:t>
      </w:r>
    </w:p>
    <w:p>
      <w:pPr>
        <w:spacing w:after="0" w:line="69"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if approved;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5" w:name="page96"/>
    <w:bookmarkEnd w:id="95"/>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adintrevimab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7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including the recently announced transitions of Tillman U. Gerngross, Ph.D. as Chief Executive Officer and Lynn Connolly, M.D. as Chief Medical Officer, could impede the achievement of our development and commercialization objectives and seriously harm our ability to successfully implement our business strategy. Furthermore, replacing executive officers and key employees, including our current search for a permanent Chief Executive Officer,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and key employees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6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Laura Walker, Ph.D., our co-founder and Chief Scientific Officer, serves as Senior Director of Antibody Sciences at Adimab. Terrance McGuire and Ajay Royan, members of our board of directors, serve as directors of Adimab. Other of our directors and officers also serve on the boards of directors of other private and public companies. As a result, these individuals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are beneficial owners of equity interests in Adimab.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29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Adimab is currently our largest stockholder and beneficially owns approximately 25.1% of the voting power of our outstanding common stock as of February 1, 2022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Furthermore, certain of our directors, officers and key employees may have actual or potential conflicts of interest with us because of their positions or affiliations with Adimab or their beneficial ownership of equity in Adimab. Laura Walker, Senior Director of Antibody Sciences at Adimab, and Terrance McGuire and Ajay Royan, members of the board of directors of Adimab, serve on our leadership team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29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and regulatory capabilities and potentially implement sales, marketing and distribution capabilities, and as a result, we may encounter difficulties in managing our growth, which could disrupt our operations.</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Depending on our development progresses, we may experience growth in the number of our employees and the scope of our operations, particularly in the areas of clinical product development, regulatory affairs, manufacturing and, if any of our product candidates receives marketing approval, sales, marketing and distribution. To manage our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90" w:lineRule="exact"/>
        <w:rPr>
          <w:sz w:val="20"/>
          <w:szCs w:val="20"/>
          <w:color w:val="auto"/>
        </w:rPr>
      </w:pPr>
    </w:p>
    <w:p>
      <w:pPr>
        <w:ind w:left="520" w:right="3700"/>
        <w:spacing w:after="0" w:line="383" w:lineRule="auto"/>
        <w:rPr>
          <w:sz w:val="20"/>
          <w:szCs w:val="20"/>
          <w:color w:val="auto"/>
        </w:rPr>
      </w:pPr>
      <w:r>
        <w:rPr>
          <w:rFonts w:ascii="Times New Roman" w:cs="Times New Roman" w:eastAsia="Times New Roman" w:hAnsi="Times New Roman"/>
          <w:sz w:val="17"/>
          <w:szCs w:val="17"/>
          <w:b w:val="1"/>
          <w:bCs w:val="1"/>
          <w:color w:val="auto"/>
        </w:rPr>
        <w:t xml:space="preserve">Risks Related to Ownership of Our Common Stock and Our Status as a Public Company </w:t>
      </w:r>
      <w:r>
        <w:rPr>
          <w:rFonts w:ascii="Times New Roman" w:cs="Times New Roman" w:eastAsia="Times New Roman" w:hAnsi="Times New Roman"/>
          <w:sz w:val="17"/>
          <w:szCs w:val="17"/>
          <w:b w:val="1"/>
          <w:bCs w:val="1"/>
          <w:i w:val="1"/>
          <w:iCs w:val="1"/>
          <w:color w:val="auto"/>
        </w:rPr>
        <w:t>An active trading market for our common stock may not continue to be developed or sustained.</w:t>
      </w:r>
    </w:p>
    <w:p>
      <w:pPr>
        <w:spacing w:after="0" w:line="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Prior to our initial public offering, there was no public market for our common stock. Although our common stock is listed on the Nasdaq Global Market, if an active market for our common stock does not develop or is not sustained, it may be difficult for you to sell shares at an attractive price or at 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7" w:name="page98"/>
    <w:bookmarkEnd w:id="97"/>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volatile, and purchasers of our common stock could incur substantial losses.</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stock price may be volatile. Since our initial public offering and through March 24, 2022, our common stock has traded at prices ranging from $4.05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73" w:lineRule="exact"/>
        <w:rPr>
          <w:sz w:val="20"/>
          <w:szCs w:val="20"/>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ongoing clinical trials of adintrevimab or the commencement, enrollment or results of any future clinical trials we may conduct,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adintrevimab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termination of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adintrevimab or any other product candidate;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new product candidates or technologies, or the results of clinical trials or regulatory decisions;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1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30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7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previously identified a material weakness in our internal control over financial reporting that was identified during the preparation of our March 31, 2021 financial statements.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1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Although we have determined that the previously identified material weakness has been remediated as of December 31, 2021, we cannot assure you that we will not identify other material weaknesses in the future, which could negatively impact our results of operations in future periods.</w:t>
      </w:r>
    </w:p>
    <w:p>
      <w:pPr>
        <w:spacing w:after="0" w:line="16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our initial public offering, we began the process of documenting, reviewing and improving our internal control over financial reporting for compliance with the rules and regulations of the Securities and Exchange Commission, or SEC, which requires annual management assessment of the effectiveness of our internal control over financial reporting.</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w:t>
      </w:r>
    </w:p>
    <w:p>
      <w:pPr>
        <w:spacing w:after="0" w:line="18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Further, if we are unable to meet the demands that have been placed upon us as a public company, including the rules and regulations of the SEC, we may be unable to accurately report our financial results in future periods, or report them within the timeframes required by law or stock exchange regulations. Failure to comply with the rules and regulations of the SEC, when and as applicable, could also potentially subject us to sanctions or investigations by the SEC or other regulatory authorities.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Nasdaq, the SEC or other regulatory authorities, which could require additional financial and management resources.</w:t>
      </w:r>
    </w:p>
    <w:p>
      <w:pPr>
        <w:spacing w:after="0" w:line="29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9" w:name="page100"/>
    <w:bookmarkEnd w:id="99"/>
    <w:p>
      <w:pPr>
        <w:jc w:val="both"/>
        <w:spacing w:after="0" w:line="266" w:lineRule="auto"/>
        <w:rPr>
          <w:sz w:val="20"/>
          <w:szCs w:val="20"/>
          <w:color w:val="auto"/>
        </w:rPr>
      </w:pPr>
      <w:r>
        <w:rPr>
          <w:rFonts w:ascii="Times New Roman" w:cs="Times New Roman" w:eastAsia="Times New Roman" w:hAnsi="Times New Roman"/>
          <w:sz w:val="18"/>
          <w:szCs w:val="18"/>
          <w:color w:val="auto"/>
        </w:rPr>
        <w:t>equity research analysts ceases coverage of our company or fails to publish reports on us regularly, demand for our stock could decrease, which in turn could cause our stock price or trading volume to decline.</w:t>
      </w:r>
    </w:p>
    <w:p>
      <w:pPr>
        <w:spacing w:after="0" w:line="266"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available for immediate resale. This could cause the market price of our common stock to drop significantly, even if our business is doing well .</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18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Additionally, the holders of an aggregate of approximately 44.0 million shares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charter documents will also contain other provisions that could have an anti-takeover effect, including:</w:t>
      </w:r>
    </w:p>
    <w:p>
      <w:pPr>
        <w:spacing w:after="0" w:line="10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vote and only for cause;</w:t>
      </w:r>
    </w:p>
    <w:p>
      <w:pPr>
        <w:spacing w:after="0" w:line="4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21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five percent or more of our common stock and their respective affiliates beneficially own a majority of our outstanding common stock. As a result, these persons, acting together,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8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7" w:lineRule="exact"/>
        <w:rPr>
          <w:sz w:val="20"/>
          <w:szCs w:val="20"/>
          <w:color w:val="auto"/>
        </w:rPr>
      </w:pPr>
    </w:p>
    <w:p>
      <w:pPr>
        <w:ind w:left="1020" w:right="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Exchange Act of 1934, as amended, or the Exchange Act. 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285"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marketable securities, including the net proceeds from our initial public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1" w:name="page102"/>
    <w:bookmarkEnd w:id="101"/>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have broad discretion over the use of our cash, cash equivalents and marketable securities, including the net proceeds from our initial public offering. You may not agree with our decisions, and our use of the proceeds may not yield any return on your investment. Our failure to apply our cash, cash equivalents and marketable securities effectively could compromise our ability to pursue our growth strategy and we might not be able to yield a significant return, if any, on our investment of our cash, cash equivalents and marketable securities. You will not have the opportunity to influence our decisions on how to use our cash, cash equivalents and marketable securities.</w:t>
      </w:r>
    </w:p>
    <w:p>
      <w:pPr>
        <w:spacing w:after="0" w:line="2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12"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18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becoming a public company, which could lower our profits or make it more difficult to run our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2" w:name="page103"/>
    <w:bookmarkEnd w:id="102"/>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0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2021, we had U.S. federal net operating loss, or NOL, carryforwards of $221.9 million, which may be available to reduce future taxable income and have an indefinite carryforward period but are limited in their usage to an annual deduction equal to 80% of annual taxable income. In addition, as of December 31, 2021, we had state NOL carryforwards of $81.9 million, which may be available to reduce future taxable income, of which $3.4 million have an indefinite carryforward period while the remaining $78.5 million begin to expire in 2041. As of December 31, 2021, we also had U.S. federal and state research and development tax credit carryforwards of $3.3 million and $1.3 million, respectively, which may be available to reduce future tax liabilities and expire at various dates beginning in 2041 and 2036, respectively.</w:t>
      </w:r>
    </w:p>
    <w:p>
      <w:pPr>
        <w:spacing w:after="0" w:line="18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may be limited. It is uncertain how various states will respond to the Tax Act and the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Our initial public offering,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18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eliminates the currently available option to deduct research and development expenditures and requires taxpayers to amortize them over five years. The U.S. Congress is considering legislation that would defer the amortization requirement to future periods; however, there is no assurance that the provision will be repealed or otherwise modified. If the requirement is not repealed or modified, it will have a material impact on our cash flows beginning in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3" w:name="page104"/>
    <w:bookmarkEnd w:id="10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or FCPA, and similar anti-bribery and anti-corruption laws.</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The FDA is currently conducting mission-critical and other limited foreign inspections and is planning more foreign inspections beginning in April 2022, and resumed planning and conducting domestic surveillance inspections on February 7, 2022.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2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geopolitical events could adversely affect our business, financial condition or results of operations, including clinical trials.</w:t>
      </w:r>
    </w:p>
    <w:p>
      <w:pPr>
        <w:spacing w:after="0" w:line="5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financial markets and the global economy may also be adversely affected by the current or anticipated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04" w:name="page105"/>
    <w:bookmarkEnd w:id="104"/>
    <w:p>
      <w:pPr>
        <w:jc w:val="both"/>
        <w:spacing w:after="0" w:line="237" w:lineRule="auto"/>
        <w:rPr>
          <w:sz w:val="20"/>
          <w:szCs w:val="20"/>
          <w:color w:val="auto"/>
        </w:rPr>
      </w:pPr>
      <w:r>
        <w:rPr>
          <w:rFonts w:ascii="Times New Roman" w:cs="Times New Roman" w:eastAsia="Times New Roman" w:hAnsi="Times New Roman"/>
          <w:sz w:val="18"/>
          <w:szCs w:val="18"/>
          <w:color w:val="auto"/>
        </w:rPr>
        <w:t>impact of military conflict, including the ongoing conflict between Russia and Ukraine, terrorism or other geopolitical events. Sanctions imposed by the United States and other countries in response to such conflicts, including the one in Ukraine, may also adversely impact our clinical trials, the financial markets and the global economy, and any economic countermeasures by the affected countries or others could exacerbate market and economic instability. Portions of our future clinical trials may be conducted outside of the United States and unfavorable economic conditions resulting in the weakening of the U.S. dollar would make those clinical trials more costly to operate. Some of our clinical trial sites are in regions impacted by the ongoing geopolitical conflict between Russia and Ukraine. Furthermore, a severe or prolonged economic downturn, including a recession or depression resulting from the current COVID-19 pandemic,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principal office is located at 1601 Trapelo Road, Suite 178, Waltham, MA, 02451, where we lease 9,600 square feet of office space for general and administrative purposes. We lease this space under a lease agreement that terminates on September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party to any material legal proceedings. From time to time, we may become involved in litigation or legal proceedings relating to claims arising from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20" w:lineRule="exact"/>
        <w:rPr>
          <w:sz w:val="20"/>
          <w:szCs w:val="20"/>
          <w:color w:val="auto"/>
        </w:rPr>
      </w:pPr>
    </w:p>
    <w:p>
      <w:pPr>
        <w:ind w:right="1920"/>
        <w:spacing w:after="0" w:line="36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"ADGI" since August 6, 2021.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24, 2022, there were 42 holders of record of our common stock.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all available funds and future earnings for the development, operation and expansion of our business and do not anticipate declaring or paying any cash dividends for the foreseeable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April 2021, we issued and sold an aggregate of 4,296,550 shares of our Series C preferred stock to 36 investors at a purchase price of $78.08578 per share, for aggregate consideration of $335.5 million. The issuance of these securities was exempt from registration under Section 4(a)(2) of the Securities Act and Rule 506(b) of Regulation D promulgated thereunder.</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April 2021, we issued and sold 1,000 shares of our common stock to one investor at a price of $15.88 per share, for consideration of $15,871. The issuance of these securities was exempt from registration under Section 4(a)(2) of the Securities Act and Rule 506(b) of Regulation D promulgated thereunder.</w:t>
      </w:r>
    </w:p>
    <w:p>
      <w:pPr>
        <w:spacing w:after="0" w:line="17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May 2021, we issued 5,000 shares of our common stock to a consultant in exchange for services. The issuance of these securities was exempt from registration under Section 4(a)(2) of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August 5, 2021, our Registration Statement on Form S-1, as amended (File No. 333-257975), was declared effective in connection with our initial public offering,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initial public offering closed on August 10, 2021. The aggregate net proceeds received by the Company from the IPO were approximately $327.5 million, after deducting underwriting discounts and commissions of $24.9 million and offering expenses payable by the Company of $3.4 million. In connection with our initial public offering, no payments were made by us to directors, officers or persons owning ten percent or more of our common stock or to their associates or to our affiliates. There has been no material change in the planned use of proceeds from our initial public offering as described in our prospectus filed pursuant to Rule 424(b)(4) under the Securities Act with the SEC on August 6, 2021.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Maximum Number (or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0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 Average Price Paid</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00" w:type="dxa"/>
            <w:vAlign w:val="bottom"/>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 May Yet Be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3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0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October 1, 2021 to October 31, 2021</w:t>
            </w:r>
          </w:p>
        </w:tc>
        <w:tc>
          <w:tcPr>
            <w:tcW w:w="1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540" w:type="dxa"/>
            <w:vAlign w:val="bottom"/>
          </w:tcPr>
          <w:p>
            <w:pPr>
              <w:ind w:left="13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1, 2021 to November 30, 2021</w:t>
            </w:r>
          </w:p>
        </w:tc>
        <w:tc>
          <w:tcPr>
            <w:tcW w:w="1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468,751</w:t>
            </w:r>
          </w:p>
        </w:tc>
        <w:tc>
          <w:tcPr>
            <w:tcW w:w="380" w:type="dxa"/>
            <w:vAlign w:val="bottom"/>
            <w:vMerge w:val="continue"/>
          </w:tcPr>
          <w:p>
            <w:pPr>
              <w:spacing w:after="0"/>
              <w:rPr>
                <w:sz w:val="17"/>
                <w:szCs w:val="17"/>
                <w:color w:val="auto"/>
              </w:rPr>
            </w:pP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0.002</w:t>
            </w:r>
          </w:p>
        </w:tc>
        <w:tc>
          <w:tcPr>
            <w:tcW w:w="220" w:type="dxa"/>
            <w:vAlign w:val="bottom"/>
          </w:tcPr>
          <w:p>
            <w:pPr>
              <w:spacing w:after="0"/>
              <w:rPr>
                <w:sz w:val="17"/>
                <w:szCs w:val="17"/>
                <w:color w:val="auto"/>
              </w:rPr>
            </w:pPr>
          </w:p>
        </w:tc>
        <w:tc>
          <w:tcPr>
            <w:tcW w:w="1540" w:type="dxa"/>
            <w:vAlign w:val="bottom"/>
          </w:tcPr>
          <w:p>
            <w:pPr>
              <w:ind w:left="134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1, 2021 to December 31, 2021</w:t>
            </w:r>
          </w:p>
        </w:tc>
        <w:tc>
          <w:tcPr>
            <w:tcW w:w="1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ind w:left="134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468,751</w:t>
            </w:r>
          </w:p>
        </w:tc>
        <w:tc>
          <w:tcPr>
            <w:tcW w:w="38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0.002</w:t>
            </w:r>
          </w:p>
        </w:tc>
        <w:tc>
          <w:tcPr>
            <w:tcW w:w="220" w:type="dxa"/>
            <w:vAlign w:val="bottom"/>
          </w:tcPr>
          <w:p>
            <w:pPr>
              <w:spacing w:after="0"/>
              <w:rPr>
                <w:sz w:val="17"/>
                <w:szCs w:val="17"/>
                <w:color w:val="auto"/>
              </w:rPr>
            </w:pPr>
          </w:p>
        </w:tc>
        <w:tc>
          <w:tcPr>
            <w:tcW w:w="1540" w:type="dxa"/>
            <w:vAlign w:val="bottom"/>
          </w:tcPr>
          <w:p>
            <w:pPr>
              <w:ind w:left="13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-159385</wp:posOffset>
            </wp:positionV>
            <wp:extent cx="774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-159385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-159385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5" w:lineRule="exact"/>
        <w:rPr>
          <w:sz w:val="20"/>
          <w:szCs w:val="20"/>
          <w:color w:val="auto"/>
        </w:rPr>
      </w:pPr>
    </w:p>
    <w:p>
      <w:pPr>
        <w:ind w:firstLine="8"/>
        <w:spacing w:after="0" w:line="287" w:lineRule="auto"/>
        <w:tabs>
          <w:tab w:leader="none" w:pos="170" w:val="left"/>
        </w:tabs>
        <w:numPr>
          <w:ilvl w:val="0"/>
          <w:numId w:val="5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repurchased 468,751 shares of our common stock that were previously issued upon the early exercise of employee stock options in connection with the exercise of our repurchase right upon cessation of employment of certain of our employees.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Adagio Therapeutics, Inc. is a clinical-stage biopharmaceutical company focused on the discovery, development and commercialization of differentiated products for the prevention and treatment of infectious disease. We are developing our lead product candidate, adintrevimab, for the prevention and treatment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prevention and treatment options for years to come. We are leveraging our team’s collective expertise and platform to deliver adintrevimab to patients and to discover novel solutions to infectious diseases through internal research and collaborations.</w:t>
      </w:r>
    </w:p>
    <w:p>
      <w:pPr>
        <w:spacing w:after="0" w:line="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Adintrevimab is designed to be a potent, long-acting and broadly neutralizing antibody for both the prevention and treatment of COVID-19. We believe several key attributes combine to differentiate adintrevimab, including breadth, potency, durability of protection, convenient intramuscular, or IM, administration, and potential for broad application across multiple indications, depending on the SARS-CoV-2 variant.</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Data from our Phase 1 healthy volunteer study ADG20-1-001 confirmed the extended half-life of adintrevimab, which we believe may allow for durable protection against COVID-19, depending on the variant. In February 2022, we expanded the Phase 1 study to evaluate safety and pharmacokinetics at higher doses. As of March 27, 2022, there were no study drug related adverse events, serious adverse events, injection-site reactions or hypersensitivity reactions reported across all dose levels evaluated.</w:t>
      </w:r>
    </w:p>
    <w:p>
      <w:pPr>
        <w:spacing w:after="0" w:line="7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are assessing adintrevimab in two separate Phase 2/3 clinical trials: our EVADE trial to evaluate adintrevimab for the prevention of COVID-19 and our STAMP trial to evaluate adintrevimab for the treatment of COVID-19. Our EVADE clinical trial is a global Phase 2/3 clinical trial evaluating adintrevimab as a prevention for COVID-19 in both the post-exposure and pre-exposure settings. Our STAMP trial is our global Phase 2/3 clinical trial evaluating adintrevimab as a treatment for COVID-19. Due to the emergence and global spread of the Omicron variant,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compared to prior variants, enrollment in both EVADE and STAMP was paused on January 11, 2022, and preliminary efficacy and safety data were evaluated in pre-and post-Omicron populations.</w:t>
      </w:r>
    </w:p>
    <w:p>
      <w:pPr>
        <w:spacing w:after="0" w:line="7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the primary analysis population, patients infected with or exposed to a non-Omicron variant, or the pre-Omicron group, adintrevimab met the primary objectives across all three indications, demonstrating statistically significant and clinically meaningful efficacy. In pre-exposure and post-exposure prophylaxis, adintrevimab was associated with 71% and 75% relative risk reductions compared to placebo, respectively, in the prevention of RT-PCR confirmed symptomatic COVID-19. In an exploratory analysis of patients exposed to the Omicron variant, or the post-Omicron group, in pre-exposure prophylaxis, adintrevimab was associated with a clinically meaningful reduction in the risk of developing RT-PCR confirmed symptomatic COVID-19 compared with placebo. In treatment, adintrevimab was associated with a 66% relative risk reduction compared to placebo in the incidence COVID-19 related hospitalization or all cause death through Day 29 in the pre-Omicron group. In patients treated within three days of symptom onset, adintrevimab was associated with a reduced risk of COVID-19 hospitalization or death from any cause through Day 29 by 77% compared to placebo. A preliminary analysis of available safety data in each trial revealed a safety profile similar to that of placebo for adintrevimab.</w:t>
      </w:r>
    </w:p>
    <w:p>
      <w:pPr>
        <w:spacing w:after="0" w:line="8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also evaluating additional broadly neutralizing antibodies targeting the receptor binding domain, or RBD, as well as other subdomains within the spike protein for COVID-19. In addition, we plan to leverage the robust antibody discovery and development capabilities that have enabled our expedited advancement of adintrevimab into clinical trials to develop therapeutic or preventative options for other infectious diseases, such as additional coronaviruses and influenza. In addition to building a portfolio of broadly neutralizing antibodies, we are leveraging our knowledge around broadly neutralizing antibody responses to inform the rational design of coronavirus vaccine antigens.</w:t>
      </w:r>
    </w:p>
    <w:p>
      <w:pPr>
        <w:spacing w:after="0" w:line="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SARS-CoV-2 has given rise to a global pandemic that swept rapidly throughout the world in 2020. Of significant current concern is the continued emergence of a number of SARS-CoV-2 variants with increased transmissibility, pathogenicity, and/or the ability to evade neutralizing antibodies. In addition to the emergence of these variants, there are multiple factors that we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08" w:name="page109"/>
    <w:bookmarkEnd w:id="108"/>
    <w:p>
      <w:pPr>
        <w:jc w:val="both"/>
        <w:spacing w:after="0" w:line="242" w:lineRule="auto"/>
        <w:rPr>
          <w:sz w:val="20"/>
          <w:szCs w:val="20"/>
          <w:color w:val="auto"/>
        </w:rPr>
      </w:pPr>
      <w:r>
        <w:rPr>
          <w:rFonts w:ascii="Times New Roman" w:cs="Times New Roman" w:eastAsia="Times New Roman" w:hAnsi="Times New Roman"/>
          <w:sz w:val="18"/>
          <w:szCs w:val="18"/>
          <w:color w:val="auto"/>
        </w:rPr>
        <w:t>believe contribute to the likelihood of COVID-19 becoming an endemic threat, including: (1) viral transmission before symptom onset; (2) uneven global rollout of vaccinations; (3) ongoing vaccine hesitancy; (4) limited duration of immunity conferred by both natural infection and vaccination; (5) limited vaccine efficacy against certain SARS-CoV-2 variants; (6) uncertain impact of vaccines on transmission; and (7) variable implementation of virus mitigation behaviors, such as wearing masks and social distancing. We also believe that future pandemics similar to the COVID-19 pandemic are likely because, in many parts of the world, humans live in close proximity to animal species harboring coronaviruses that are capable of infecting humans.</w:t>
      </w:r>
    </w:p>
    <w:p>
      <w:pPr>
        <w:spacing w:after="0" w:line="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Our vision is to discover, develop and commercialize differentiated products for the prevention and treatment of infectious diseases. To enable this vision, our current discovery efforts are focused on unique antibody-based product candidates that we optimize to improve breadth, potency, half-life, where applicable, and developability. Key elements that we believe differentiate our approach include: (1) recognition of the importance of and identification of broadly neutralizing antibodies; (2) industry-leading B cell mining, protein engineering and developability screening capabilities through our internal expertise and collaborations; and (3) reducing risk of clinical resistance.</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Adagio, Adagio will have the exclusive option to require Adimab to assign us its rights in any such antibody and to grant us certain licenses. In addition, the Company engages third parties, including The Scripps Research Institute, or TSRI, to perform ongoing research and development and other services on its behalf.</w:t>
      </w:r>
    </w:p>
    <w:p>
      <w:pPr>
        <w:spacing w:after="0" w:line="18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and testing of our product candidates.</w:t>
      </w:r>
    </w:p>
    <w:p>
      <w:pPr>
        <w:spacing w:after="0" w:line="1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Since our inception, we have financed our operations with net proceeds of $464.7 million from sales of our preferred stock, and most recently, with net proceeds from our initial public offering, or IPO. 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 To date, we have not generated any revenue from any sources, including product sales.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Since our inception, we have incurred significant losses, including net losses of $226.8 million and $65.3 million for the year ended December 31, 2021 and the period from June 3, 2020 (inception) to December 31, 2020, respectively. As of December 31, 2021, we had an accumulated deficit of $292.1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substantially in connection with our ongoing activities, as we:</w:t>
      </w:r>
    </w:p>
    <w:p>
      <w:pPr>
        <w:spacing w:after="0" w:line="77" w:lineRule="exact"/>
        <w:rPr>
          <w:sz w:val="20"/>
          <w:szCs w:val="20"/>
          <w:color w:val="auto"/>
        </w:rPr>
      </w:pPr>
    </w:p>
    <w:p>
      <w:pPr>
        <w:jc w:val="both"/>
        <w:ind w:left="1140" w:hanging="504"/>
        <w:spacing w:after="0" w:line="250"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clinical trials of adintrevimab, including advancement through late-stage global clinical trials, as well as initiate and complete additional clinical trials of future product candidates or current product candidates in new indications or patient populations;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9" w:name="page110"/>
    <w:bookmarkEnd w:id="109"/>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development of our other product candidates and our preclinical and discovery programs;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or EUA and reimbursement for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establish and validate our commercial-scale current good manufacturing practices, or cGMP, manufacturing process;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 under cGMP for clinical trials and potential EUA and commercial sales at our contracted manufacturing facilities;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 up manufacturing capabilities to commercialize any product candidates for which we may obtain regulatory approval or EUA;</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including research, clinical, development, manufacturing, quality control, quality assurance, regulatory and scientific personnel;</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1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for any of our product candidates for the prevention and/or treatment of COVID-19,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of $591.4 million as of December 31, 2021, will be sufficient to fund our operating expenses and capital expenditure requirements into the second half of 2024. We have based this estimate on assumptions that may prove to be wrong, and we could exhaust our available capital resources sooner than we expect. See “—Liquidity and Capital Resources.”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Operations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global pandemic. The evolving and constantly changing impact of the pandemic will directly affect the potential commercial prospects of adintrevimab for the prevention and treatment of COVID-19. The severity of the COVID-19 pandemic and the continued emergence of variants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0" w:name="page111"/>
    <w:bookmarkEnd w:id="110"/>
    <w:p>
      <w:pPr>
        <w:jc w:val="both"/>
        <w:spacing w:after="0" w:line="245" w:lineRule="auto"/>
        <w:rPr>
          <w:sz w:val="20"/>
          <w:szCs w:val="20"/>
          <w:color w:val="auto"/>
        </w:rPr>
      </w:pPr>
      <w:r>
        <w:rPr>
          <w:rFonts w:ascii="Times New Roman" w:cs="Times New Roman" w:eastAsia="Times New Roman" w:hAnsi="Times New Roman"/>
          <w:sz w:val="18"/>
          <w:szCs w:val="18"/>
          <w:color w:val="auto"/>
        </w:rPr>
        <w:t>concern (such as the widespread Omicron and Delta variants), the availability, administration and acceptance of vaccines, monoclonal antibodies, antiviral agents and other therapeutic modalities, the introduction of local, national and/or employer vaccine mandates,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81"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outbreaks and the continued emergence of variants, its impact on our clinical trial design and enrollment, trial sites, contract research organizations, or CROs, contract development and manufacturing organizations, or CDMOs,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CROs, CDMOs and other service providers also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third-party manufacturers;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04" w:lineRule="exact"/>
        <w:rPr>
          <w:sz w:val="20"/>
          <w:szCs w:val="20"/>
          <w:color w:val="auto"/>
        </w:rPr>
      </w:pPr>
    </w:p>
    <w:p>
      <w:pPr>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consultants, contractors and CROs, that conduct the non-clinical and preclinical studies and clinical trials of our product candidates and research programs;</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and clinical trials from third-party CDMOs;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1" w:name="page112"/>
    <w:bookmarkEnd w:id="111"/>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7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adintrevimab.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1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adintrevimab through clinical development on a global basis, pursue regulatory approval of adintrevimab, continue to discover and develop additional product candidates and incur expenses associated with hiring additional personnel to support our research and development efforts, including the associated manufacturing activities.</w:t>
      </w:r>
    </w:p>
    <w:p>
      <w:pPr>
        <w:spacing w:after="0" w:line="1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69" w:lineRule="exact"/>
        <w:rPr>
          <w:sz w:val="20"/>
          <w:szCs w:val="20"/>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adintrevimab or any other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68"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2" w:name="page113"/>
    <w:bookmarkEnd w:id="112"/>
    <w:p>
      <w:pPr>
        <w:ind w:left="1140" w:hanging="504"/>
        <w:spacing w:after="0" w:line="266"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particularly in light of the current COVID-19 pandemic.</w:t>
      </w:r>
    </w:p>
    <w:p>
      <w:pPr>
        <w:spacing w:after="0" w:line="16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We may never succeed in obtaining regulatory approval or EUA for any of our product candidates. In addition, in the absence of a public health emergency, we will not be able to receive an EUA. The national public health emergency declaration was most recently renewed in January 2022 and may or may not be renewed again.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Acquired in-process research and development, or IPR&amp;D, expenses consist primarily of the upfront costs we incurred in July 2020, as well as any costs of contingent milestone payments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payments to Adimab under the terms of the agreement by which we acquired the IPR&amp;D assets.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1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 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Through December 31, 2021, we have operated as a virtual company and maintain a corporate headquarters for general and administrative purposes only. Therefore, we do not incur material operating expenses for the rent, maintenance and insurance of facilities or for depreciation of fixed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or NOL, carryforwards and tax credit carryforwards will not be realized.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2021 and the Period from June 3, 2020 (Inception) to December 31, 2020</w:t>
      </w:r>
    </w:p>
    <w:p>
      <w:pPr>
        <w:spacing w:after="0" w:line="108" w:lineRule="exact"/>
        <w:rPr>
          <w:sz w:val="20"/>
          <w:szCs w:val="20"/>
          <w:color w:val="auto"/>
        </w:rPr>
      </w:pPr>
    </w:p>
    <w:p>
      <w:pPr>
        <w:jc w:val="both"/>
        <w:ind w:left="60"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 ended December 31, 2021 and the period from June 3, 2020 (inception) to December 31, 2020. We were formed in June 2020 and, accordingly, our results of operations for the period from June 3, 2020 (inception) to December 31, 2020 are not comparable to our results of operations for the year ended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1860" w:type="dxa"/>
            <w:vAlign w:val="bottom"/>
            <w:gridSpan w:val="4"/>
          </w:tcPr>
          <w:p>
            <w:pPr>
              <w:jc w:val="right"/>
              <w:ind w:right="1217"/>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182,891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21,992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7,500</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40,125</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36,517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226,908</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65,327</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1740" w:type="dxa"/>
            <w:vAlign w:val="bottom"/>
            <w:gridSpan w:val="3"/>
          </w:tcPr>
          <w:p>
            <w:pPr>
              <w:jc w:val="right"/>
              <w:ind w:right="128"/>
              <w:spacing w:after="0" w:line="196" w:lineRule="exact"/>
              <w:rPr>
                <w:sz w:val="20"/>
                <w:szCs w:val="20"/>
                <w:color w:val="auto"/>
              </w:rPr>
            </w:pPr>
            <w:r>
              <w:rPr>
                <w:rFonts w:ascii="Times New Roman" w:cs="Times New Roman" w:eastAsia="Times New Roman" w:hAnsi="Times New Roman"/>
                <w:sz w:val="18"/>
                <w:szCs w:val="18"/>
                <w:color w:val="auto"/>
              </w:rPr>
              <w:t>(226,908 )</w:t>
            </w:r>
          </w:p>
        </w:tc>
        <w:tc>
          <w:tcPr>
            <w:tcW w:w="160" w:type="dxa"/>
            <w:vAlign w:val="bottom"/>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(65,327 )</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3"/>
          </w:tcPr>
          <w:p>
            <w:pPr>
              <w:jc w:val="right"/>
              <w:ind w:right="128"/>
              <w:spacing w:after="0" w:line="196" w:lineRule="exact"/>
              <w:rPr>
                <w:sz w:val="20"/>
                <w:szCs w:val="20"/>
                <w:color w:val="auto"/>
              </w:rPr>
            </w:pPr>
            <w:r>
              <w:rPr>
                <w:rFonts w:ascii="Times New Roman" w:cs="Times New Roman" w:eastAsia="Times New Roman" w:hAnsi="Times New Roman"/>
                <w:sz w:val="18"/>
                <w:szCs w:val="18"/>
                <w:color w:val="auto"/>
              </w:rPr>
              <w:t>(226,790 )</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(65,319 )</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5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1880" w:type="dxa"/>
            <w:vAlign w:val="bottom"/>
            <w:gridSpan w:val="4"/>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Adintrevimab</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136,470</w:t>
            </w: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18,523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7"/>
                <w:szCs w:val="17"/>
                <w:color w:val="auto"/>
              </w:rPr>
              <w:t>ADG10</w:t>
            </w:r>
            <w:r>
              <w:rPr>
                <w:rFonts w:ascii="Times New Roman" w:cs="Times New Roman" w:eastAsia="Times New Roman" w:hAnsi="Times New Roman"/>
                <w:sz w:val="23"/>
                <w:szCs w:val="23"/>
                <w:color w:val="auto"/>
                <w:vertAlign w:val="superscript"/>
              </w:rPr>
              <w:t>(1)</w:t>
            </w:r>
          </w:p>
        </w:tc>
        <w:tc>
          <w:tcPr>
            <w:tcW w:w="1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10,881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3"/>
            <w:shd w:val="clear" w:color="auto" w:fill="CFF0FC"/>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23,470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1,743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External discovery-related costs and other</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12,070</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1,726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182,891</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21,992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-2636520</wp:posOffset>
            </wp:positionV>
            <wp:extent cx="603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-2636520</wp:posOffset>
            </wp:positionV>
            <wp:extent cx="596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-2096770</wp:posOffset>
            </wp:positionV>
            <wp:extent cx="6032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-2096770</wp:posOffset>
            </wp:positionV>
            <wp:extent cx="5969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ind w:left="180" w:hanging="172"/>
        <w:spacing w:after="0" w:line="204" w:lineRule="auto"/>
        <w:tabs>
          <w:tab w:leader="none" w:pos="180" w:val="left"/>
        </w:tabs>
        <w:numPr>
          <w:ilvl w:val="0"/>
          <w:numId w:val="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discontinued development of ADG10 due its less favorable neutralization profile compared to adintrevimab.</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$182.9 million for the year ended December 31, 2021 and consisted primarily of the following:</w:t>
      </w:r>
    </w:p>
    <w:p>
      <w:pPr>
        <w:spacing w:after="0" w:line="104" w:lineRule="exact"/>
        <w:rPr>
          <w:sz w:val="20"/>
          <w:szCs w:val="20"/>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$77.2 million of clinical trial expenses related to start-up and ongoing activities for our clinical trials for the adintrevimab program;</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 million of contract development and manufacturing expenses related to the production of materials for use in our nonclinical studies and clinical trials for the adintrevimab and ADG10 programs, as well as supply for use under a potential EUA for adintrevimab, procured primarily from WuXi, our sole-source supplier of drug substance and drug product;</w:t>
      </w:r>
    </w:p>
    <w:p>
      <w:pPr>
        <w:spacing w:after="0" w:line="68"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 million of personnel-related costs, including salaries, bonuses and other compensation-related costs, including stock-based compensation of $6.6 million;</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million of external discovery-related and other costs;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of other external research and development costs associated with the adintrevimab program, including consulting services, insurance costs and software expenditures;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4" w:name="page115"/>
    <w:bookmarkEnd w:id="114"/>
    <w:p>
      <w:pPr>
        <w:ind w:left="1140" w:right="20" w:hanging="504"/>
        <w:spacing w:after="0" w:line="26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of other contracted facility and product supply expenses related to services, storage, distribution and testing costs for the adintrevimab and ADG10 programs;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non-clinical studies expenses associated with the adintrevimab program.</w:t>
      </w:r>
    </w:p>
    <w:p>
      <w:pPr>
        <w:spacing w:after="0" w:line="212"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contract manufacturing, clinical and other external research and development costs for our adintrevimab program were incurred in connection with our first-in-human Phase 1 clinical trial to evaluate adintrevimab, our Phase 2/3 EVADE trial of adintrevimab for the prevention of COVID-19 and our Phase 2/3 STAMP trial of adintrevimab for the treatment of COVID-19.</w:t>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$22.0 million for the period from June 30, 2020 (inception) to December 31, 2020 and consisted primarily of the following:</w:t>
      </w:r>
    </w:p>
    <w:p>
      <w:pPr>
        <w:spacing w:after="0" w:line="54" w:lineRule="exact"/>
        <w:rPr>
          <w:sz w:val="20"/>
          <w:szCs w:val="20"/>
          <w:color w:val="auto"/>
        </w:rPr>
      </w:pPr>
    </w:p>
    <w:p>
      <w:pPr>
        <w:ind w:left="1140" w:hanging="504"/>
        <w:spacing w:after="0" w:line="266"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million of contract development and manufacturing expenses related to the production of materials for use in our preclinical studies and clinical trials for the adintrevimab program, procured primarily from WuXi, our sole-source supplier of drug substance;</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clinical trial expenses related to start-up activities for our clinical trials for the adintrevimab program;</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other external research and development costs associated with the adintrevimab program, including consulting services, insurance costs and software expenditures;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non-clinical studies expenses associated with the adintrevimab program;</w:t>
      </w:r>
    </w:p>
    <w:p>
      <w:pPr>
        <w:spacing w:after="0" w:line="10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personnel-related costs, including salaries, bonuses and other compensation-related costs, including stock-based compensation of $0.1 million;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external discovery-related and other costs.</w:t>
      </w:r>
    </w:p>
    <w:p>
      <w:pPr>
        <w:spacing w:after="0" w:line="21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contract manufacturing, clinical and other external research and development costs for our adintrevimab program were incurred in connection with our first-in-human Phase 1 clinical trial to evaluate adintrevimab and our Phase 2/3 STAMP trial of adintrevimab for the treatment of COVID-19.</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Acquired IPR&amp;D expenses of $7.5 million for the year ended December 31, 2021 consisted of the costs we incurred in the period under the Adimab Assignment Agreement for a $1.0 million milestone payment that became due to Adimab in February 2021 upon the dosing of the first patient in a Phase 1 clinical trial evaluating adintrevimab, a $2.5 million milestone payment that became due to Adimab in April 2021 upon the dosing of the first patient in the first Phase 2 clinical trial evaluating adintrevimab for the prevention of COVID-19, and a $4.0 million milestone payment that became due to Adimab in August 2021 upon dosing of the first patient in a Phase 3 clinical trial evaluating adintrevimab for the prevention of COVID-19. The second and third milestones were achieved in connection with our combined Phase 2/3 EVADE global clinical trial of adintrevimab for the prevention of COVID-19. We recognized the expense related to the first, second and third milestone payments in February, April and August 2021, respectively, when we deemed it probable that each specified milestone would be achieved. The amounts of these contingent payments were recognized as an IPR&amp;D expense based on the nature, assessed as of each milestone achievement date, of the assets originally acquired from Adimab.</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Acquired IPR&amp;D expenses of $40.1 million for the year ended December 31, 2020 consisted primarily of the $39.9 million of costs we incurred in July 2020 to acquire rights to Adimab’s antibodies relating to COVID-19 and SARS and related intellectual property and a license to certain of Adimab’s platform patents and technology for use in the research and development of our product candidates.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1880" w:type="dxa"/>
            <w:vAlign w:val="bottom"/>
            <w:gridSpan w:val="3"/>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19,540</w:t>
            </w:r>
          </w:p>
        </w:tc>
        <w:tc>
          <w:tcPr>
            <w:tcW w:w="420" w:type="dxa"/>
            <w:vAlign w:val="bottom"/>
            <w:gridSpan w:val="2"/>
            <w:shd w:val="clear" w:color="auto" w:fill="CFF0FC"/>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1,239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Professional and consultant fees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15,563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1,414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122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36,517</w:t>
            </w:r>
          </w:p>
        </w:tc>
        <w:tc>
          <w:tcPr>
            <w:tcW w:w="4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431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Selling, general and administrative expenses were $36.5 million for the year ended December 31, 2021 and consisted primarily of:</w:t>
      </w:r>
    </w:p>
    <w:p>
      <w:pPr>
        <w:spacing w:after="0" w:line="104" w:lineRule="exact"/>
        <w:rPr>
          <w:sz w:val="20"/>
          <w:szCs w:val="20"/>
          <w:color w:val="auto"/>
        </w:rPr>
      </w:pPr>
    </w:p>
    <w:p>
      <w:pPr>
        <w:ind w:left="1140" w:hanging="504"/>
        <w:spacing w:after="0" w:line="266"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million of personnel-related costs, including salaries, bonuses and other compensation-related costs, including stock-based compensation of $11.2 million;</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million of professional service fees, including corporate legal costs as well as costs related to intellectual property, legal and compliance costs;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market research costs relating to developing our potential commercialization plans and brand-related matters;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insurance costs;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related to non-capital software and hardware and other office-related expenses.</w:t>
      </w:r>
    </w:p>
    <w:p>
      <w:pPr>
        <w:spacing w:after="0" w:line="23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$3.2 million for the period from June 30, 2020 (inception) to December 31, 2020 and consisted primarily of:</w:t>
      </w:r>
    </w:p>
    <w:p>
      <w:pPr>
        <w:spacing w:after="0" w:line="54" w:lineRule="exact"/>
        <w:rPr>
          <w:sz w:val="20"/>
          <w:szCs w:val="20"/>
          <w:color w:val="auto"/>
        </w:rPr>
      </w:pPr>
    </w:p>
    <w:p>
      <w:pPr>
        <w:ind w:left="1140" w:right="20" w:hanging="504"/>
        <w:spacing w:after="0" w:line="266"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personnel-related costs, including salaries, bonuses and other compensation-related costs, including stock-based compensation of $30,000;</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professional service fees, including corporate legal costs as well as costs related to intellectual property, legal and compliance costs;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market research costs relating to developing our potential commercialization plans and brand-related matters;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related to non-capital software and hardware and other office-related expenses.</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year ended December 31, 2021 was $0.1 million, consisting primarily of $1.7 million of interest earned on our invested cash balances, partially offset by $1.4 million of net amortization of premiums related to our marketable securities.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year ended December 31, 2020 was less than $0.1 million, consisting of interest earned on our invested cash balances.</w:t>
      </w:r>
    </w:p>
    <w:p>
      <w:pPr>
        <w:spacing w:after="0" w:line="26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Since our inception in June 2020, we have not generated any revenue from any sources, including from product sales, and have incurred significant operating losses and negative cash flows from operations. We expect to incur substantial expenses and operating losses for the foreseeable future as we advance the clinical development of our product candidates. To date, we have financed our operations with net proceeds of $464.7 million from sales of our preferred stock, and most recently, with net proceeds from our IPO in August 2021, in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8"/>
          <w:szCs w:val="18"/>
          <w:color w:val="auto"/>
        </w:rPr>
        <w:t>As of December 31, 2021, we had cash, cash equivalents and marketable securities of $591.4 million.</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1860" w:type="dxa"/>
            <w:vAlign w:val="bottom"/>
            <w:gridSpan w:val="3"/>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128"/>
              <w:spacing w:after="0" w:line="202" w:lineRule="exact"/>
              <w:rPr>
                <w:sz w:val="20"/>
                <w:szCs w:val="20"/>
                <w:color w:val="auto"/>
              </w:rPr>
            </w:pPr>
            <w:r>
              <w:rPr>
                <w:rFonts w:ascii="Times New Roman" w:cs="Times New Roman" w:eastAsia="Times New Roman" w:hAnsi="Times New Roman"/>
                <w:sz w:val="18"/>
                <w:szCs w:val="18"/>
                <w:color w:val="auto"/>
              </w:rPr>
              <w:t>(184,736 )</w:t>
            </w:r>
          </w:p>
        </w:tc>
        <w:tc>
          <w:tcPr>
            <w:tcW w:w="1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(14,571 )</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7"/>
                <w:szCs w:val="17"/>
                <w:color w:val="auto"/>
              </w:rPr>
            </w:pPr>
          </w:p>
        </w:tc>
        <w:tc>
          <w:tcPr>
            <w:tcW w:w="1740" w:type="dxa"/>
            <w:vAlign w:val="bottom"/>
            <w:gridSpan w:val="2"/>
          </w:tcPr>
          <w:p>
            <w:pPr>
              <w:jc w:val="right"/>
              <w:ind w:right="128"/>
              <w:spacing w:after="0" w:line="202" w:lineRule="exact"/>
              <w:rPr>
                <w:sz w:val="20"/>
                <w:szCs w:val="20"/>
                <w:color w:val="auto"/>
              </w:rPr>
            </w:pPr>
            <w:r>
              <w:rPr>
                <w:rFonts w:ascii="Times New Roman" w:cs="Times New Roman" w:eastAsia="Times New Roman" w:hAnsi="Times New Roman"/>
                <w:sz w:val="18"/>
                <w:szCs w:val="18"/>
                <w:color w:val="auto"/>
              </w:rPr>
              <w:t>(50,711 )</w:t>
            </w:r>
          </w:p>
        </w:tc>
        <w:tc>
          <w:tcPr>
            <w:tcW w:w="16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662,683</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129,559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427,236</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$184.7 million of cash, primarily due to our net loss of $226.8 million, partially offset by non-cash charges of $19.3 million and net cash provided by changes in our operating assets and liabilities of $22.8 million. Net cash provided by changes in our operating assets and liabilities consisted of a $51.3 million increase in accrued expenses, partially offset by a $22.9 million increase in prepaid expenses and other current assets, a $3.3 million increase in other non-current assets and a $2.4 million decrease in accounts payable. The increase in accrued expenses was primarily due to amounts owed to vendors in connection with our research and development activities, including increased external costs associated with clinical trials and manufacturing. The increase in prepaid expenses and other current assets and other non-current assets was primarily due to prepayments for external research and development activities and prepayments for insurance premiums. The decrease in accounts payable was primarily due to the timing of invoices received and payments made.</w:t>
      </w:r>
    </w:p>
    <w:p>
      <w:pPr>
        <w:spacing w:after="0" w:line="18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During the period from June 3, 2020 (inception) to December 31, 2020, operating activities used $14.6 million of cash, primarily due to our net loss of $65.3 million, partially offset by non-cash charges of $40.1 million and net cash provided by changes in our operating assets and liabilities of $10.7 million. Net cash provided by changes in our operating assets and liabilities consisted of an $8.2 million increase in accounts payable and a $4.9 million increase in accrued expenses, both partially offset by a $2.4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net cash used in investing activities was $50.7 million, primarily related to purchases of marketable securities of $188.6 million, offset by maturities of marketable securities of $138.0 million.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cash used in or provided by investing activities for the period from June 3, 2020 (inception) to December 31, 2020.</w:t>
      </w: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$662.7 million, primarily related to net proceeds of $335.2 million from the issuance of our Series C preferred stock in April 2021 and net proceeds of $330.9 million from the issuance of our common stock in connection with our IPO in August 2021, offset by $3.4 million of payments of initial public offering costs.</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period from June 3, 2020 (inception) to December 31, 2020, net cash provided by financing activities was $129.6 million, primarily related to net proceeds of $49.7 million from the issuance of our Series A preferred stock in July 2020 and net proceeds of $79.8 million from the issuance of our Series B preferred stock in October and November 2020.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69" w:lineRule="exact"/>
        <w:rPr>
          <w:sz w:val="20"/>
          <w:szCs w:val="20"/>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adintrevimab and our other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non-clinical studies, preclinical development, laboratory testing and clinical trials for adintrevimab and future product candidates and associated development programs;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pipeline;</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as well as timing of process development and manufacturing scale-up and validation activities associated with adintrevimab and our future product candidates and other programs as we advance them through preclinical and clinical development;</w:t>
      </w:r>
    </w:p>
    <w:p>
      <w:pPr>
        <w:spacing w:after="0" w:line="68"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capacity for commercial supply of our product candidates, or the raw material components thereof;</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54"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4"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additional research, clinical, development, scientific and manufacturing personnel;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03" w:lineRule="exact"/>
        <w:rPr>
          <w:rFonts w:ascii="Times New Roman" w:cs="Times New Roman" w:eastAsia="Times New Roman" w:hAnsi="Times New Roman"/>
          <w:sz w:val="18"/>
          <w:szCs w:val="18"/>
          <w:color w:val="auto"/>
        </w:rPr>
      </w:pPr>
    </w:p>
    <w:p>
      <w:pPr>
        <w:jc w:val="both"/>
        <w:ind w:left="1140" w:right="20" w:hanging="504"/>
        <w:spacing w:after="0" w:line="250"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will enable us to fund our operating expenses and capital expenditure requirements into the second half of 2024. We have based this estimate on assumptions that may prove to be wrong, and we could exhaust our available capital resources sooner than we expect.</w:t>
      </w:r>
    </w:p>
    <w:p>
      <w:pPr>
        <w:spacing w:after="0" w:line="1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8" w:name="page119"/>
    <w:bookmarkEnd w:id="118"/>
    <w:p>
      <w:pPr>
        <w:jc w:val="both"/>
        <w:spacing w:after="0"/>
        <w:rPr>
          <w:sz w:val="20"/>
          <w:szCs w:val="20"/>
          <w:color w:val="auto"/>
        </w:rPr>
      </w:pPr>
      <w:r>
        <w:rPr>
          <w:rFonts w:ascii="Times New Roman" w:cs="Times New Roman" w:eastAsia="Times New Roman" w:hAnsi="Times New Roman"/>
          <w:sz w:val="18"/>
          <w:szCs w:val="18"/>
          <w:color w:val="auto"/>
        </w:rPr>
        <w:t>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2021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1 to 3</w:t>
            </w:r>
          </w:p>
        </w:tc>
        <w:tc>
          <w:tcPr>
            <w:tcW w:w="220" w:type="dxa"/>
            <w:vAlign w:val="bottom"/>
          </w:tcPr>
          <w:p>
            <w:pPr>
              <w:spacing w:after="0"/>
              <w:rPr>
                <w:sz w:val="11"/>
                <w:szCs w:val="11"/>
                <w:color w:val="auto"/>
              </w:rPr>
            </w:pPr>
          </w:p>
        </w:tc>
        <w:tc>
          <w:tcPr>
            <w:tcW w:w="82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4 to 5</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7"/>
                <w:szCs w:val="17"/>
                <w:color w:val="auto"/>
              </w:rPr>
              <w:t>Commercial manufacturing agreement</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139,544</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75,599</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63,945</w:t>
            </w: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ind w:left="7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7"/>
                <w:szCs w:val="17"/>
                <w:color w:val="auto"/>
              </w:rPr>
              <w:t>Lease obligations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1,991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1,262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gridSpan w:val="2"/>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contractual cash obligations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141,535</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76,000</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65,207</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7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374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-128270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-111125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-128270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-111125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-128270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-111125</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-128270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-111125</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-128270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-111125</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 w:lineRule="exact"/>
        <w:rPr>
          <w:sz w:val="20"/>
          <w:szCs w:val="20"/>
          <w:color w:val="auto"/>
        </w:rPr>
      </w:pPr>
    </w:p>
    <w:p>
      <w:pPr>
        <w:ind w:left="520" w:hanging="512"/>
        <w:spacing w:after="0" w:line="24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minimum purchase commitments under an arrangement with our CDMO for commercial supply. The table reflects obligations that are non-cancelable as of December 31, 2021, based on the expected due dates for such purchases.</w:t>
      </w:r>
    </w:p>
    <w:p>
      <w:pPr>
        <w:ind w:left="520" w:hanging="512"/>
        <w:spacing w:after="0" w:line="243"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minimum payments due under our operating lease agreement for office space in Waltham, Massachusetts, which expires in 2026 with an option to terminate in 2023.</w:t>
      </w:r>
    </w:p>
    <w:p>
      <w:pPr>
        <w:spacing w:after="0" w:line="18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December 2020, we entered into a Commercial Manufacturing Services Agreement with WuXi, which was amended and restated in August 2021 (as amended and restated, the Commercial Manufacturing Agreement). The Commercial Manufacturing Agreement outlines the terms and conditions under which WuXi will manufacture adintrevimab drug substance and drug product for commercial use. Our requirements for manufacture of adintrevimab for the year ending December 31, 2022, the payments for which will extend into 2023, are governed by a binding, forecasted schedule and are presented in the preceding table.</w:t>
      </w:r>
    </w:p>
    <w:p>
      <w:pPr>
        <w:spacing w:after="0" w:line="1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September 2021, we entered into a five-year lease agreement for approximately 9,600 square feet of office space in Waltham, Massachusetts. The monthly rental payments under the lease agreement, which include base rent charges of approximately $0.4 million per year, are subject to periodic rent increases through September 2026.</w:t>
      </w:r>
    </w:p>
    <w:p>
      <w:pPr>
        <w:spacing w:after="0" w:line="17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Under a separate cell line license agreement with WuXi, as of December 31, 2020, we were obligated to pay a license fee of $0.2 million to WuXi, which was an accrued expense as of December 31, 2020 and paid during the year ended December 31, 2021. Under the agreement, we are obligated to pay royalties in the range of 0.3% to 0.5% to WuXi based on our net sales of any products covered by the license. However, if we use WuXi to manufacture all of our commercial supplies, no royalties would be owed by us to WuXi for net sales of licensed products. We have an option to buy out our royalty obligations by making a one-time payment of $15.0 million to WuXi. These royalty payments are not included in the preceding table as the amount and timing of such payments are not known.</w:t>
      </w:r>
    </w:p>
    <w:p>
      <w:pPr>
        <w:spacing w:after="0" w:line="18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with Adimab, or the Adimab Assignment Agreement, with respect to discovery and optimization of coronavirus-specific antibodies, including COVID-19 and SARS. 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global clinical trial evaluating adintrevimab, which obligated us to make a $1.0 million payment to Adimab. We made the payment in March 2021. In April 2021, we achieved the second specified milestone under the agreement upon dosing of the first patient in a Phase 2 global clinical trial evaluating adintrevimab for the prevention of COVID-19, which obligated us to make a $2.5 million payment to Adimab. We made the payment in June 2021. In August 2021, we achieved the third specified milestone under the agreement upon dosing of the first patient in a Phase 3 global clinical trial evaluating adintrevimab for the prevention of COVID-19, which obligated us to make a $4.0 million milestone payment to Adimab. The next potential milestone under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9" w:name="page120"/>
    <w:bookmarkEnd w:id="119"/>
    <w:p>
      <w:pPr>
        <w:jc w:val="both"/>
        <w:spacing w:after="0" w:line="241" w:lineRule="auto"/>
        <w:rPr>
          <w:sz w:val="20"/>
          <w:szCs w:val="20"/>
          <w:color w:val="auto"/>
        </w:rPr>
      </w:pPr>
      <w:r>
        <w:rPr>
          <w:rFonts w:ascii="Times New Roman" w:cs="Times New Roman" w:eastAsia="Times New Roman" w:hAnsi="Times New Roman"/>
          <w:sz w:val="18"/>
          <w:szCs w:val="18"/>
          <w:color w:val="auto"/>
        </w:rPr>
        <w:t>Adimab Assignment Agreement is a $4.0 million milestone related to the acceptance of the filing of the first New Drug Application for a product licensed under the agreement by the FDA. In addition, we are obligated to pay Adimab royalties of a mid 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These milestone and royalty payments are not included in the preceding table as the amount and timing of such payments are not known. For additional information, see to Note 7 to our annual consolidated financial statements appearing at the end of this Annual Report on Form 10-K.</w:t>
      </w:r>
    </w:p>
    <w:p>
      <w:pPr>
        <w:spacing w:after="0" w:line="18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Under the agreement, we are obligated to pay Adimab a quarterly fee of $1.3 million, in exchange for Adimab and its affiliates agreeing not to assist or direct certain third parties to discover or optimize antibodies that are intended to bind to coronaviruses or influenza viruses, which obligation may be cancelled at our option at any time.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Under the Adimab Collaboration Agreement, 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These milestone and royalty payments are not included in the preceding table as the amount and timing of such payments are not known. For additional information, see to Note 7 to our annual consolidated financial statements appearing at the end of this Annual Report on Form 10-K.</w:t>
      </w:r>
    </w:p>
    <w:p>
      <w:pPr>
        <w:spacing w:after="0" w:line="18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August 2021, we entered into a research collaboration and license agreement, or the Research Agreement, with The Scripps Research Institute, or TSRI. Under the terms of the Research Agreement, TSRI will perform research activities to identify vaccine candidates for the prevention, diagnosis or treatment of influenza or beta coronaviruses, or the Research Program. The Company is obligated to provide the research funding necessary to carry out each activity initiated under the Research Program pursuant to a budget to be agreed upon by the parties. In August 2021, the Company paid TSRI $1.5 million in funding, which was credited against research funding payable by the Company under the Research Agreement. Additionally, the Company is obligated to make specified payments to TSRI to the extent that TSRI complies with certain exclusivity covenants. To the extent any product licensed under the Research Agreement is commercialized, the Company is obligated to pay TSRI royalties of a low single-digit percentage on a licensed product-by-licensed product and country-by-country basis based on a percentage of net sales, subject to reduction and floor. Royalties are payable for each product on a country-by-country basis through the later of (i) the expiration of the last valid claim of any patent covering such product in such country or (ii) 12 years from the first commercial sale of such product. The Research Agreement will expire when no further royalties are due to TSRI. For additional information, see to Note 7 to our annual consolidated financial statements appearing at the end of this Annual Report on Form 10-K.</w:t>
      </w:r>
    </w:p>
    <w:p>
      <w:pPr>
        <w:spacing w:after="0" w:line="18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enter into other contracts in the normal course of business with CROs, contract manufacturing organizations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included in the preceding table as the amount and timing of such payments are not known.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consolidated financial statements requires us to make estimates and assumptions that affect the reported amounts of assets, and liabilities and the disclosure of contingent assets and liabilities at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0" w:name="page121"/>
    <w:bookmarkEnd w:id="120"/>
    <w:p>
      <w:pPr>
        <w:jc w:val="both"/>
        <w:spacing w:after="0" w:line="242" w:lineRule="auto"/>
        <w:rPr>
          <w:sz w:val="20"/>
          <w:szCs w:val="20"/>
          <w:color w:val="auto"/>
        </w:rPr>
      </w:pPr>
      <w:r>
        <w:rPr>
          <w:rFonts w:ascii="Times New Roman" w:cs="Times New Roman" w:eastAsia="Times New Roman" w:hAnsi="Times New Roman"/>
          <w:sz w:val="18"/>
          <w:szCs w:val="18"/>
          <w:color w:val="auto"/>
        </w:rPr>
        <w:t>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we believe the following accounting policies used in the preparation of our consolidated financial statements require the most significant judgments and estimates.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77" w:lineRule="exact"/>
        <w:rPr>
          <w:sz w:val="20"/>
          <w:szCs w:val="20"/>
          <w:color w:val="auto"/>
        </w:rPr>
      </w:pPr>
    </w:p>
    <w:p>
      <w:pPr>
        <w:ind w:left="1140" w:hanging="504"/>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non-clinical studies, preclinical studies and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CDMOs related to the production of our product candidates for non-clinical studies, preclinical studies and clinical trials;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and vendors in connection with research and development activities.</w:t>
      </w:r>
    </w:p>
    <w:p>
      <w:pPr>
        <w:spacing w:after="0" w:line="212"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For CRO expense and accruals, there is estimation uncertainty related to the timing of submission of investigator fees for the period. For CDMO expense and accruals, there is estimation uncertainty related to the percentage of completion of in process batch manufacturing at period end. To date, we have not had significant changes to our estimates.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IPR&amp;D with no alternative future use is recognized as expense on the acquisition date.</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concluded that the agreement under which we acquired rights to Adimab’s antibodies relating to COVID-19 and SARS and related intellectual property and a license to certain of Adimab’s platform patents and technology in June 2020 represented an asset acquisition of IPR&amp;D assets with no alternative future use. We further concluded that the arrangement did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not qualify as a business combination because substantially all of the fair value of the assets acquired was concentrated in a single asset.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w:t>
      </w:r>
    </w:p>
    <w:p>
      <w:pPr>
        <w:spacing w:after="0" w:line="108"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Prior to the initial public offering, as there was no public market for our common stock, the estimated fair value of our common stock underlying our stock-based awards was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prepared in accordance with the guidance outlined in the American Institute of Certified Public Accountants’ Accounting and Valuation Guide, Valuation of Privately-Held Company Equity Securities Issued as Compensation. Our common stock valuations were prepared using either a current value method, or CVM, an option pricing method, or OPM, or a hybrid method. To estimate our enterprise value, the CVM used an asset approach and the OPM and hybrid methods used a market approach. Under the CVM, once the fair value of the enterprise is established based on the balance sheet, the value is allocated to the various series of preferred and common stock based on their respective liquidation preferences or conversion values, whichever is greater.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9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Prior to the initial public offering, these third-party valuations were performed at various dates. In addition to considering the results of these third-party valuations, our board of directors considered various objective and subjective factors to determine the fair value of common stock as of each grant date, including:</w:t>
      </w:r>
    </w:p>
    <w:p>
      <w:pPr>
        <w:spacing w:after="0" w:line="69" w:lineRule="exact"/>
        <w:rPr>
          <w:sz w:val="20"/>
          <w:szCs w:val="20"/>
          <w:color w:val="auto"/>
        </w:rPr>
      </w:pPr>
    </w:p>
    <w:p>
      <w:pPr>
        <w:ind w:left="1020" w:right="20" w:hanging="503"/>
        <w:spacing w:after="0" w:line="266"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our preferred stock and the superior rights and preferences of our preferred stock relative to those of our common stock at the time of each grant;</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of preclinical studies and clinical trials for our product candidates;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our business strategy;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biotechnology industry and trends within the biotechnology industry;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landscape for similar products for the treatment and prevention of COVID-19;</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a sale of our company, given prevailing market conditions;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21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grant stock-based awards to employees, directors and non-employees in the form of stock options to purchase shares of our common stock. We measure stock options with service-based vesting granted to employees, directors and non-employees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2" w:name="page123"/>
    <w:bookmarkEnd w:id="122"/>
    <w:p>
      <w:pPr>
        <w:jc w:val="both"/>
        <w:spacing w:after="0" w:line="238" w:lineRule="auto"/>
        <w:rPr>
          <w:sz w:val="20"/>
          <w:szCs w:val="20"/>
          <w:color w:val="auto"/>
        </w:rPr>
      </w:pPr>
      <w:r>
        <w:rPr>
          <w:rFonts w:ascii="Times New Roman" w:cs="Times New Roman" w:eastAsia="Times New Roman" w:hAnsi="Times New Roman"/>
          <w:sz w:val="18"/>
          <w:szCs w:val="18"/>
          <w:color w:val="auto"/>
        </w:rPr>
        <w:t>based on the fair value on the date of grant using the Black-Scholes option-pricing model.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After the initial public offering, the fair value of our common stock is based on the quoted market price of our common stock. Due to the proximity to the IPO, we continue to lack company-specific historical and implied volatility information. Therefore, we estimate our expected stock volatility based on the historical volatility of a publicly traded set of peer companies and we expect to continue to do so until such time that we have adequate historical data regarding the volatility of our own traded stock price. We have issued awards with only service-based vesting conditions through December 31, 2021.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future periods, we expect stock-based compensation expense to increase due to our existing unrecognized stock-based compensation expense and to additional stock-based awards we expect to grant to continue to attract new hires and retain our existing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Exhibit and Financial Statement Schedules,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0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Our management, with the participation of our Interim Chief Executive Officer and Chief Financial Officer (our principal executive officer and principal financial officer, respectively), evaluated, as of the end of the period covered by this Annual Report on Form 10-K, the effectiveness of our disclosure controls and procedures. The term “disclosure controls and procedures,” as defined in Rules 13a-15(e) and 15d-15(e) under the Securities Exchange Act of 1934, as amended, or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2021, our principal executive officer and principal financial officer concluded that our disclosure controls and procedures as of such date were effective at the reasonable assurance level.</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0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public accounting firm due to a transition period established by rules of the SEC for newly public companies.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Reported Material Weakness in Internal Control Over Financial Reporting</w:t>
      </w:r>
    </w:p>
    <w:p>
      <w:pPr>
        <w:spacing w:after="0" w:line="10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previously identified and disclosed a material weakness in our internal control over financial reporting regarding the following:</w:t>
      </w:r>
    </w:p>
    <w:p>
      <w:pPr>
        <w:spacing w:after="0" w:line="21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24" w:name="page125"/>
    <w:bookmarkEnd w:id="124"/>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third quarter of 2021, we designed and implemented controls to remediate the material weakness, including strengthening and formalizing our documentation of policies and further evolving our accounting processes and post-closing review procedures related to the completeness and accuracy of research and development expenses, prepaid expenses, accounts payable and accrued expenses of our contract manufacturing agreements.</w:t>
      </w:r>
    </w:p>
    <w:p>
      <w:pPr>
        <w:spacing w:after="0" w:line="17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These controls around our oversight and review of the completeness and accuracy of research and development expenses, prepaid expenses, accounts payable and accrued expenses of our contract manufacturing agreements have operated for a sufficient period of time and our management has concluded, based on evidence obtained in validating the design and operating effectiveness of the controls, that the efforts undertaken to enhance the design of our controls over the completeness and accuracy of research and development expenses, prepaid expenses, accounts payable and accrued expenses related to our contract manufacturing agreements, which were implemented and executed in 2021, would lead to the prevention or detection of a material misstatement of our consolidated financial statements. As such, our management concluded that we have remediated this material weakness as of December 31,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0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December 31, 2021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March 25, 2022, we entered into amendments to the employment agreements for each of David Hering, M.B.A., our Interim Chief Executive Officer and Chief Operating Officer, and Jane Pritchett Henderson, our Chief Financial Officer and Chief Business Officer. Such amendments reflect the increased compensation approved by our board of directors as described in our Current Report on Form 8-K/A filed on March 21, 2022 and Current Report on Form 8-K filed on March 21, 2022, respectively, which are incorporated herein by reference.</w:t>
      </w:r>
    </w:p>
    <w:p>
      <w:pPr>
        <w:spacing w:after="0" w:line="1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amendments to these employment agreements is only a summary and is qualified in its entirety by reference to the complete terms and conditions of the amendments, which are filed as Exhibit 10.10 and Exhibit 10.12 to this Annual Report on Form 10-K and incorporated herein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information required by this Item 10 (other than as set forth below) will be included in the sections captioned “Information Regarding the Board of Directors and Corporate Governance,” “Election of Directors,” and “Executive Officers” in our definitive proxy statement to be filed with the Securities and Exchange Commission (the “SEC”) with respect to our 2022 Annual Meeting of Stockholders within 120 days of the end of the fiscal year to which this Annual Report on Form 10-K relates, or the Proxy Statement, which information is incorporated herein by reference.</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(https://investors.adagiotx.com/) of our corporate website https://adagiotx.com/. We intend to disclose on our website any amendments to, or waivers from, the Code of Business Ethics and Conduct that are required to be disclosed pursuant to the disclosure requirements of Item 5.05 of Form 8-K.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sections captioned “Executive Compensation” and “Director Compensation” in our Proxy Statement, which information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sections captioned “Securities Authorized for Issuance under Equity Compensation Plans” and “Security Ownership of Certain Beneficial Owners and Management” in our Proxy Statement, which information is incorporated herein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sections captioned “Transactions with Related Persons and Indemnification” and “Independence of the Board of Directors” in our Proxy Statement, which information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section captioned “Ratification of Selection of Independent Registered Public Accounting Firm” in our Proxy Statement, which information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08"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(a)(1) For a list of the financial statements filed as part of this Annual Report on Form 10-K, see Index to Consolidated Financial Statements on page F-1 of this Annual Report on Form 10-K, incorporated into this Item by reference.</w:t>
      </w:r>
    </w:p>
    <w:p>
      <w:pPr>
        <w:spacing w:after="0" w:line="162"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(a)(2) Financial statement schedules have been omitted because they are either not required or not applicable or the information is included in the consolidated financial statements or the notes thereto.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(a)(3) Exhibits: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40" w:type="dxa"/>
            <w:vAlign w:val="bottom"/>
            <w:gridSpan w:val="32"/>
            <w:vMerge w:val="restart"/>
          </w:tcPr>
          <w:p>
            <w:pPr>
              <w:jc w:val="center"/>
              <w:ind w:right="4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highlight w:val="white"/>
                <w:w w:val="97"/>
              </w:rPr>
              <w:t>3.1</w:t>
            </w: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4"/>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Certificate of Incorporation (incorporated by reference to Exhibit 3.1 of the Company’s Current Report on</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Form 8-K (File No. 001-40703), filed with the Securities and Exchange Commission on August 10,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7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3.2</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gridSpan w:val="24"/>
          </w:tcPr>
          <w:p>
            <w:pPr>
              <w:spacing w:after="0" w:line="169"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Amended and Restated Bylaws (incorporated by reference to Exhibit 3.2 of the Company’s Current Report</w:t>
              </w:r>
            </w:hyperlink>
          </w:p>
        </w:tc>
        <w:tc>
          <w:tcPr>
            <w:tcW w:w="2100" w:type="dxa"/>
            <w:vAlign w:val="bottom"/>
            <w:gridSpan w:val="20"/>
          </w:tcPr>
          <w:p>
            <w:pPr>
              <w:ind w:left="20"/>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on Form 8-K (File No.</w:t>
              </w:r>
            </w:hyperlink>
          </w:p>
        </w:tc>
        <w:tc>
          <w:tcPr>
            <w:tcW w:w="0" w:type="dxa"/>
            <w:vAlign w:val="bottom"/>
          </w:tcPr>
          <w:p>
            <w:pPr>
              <w:spacing w:after="0"/>
              <w:rPr>
                <w:sz w:val="1"/>
                <w:szCs w:val="1"/>
                <w:color w:val="auto"/>
              </w:rPr>
            </w:pPr>
          </w:p>
        </w:tc>
      </w:tr>
      <w:tr>
        <w:trPr>
          <w:trHeight w:val="156"/>
        </w:trPr>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4.1</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001-40703), filed with the Securities and Exchange Commission on August 10,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18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Second Amended and Restated Investors’ Rights Agreement, by and among the Company and certain of its stockholders, dated April</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38"/>
          </w:tcPr>
          <w:p>
            <w:pPr>
              <w:spacing w:after="0" w:line="15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16, 2021 (incorporated by reference to Exhibit 4.1 of the Company’s Registration Statement on Form S-1 (File No. 333-257975),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39"/>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with the Securities and Exchange Commission on July 16,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w:anchor="page162">
              <w:r>
                <w:rPr>
                  <w:rFonts w:ascii="Times New Roman" w:cs="Times New Roman" w:eastAsia="Times New Roman" w:hAnsi="Times New Roman"/>
                  <w:sz w:val="18"/>
                  <w:szCs w:val="18"/>
                  <w:color w:val="0000FF"/>
                </w:rPr>
                <w:t>Description of Adagio Therapeutics, Inc. Common Stock.</w:t>
              </w:r>
            </w:hyperlink>
          </w:p>
        </w:tc>
        <w:tc>
          <w:tcPr>
            <w:tcW w:w="1200" w:type="dxa"/>
            <w:vAlign w:val="bottom"/>
          </w:tcPr>
          <w:p>
            <w:pPr>
              <w:spacing w:after="0"/>
              <w:rPr>
                <w:sz w:val="14"/>
                <w:szCs w:val="14"/>
                <w:color w:val="auto"/>
              </w:rPr>
            </w:pPr>
          </w:p>
        </w:tc>
        <w:tc>
          <w:tcPr>
            <w:tcW w:w="10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2020 Equity Incentive Plan and Forms of Stock Option</w:t>
              </w:r>
            </w:hyperlink>
          </w:p>
        </w:tc>
        <w:tc>
          <w:tcPr>
            <w:tcW w:w="5640" w:type="dxa"/>
            <w:vAlign w:val="bottom"/>
            <w:gridSpan w:val="32"/>
          </w:tcPr>
          <w:p>
            <w:pPr>
              <w:spacing w:after="0" w:line="169" w:lineRule="exact"/>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Agreement, Notice of Stock Option Grant and Notice of Exercise (incorporated</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by reference to Exhibit 10.1 of the Company’s Registration Statement on Form S-1 (File No. 333-257975), filed with the 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and Exchange Commission on July 16,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61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2021 Equity Incentive Plan and Forms of Option Grant Notice and Agreement, Exercise Notice, Early Exercise Notice and Restricted</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Stock Award Notice (incorporated by reference to Exhibit 10.2 of the Company’s Registration Statement on Form S-1 (File No. 333-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257975)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August 2, 2021).</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3900" w:type="dxa"/>
            <w:vAlign w:val="bottom"/>
            <w:gridSpan w:val="27"/>
            <w:vMerge w:val="restart"/>
          </w:tcPr>
          <w:p>
            <w:pPr>
              <w:jc w:val="right"/>
              <w:ind w:right="120"/>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the Company’s Registration Statement on Form S-1</w:t>
              </w:r>
            </w:hyperlink>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00" w:type="dxa"/>
            <w:vAlign w:val="bottom"/>
            <w:gridSpan w:val="17"/>
          </w:tcPr>
          <w:p>
            <w:pPr>
              <w:spacing w:after="0" w:line="169"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2021 Employee Stock Purchase Plan (incorporated by reference to Exhibit 10.3 of</w:t>
              </w:r>
            </w:hyperlink>
          </w:p>
        </w:tc>
        <w:tc>
          <w:tcPr>
            <w:tcW w:w="3900" w:type="dxa"/>
            <w:vAlign w:val="bottom"/>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(File No. 333-257975), filed with the Securities and Exchange Commission on August 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8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Indemnification Agreement with Executive Officers and Directors (incorporated by reference to Exhibit 10.4 of the</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Company’s Registration Statement on Form S-1 (File No. 333-257975), filed with the Securities and Exchange Commission</w:t>
              </w:r>
            </w:hyperlink>
          </w:p>
        </w:tc>
        <w:tc>
          <w:tcPr>
            <w:tcW w:w="820" w:type="dxa"/>
            <w:vAlign w:val="bottom"/>
            <w:gridSpan w:val="18"/>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on</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August 2, 2021).</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0000FF"/>
            </w:tcBorders>
          </w:tcPr>
          <w:p>
            <w:pPr>
              <w:spacing w:after="0" w:line="169" w:lineRule="exact"/>
              <w:rPr>
                <w:rFonts w:ascii="Times New Roman" w:cs="Times New Roman" w:eastAsia="Times New Roman" w:hAnsi="Times New Roman"/>
                <w:sz w:val="18"/>
                <w:szCs w:val="18"/>
                <w:color w:val="0000FF"/>
              </w:rPr>
            </w:pPr>
            <w:hyperlink w:anchor="page165">
              <w:r>
                <w:rPr>
                  <w:rFonts w:ascii="Times New Roman" w:cs="Times New Roman" w:eastAsia="Times New Roman" w:hAnsi="Times New Roman"/>
                  <w:sz w:val="18"/>
                  <w:szCs w:val="18"/>
                  <w:color w:val="0000FF"/>
                </w:rPr>
                <w:t>Non-Employee</w:t>
              </w:r>
            </w:hyperlink>
          </w:p>
        </w:tc>
        <w:tc>
          <w:tcPr>
            <w:tcW w:w="20" w:type="dxa"/>
            <w:vAlign w:val="bottom"/>
            <w:tcBorders>
              <w:top w:val="single" w:sz="8" w:color="0000EE"/>
            </w:tcBorders>
          </w:tcPr>
          <w:p>
            <w:pPr>
              <w:spacing w:after="0"/>
              <w:rPr>
                <w:sz w:val="14"/>
                <w:szCs w:val="14"/>
                <w:color w:val="auto"/>
              </w:rPr>
            </w:pPr>
          </w:p>
        </w:tc>
        <w:tc>
          <w:tcPr>
            <w:tcW w:w="8580" w:type="dxa"/>
            <w:vAlign w:val="bottom"/>
            <w:gridSpan w:val="42"/>
          </w:tcPr>
          <w:p>
            <w:pPr>
              <w:spacing w:after="0" w:line="169" w:lineRule="exact"/>
              <w:rPr>
                <w:rFonts w:ascii="Times New Roman" w:cs="Times New Roman" w:eastAsia="Times New Roman" w:hAnsi="Times New Roman"/>
                <w:sz w:val="18"/>
                <w:szCs w:val="18"/>
                <w:color w:val="0000FF"/>
              </w:rPr>
            </w:pPr>
            <w:hyperlink w:anchor="page165">
              <w:r>
                <w:rPr>
                  <w:rFonts w:ascii="Times New Roman" w:cs="Times New Roman" w:eastAsia="Times New Roman" w:hAnsi="Times New Roman"/>
                  <w:sz w:val="18"/>
                  <w:szCs w:val="18"/>
                  <w:color w:val="0000FF"/>
                </w:rPr>
                <w:t>Director Compensation Policy.</w:t>
              </w:r>
            </w:hyperlink>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Employment Agreement by and between the</w:t>
              </w:r>
            </w:hyperlink>
          </w:p>
        </w:tc>
        <w:tc>
          <w:tcPr>
            <w:tcW w:w="6440" w:type="dxa"/>
            <w:vAlign w:val="bottom"/>
            <w:gridSpan w:val="33"/>
          </w:tcPr>
          <w:p>
            <w:pPr>
              <w:jc w:val="right"/>
              <w:ind w:right="120"/>
              <w:spacing w:after="0" w:line="169" w:lineRule="exact"/>
              <w:rPr>
                <w:rFonts w:ascii="Times New Roman" w:cs="Times New Roman" w:eastAsia="Times New Roman" w:hAnsi="Times New Roman"/>
                <w:sz w:val="18"/>
                <w:szCs w:val="18"/>
                <w:color w:val="0000FF"/>
                <w:w w:val="97"/>
              </w:rPr>
            </w:pPr>
            <w:hyperlink r:id="rId192">
              <w:r>
                <w:rPr>
                  <w:rFonts w:ascii="Times New Roman" w:cs="Times New Roman" w:eastAsia="Times New Roman" w:hAnsi="Times New Roman"/>
                  <w:sz w:val="18"/>
                  <w:szCs w:val="18"/>
                  <w:color w:val="0000FF"/>
                  <w:w w:val="97"/>
                </w:rPr>
                <w:t>Registrant and Tillman U. Gerngross, dated August 5, 2021 (incorporated by reference to</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Exhibit 10.5 of the Company’s Quarterly Report on Form 10-Q (File No. 001-40703),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Commission on September 20, 2021).</w:t>
              </w:r>
            </w:hyperlink>
          </w:p>
        </w:tc>
        <w:tc>
          <w:tcPr>
            <w:tcW w:w="3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Employment</w:t>
              </w:r>
            </w:hyperlink>
          </w:p>
        </w:tc>
        <w:tc>
          <w:tcPr>
            <w:tcW w:w="20" w:type="dxa"/>
            <w:vAlign w:val="bottom"/>
            <w:tcBorders>
              <w:top w:val="single" w:sz="8" w:color="0000EE"/>
            </w:tcBorders>
          </w:tcPr>
          <w:p>
            <w:pPr>
              <w:spacing w:after="0"/>
              <w:rPr>
                <w:sz w:val="13"/>
                <w:szCs w:val="13"/>
                <w:color w:val="auto"/>
              </w:rPr>
            </w:pPr>
          </w:p>
        </w:tc>
        <w:tc>
          <w:tcPr>
            <w:tcW w:w="7060" w:type="dxa"/>
            <w:vAlign w:val="bottom"/>
            <w:gridSpan w:val="38"/>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Agreement by and between the Registrant and Lynn Connolly, dated August 5, 2021</w:t>
              </w:r>
            </w:hyperlink>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44"/>
          </w:tcPr>
          <w:p>
            <w:pPr>
              <w:spacing w:after="0" w:line="189" w:lineRule="exact"/>
              <w:rPr>
                <w:rFonts w:ascii="Times New Roman" w:cs="Times New Roman" w:eastAsia="Times New Roman" w:hAnsi="Times New Roman"/>
                <w:sz w:val="18"/>
                <w:szCs w:val="18"/>
                <w:color w:val="0000FF"/>
                <w:highlight w:val="white"/>
              </w:rPr>
            </w:pPr>
            <w:hyperlink r:id="rId193">
              <w:r>
                <w:rPr>
                  <w:rFonts w:ascii="Times New Roman" w:cs="Times New Roman" w:eastAsia="Times New Roman" w:hAnsi="Times New Roman"/>
                  <w:sz w:val="18"/>
                  <w:szCs w:val="18"/>
                  <w:color w:val="0000FF"/>
                  <w:highlight w:val="white"/>
                </w:rPr>
                <w:t>(incorporated by reference to Exhibit 10.6 of the Company’s Quarterly Report on Form 10-Q (File No. 001-40703), filed with the</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bottom w:val="single" w:sz="8" w:color="0000FF"/>
            </w:tcBorders>
            <w:gridSpan w:val="13"/>
          </w:tcPr>
          <w:p>
            <w:pPr>
              <w:spacing w:after="0" w:line="156" w:lineRule="exact"/>
              <w:rPr>
                <w:rFonts w:ascii="Times New Roman" w:cs="Times New Roman" w:eastAsia="Times New Roman" w:hAnsi="Times New Roman"/>
                <w:sz w:val="18"/>
                <w:szCs w:val="18"/>
                <w:color w:val="0000FF"/>
                <w:highlight w:val="white"/>
                <w:w w:val="99"/>
              </w:rPr>
            </w:pPr>
            <w:hyperlink r:id="rId193">
              <w:r>
                <w:rPr>
                  <w:rFonts w:ascii="Times New Roman" w:cs="Times New Roman" w:eastAsia="Times New Roman" w:hAnsi="Times New Roman"/>
                  <w:sz w:val="18"/>
                  <w:szCs w:val="18"/>
                  <w:color w:val="0000FF"/>
                  <w:highlight w:val="white"/>
                  <w:w w:val="99"/>
                </w:rPr>
                <w:t>Securities and Exchange Commission on September 20, 2021).</w:t>
              </w:r>
            </w:hyperlink>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940" w:type="dxa"/>
            <w:vAlign w:val="bottom"/>
            <w:tcBorders>
              <w:top w:val="single" w:sz="8" w:color="0000FF"/>
              <w:bottom w:val="single" w:sz="8" w:color="0000FF"/>
            </w:tcBorders>
            <w:gridSpan w:val="10"/>
            <w:vMerge w:val="restart"/>
          </w:tcPr>
          <w:p>
            <w:pPr>
              <w:ind w:left="14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the Registrant and Rebecca Dabora, dated August 5,</w:t>
              </w:r>
            </w:hyperlink>
          </w:p>
        </w:tc>
        <w:tc>
          <w:tcPr>
            <w:tcW w:w="880" w:type="dxa"/>
            <w:vAlign w:val="bottom"/>
            <w:tcBorders>
              <w:top w:val="single" w:sz="8" w:color="0000FF"/>
              <w:bottom w:val="single" w:sz="8" w:color="0000FF"/>
            </w:tcBorders>
            <w:gridSpan w:val="5"/>
            <w:vMerge w:val="restart"/>
          </w:tcPr>
          <w:p>
            <w:pPr>
              <w:spacing w:after="0"/>
              <w:rPr>
                <w:sz w:val="13"/>
                <w:szCs w:val="13"/>
                <w:color w:val="auto"/>
              </w:rPr>
            </w:pPr>
          </w:p>
        </w:tc>
        <w:tc>
          <w:tcPr>
            <w:tcW w:w="420" w:type="dxa"/>
            <w:vAlign w:val="bottom"/>
            <w:gridSpan w:val="1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6"/>
              </w:rPr>
            </w:pPr>
            <w:hyperlink r:id="rId194">
              <w:r>
                <w:rPr>
                  <w:rFonts w:ascii="Times New Roman" w:cs="Times New Roman" w:eastAsia="Times New Roman" w:hAnsi="Times New Roman"/>
                  <w:sz w:val="18"/>
                  <w:szCs w:val="18"/>
                  <w:color w:val="0000FF"/>
                  <w:w w:val="96"/>
                </w:rPr>
                <w:t>Amended and Restated Employment Agreement by and between</w:t>
              </w:r>
            </w:hyperlink>
          </w:p>
        </w:tc>
        <w:tc>
          <w:tcPr>
            <w:tcW w:w="20" w:type="dxa"/>
            <w:vAlign w:val="bottom"/>
            <w:tcBorders>
              <w:bottom w:val="single" w:sz="8" w:color="0000FF"/>
            </w:tcBorders>
          </w:tcPr>
          <w:p>
            <w:pPr>
              <w:spacing w:after="0"/>
              <w:rPr>
                <w:sz w:val="14"/>
                <w:szCs w:val="14"/>
                <w:color w:val="auto"/>
              </w:rPr>
            </w:pPr>
          </w:p>
        </w:tc>
        <w:tc>
          <w:tcPr>
            <w:tcW w:w="3940" w:type="dxa"/>
            <w:vAlign w:val="bottom"/>
            <w:tcBorders>
              <w:bottom w:val="single" w:sz="8" w:color="0000FF"/>
            </w:tcBorders>
            <w:gridSpan w:val="10"/>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42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4"/>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2021(incorporated by reference to Exhibit 10.7 of the Company’s Quarterly Report on Form 10-Q (File No. 001-40703), filed with the</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Securities and Exchange Commission on September 20,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18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15"/>
          </w:tcPr>
          <w:p>
            <w:pPr>
              <w:spacing w:after="0" w:line="169" w:lineRule="exact"/>
              <w:rPr>
                <w:rFonts w:ascii="Times New Roman" w:cs="Times New Roman" w:eastAsia="Times New Roman" w:hAnsi="Times New Roman"/>
                <w:sz w:val="18"/>
                <w:szCs w:val="18"/>
                <w:color w:val="0000FF"/>
                <w:w w:val="97"/>
              </w:rPr>
            </w:pPr>
            <w:hyperlink r:id="rId195">
              <w:r>
                <w:rPr>
                  <w:rFonts w:ascii="Times New Roman" w:cs="Times New Roman" w:eastAsia="Times New Roman" w:hAnsi="Times New Roman"/>
                  <w:sz w:val="18"/>
                  <w:szCs w:val="18"/>
                  <w:color w:val="0000FF"/>
                  <w:w w:val="97"/>
                </w:rPr>
                <w:t>Amended and Restated Employment Agreement by and between</w:t>
              </w:r>
            </w:hyperlink>
          </w:p>
        </w:tc>
        <w:tc>
          <w:tcPr>
            <w:tcW w:w="5240" w:type="dxa"/>
            <w:vAlign w:val="bottom"/>
            <w:gridSpan w:val="29"/>
          </w:tcPr>
          <w:p>
            <w:pPr>
              <w:jc w:val="right"/>
              <w:ind w:right="120"/>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the Registrant and David Hering, dated August 5, 2021 (incorporated</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by reference to Exhibit 99.1 of the Company’s Current Report on Form 8-K/A (File No. 001-40703), filed with the Securities and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Exchange Commission on March 21,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6160" w:type="dxa"/>
            <w:vAlign w:val="bottom"/>
            <w:tcBorders>
              <w:top w:val="single" w:sz="8" w:color="0000FF"/>
            </w:tcBorders>
            <w:gridSpan w:val="21"/>
          </w:tcPr>
          <w:p>
            <w:pPr>
              <w:spacing w:after="0"/>
              <w:rPr>
                <w:sz w:val="13"/>
                <w:szCs w:val="13"/>
                <w:color w:val="auto"/>
              </w:rPr>
            </w:pPr>
          </w:p>
        </w:tc>
        <w:tc>
          <w:tcPr>
            <w:tcW w:w="16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Times New Roman" w:cs="Times New Roman" w:eastAsia="Times New Roman" w:hAnsi="Times New Roman"/>
                <w:sz w:val="18"/>
                <w:szCs w:val="18"/>
                <w:color w:val="0000FF"/>
              </w:rPr>
            </w:pPr>
            <w:hyperlink w:anchor="page167">
              <w:r>
                <w:rPr>
                  <w:rFonts w:ascii="Times New Roman" w:cs="Times New Roman" w:eastAsia="Times New Roman" w:hAnsi="Times New Roman"/>
                  <w:sz w:val="18"/>
                  <w:szCs w:val="18"/>
                  <w:color w:val="0000FF"/>
                </w:rPr>
                <w:t>First Amendment to the Amended and Restated Employment Agreement of David Hering by and between the Registrant and David</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w:anchor="page167">
              <w:r>
                <w:rPr>
                  <w:rFonts w:ascii="Times New Roman" w:cs="Times New Roman" w:eastAsia="Times New Roman" w:hAnsi="Times New Roman"/>
                  <w:sz w:val="18"/>
                  <w:szCs w:val="18"/>
                  <w:color w:val="0000FF"/>
                </w:rPr>
                <w:t>Hering, dated February 23, 2022.</w:t>
              </w:r>
            </w:hyperlink>
          </w:p>
        </w:tc>
        <w:tc>
          <w:tcPr>
            <w:tcW w:w="60" w:type="dxa"/>
            <w:vAlign w:val="bottom"/>
            <w:gridSpan w:val="2"/>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w:anchor="page170">
              <w:r>
                <w:rPr>
                  <w:rFonts w:ascii="Times New Roman" w:cs="Times New Roman" w:eastAsia="Times New Roman" w:hAnsi="Times New Roman"/>
                  <w:sz w:val="18"/>
                  <w:szCs w:val="18"/>
                  <w:color w:val="0000FF"/>
                </w:rPr>
                <w:t>Employment Agreement by and</w:t>
              </w:r>
            </w:hyperlink>
          </w:p>
        </w:tc>
        <w:tc>
          <w:tcPr>
            <w:tcW w:w="20" w:type="dxa"/>
            <w:vAlign w:val="bottom"/>
            <w:tcBorders>
              <w:top w:val="single" w:sz="8" w:color="0000EE"/>
            </w:tcBorders>
          </w:tcPr>
          <w:p>
            <w:pPr>
              <w:spacing w:after="0"/>
              <w:rPr>
                <w:sz w:val="14"/>
                <w:szCs w:val="14"/>
                <w:color w:val="auto"/>
              </w:rPr>
            </w:pPr>
          </w:p>
        </w:tc>
        <w:tc>
          <w:tcPr>
            <w:tcW w:w="7400" w:type="dxa"/>
            <w:vAlign w:val="bottom"/>
            <w:gridSpan w:val="40"/>
          </w:tcPr>
          <w:p>
            <w:pPr>
              <w:jc w:val="center"/>
              <w:ind w:right="2500"/>
              <w:spacing w:after="0" w:line="169" w:lineRule="exact"/>
              <w:rPr>
                <w:rFonts w:ascii="Times New Roman" w:cs="Times New Roman" w:eastAsia="Times New Roman" w:hAnsi="Times New Roman"/>
                <w:sz w:val="18"/>
                <w:szCs w:val="18"/>
                <w:color w:val="0000FF"/>
                <w:w w:val="98"/>
              </w:rPr>
            </w:pPr>
            <w:hyperlink w:anchor="page170">
              <w:r>
                <w:rPr>
                  <w:rFonts w:ascii="Times New Roman" w:cs="Times New Roman" w:eastAsia="Times New Roman" w:hAnsi="Times New Roman"/>
                  <w:sz w:val="18"/>
                  <w:szCs w:val="18"/>
                  <w:color w:val="0000FF"/>
                  <w:w w:val="98"/>
                </w:rPr>
                <w:t>between the Registrant and Jill Andersen, dated September 24, 2021.</w:t>
              </w:r>
            </w:hyperlink>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w:anchor="page198">
              <w:r>
                <w:rPr>
                  <w:rFonts w:ascii="Times New Roman" w:cs="Times New Roman" w:eastAsia="Times New Roman" w:hAnsi="Times New Roman"/>
                  <w:sz w:val="18"/>
                  <w:szCs w:val="18"/>
                  <w:color w:val="0000FF"/>
                </w:rPr>
                <w:t>First Amendment to the Amended and Restated Employment Agreement of Jane Henderson by and</w:t>
              </w:r>
            </w:hyperlink>
          </w:p>
        </w:tc>
        <w:tc>
          <w:tcPr>
            <w:tcW w:w="2500" w:type="dxa"/>
            <w:vAlign w:val="bottom"/>
            <w:gridSpan w:val="22"/>
          </w:tcPr>
          <w:p>
            <w:pPr>
              <w:spacing w:after="0" w:line="169" w:lineRule="exact"/>
              <w:rPr>
                <w:rFonts w:ascii="Times New Roman" w:cs="Times New Roman" w:eastAsia="Times New Roman" w:hAnsi="Times New Roman"/>
                <w:sz w:val="18"/>
                <w:szCs w:val="18"/>
                <w:color w:val="0000FF"/>
              </w:rPr>
            </w:pPr>
            <w:hyperlink w:anchor="page198">
              <w:r>
                <w:rPr>
                  <w:rFonts w:ascii="Times New Roman" w:cs="Times New Roman" w:eastAsia="Times New Roman" w:hAnsi="Times New Roman"/>
                  <w:sz w:val="18"/>
                  <w:szCs w:val="18"/>
                  <w:color w:val="0000FF"/>
                </w:rPr>
                <w:t>between the Registrant and Jane</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EE"/>
            </w:tcBorders>
            <w:gridSpan w:val="8"/>
          </w:tcPr>
          <w:p>
            <w:pPr>
              <w:spacing w:after="0" w:line="156" w:lineRule="exact"/>
              <w:rPr>
                <w:rFonts w:ascii="Times New Roman" w:cs="Times New Roman" w:eastAsia="Times New Roman" w:hAnsi="Times New Roman"/>
                <w:sz w:val="18"/>
                <w:szCs w:val="18"/>
                <w:color w:val="0000FF"/>
              </w:rPr>
            </w:pPr>
            <w:hyperlink w:anchor="page198">
              <w:r>
                <w:rPr>
                  <w:rFonts w:ascii="Times New Roman" w:cs="Times New Roman" w:eastAsia="Times New Roman" w:hAnsi="Times New Roman"/>
                  <w:sz w:val="18"/>
                  <w:szCs w:val="18"/>
                  <w:color w:val="0000FF"/>
                </w:rPr>
                <w:t>Pritchett Henderson, dated March 18, 2022.</w:t>
              </w:r>
            </w:hyperlink>
          </w:p>
        </w:tc>
        <w:tc>
          <w:tcPr>
            <w:tcW w:w="6380" w:type="dxa"/>
            <w:vAlign w:val="bottom"/>
            <w:tcBorders>
              <w:top w:val="single" w:sz="8" w:color="0000FF"/>
            </w:tcBorders>
            <w:gridSpan w:val="28"/>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80" w:type="dxa"/>
            <w:vAlign w:val="bottom"/>
            <w:gridSpan w:val="15"/>
          </w:tcPr>
          <w:p>
            <w:pPr>
              <w:jc w:val="right"/>
              <w:ind w:right="179"/>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-4748530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-1988185</wp:posOffset>
            </wp:positionV>
            <wp:extent cx="28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760" w:type="dxa"/>
            <w:vAlign w:val="bottom"/>
            <w:gridSpan w:val="28"/>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Executive Officer Employment Agreement (incorporated by reference to Exhibit 10.1 of the Company’s Quarterly Report on</w:t>
              </w:r>
            </w:hyperlink>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97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10-Q (File No. 001-40703), filed with the Securities and Exchange Commission on November 15,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Assignment and License Agreement by and between the Registrant and Adimab, LLC, dated July 8, 2020 (incorporated by reference</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to Exhibit 10.5 of the Company’s Registration Statement on Form S-1 (File No. 333-257975),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22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Commission on July 16, 2021).</w:t>
              </w:r>
            </w:hyperlink>
          </w:p>
        </w:tc>
        <w:tc>
          <w:tcPr>
            <w:tcW w:w="20" w:type="dxa"/>
            <w:vAlign w:val="bottom"/>
            <w:tcBorders>
              <w:bottom w:val="single" w:sz="8" w:color="0000EE"/>
            </w:tcBorders>
          </w:tcPr>
          <w:p>
            <w:pPr>
              <w:spacing w:after="0"/>
              <w:rPr>
                <w:sz w:val="13"/>
                <w:szCs w:val="13"/>
                <w:color w:val="auto"/>
              </w:rPr>
            </w:pPr>
          </w:p>
        </w:tc>
        <w:tc>
          <w:tcPr>
            <w:tcW w:w="7340" w:type="dxa"/>
            <w:vAlign w:val="bottom"/>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Collaboration Agreement by and between the Company and Adimab, LLC, dated May 21, 2021 (incorporated by reference to Exhibit</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of the Company’s Registration Statement on Form S-1 (File No. 333-257975),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22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Commission on July 16,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6580" w:type="dxa"/>
            <w:vAlign w:val="bottom"/>
            <w:tcBorders>
              <w:top w:val="single" w:sz="8" w:color="0000FF"/>
            </w:tcBorders>
            <w:gridSpan w:val="1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Amended and Restated Commercial Manufacturing Services Agreement by and between the Registrant and WuXi Biologics (Hong</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Kong) Limited, dated August 12, 2021 (incorporated by reference to Exhibit 10.2 of the Company’s Quarterly Report on Form 10-Q</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716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(File No. 001-40703), filed with the Securities and Exchange Commission on November 15, 2021).</w:t>
              </w:r>
            </w:hyperlink>
          </w:p>
        </w:tc>
        <w:tc>
          <w:tcPr>
            <w:tcW w:w="20" w:type="dxa"/>
            <w:vAlign w:val="bottom"/>
            <w:tcBorders>
              <w:bottom w:val="single" w:sz="8" w:color="0000EE"/>
            </w:tcBorders>
          </w:tcPr>
          <w:p>
            <w:pPr>
              <w:spacing w:after="0"/>
              <w:rPr>
                <w:sz w:val="13"/>
                <w:szCs w:val="13"/>
                <w:color w:val="auto"/>
              </w:rPr>
            </w:pPr>
          </w:p>
        </w:tc>
        <w:tc>
          <w:tcPr>
            <w:tcW w:w="240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Cell Line License Agreement by and between the Registrant and WuXi Biologics (Hong Kong) Limited, dated December 2, 2020</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(incorporated by reference to Exhibit 10.8 of the Company’s Registration Statement on Form S-1 (File No. 333-257975), filed with</w:t>
              </w:r>
            </w:hyperlink>
          </w:p>
        </w:tc>
        <w:tc>
          <w:tcPr>
            <w:tcW w:w="380" w:type="dxa"/>
            <w:vAlign w:val="bottom"/>
            <w:tcBorders>
              <w:bottom w:val="single" w:sz="8" w:color="0000FF"/>
            </w:tcBorders>
            <w:gridSpan w:val="12"/>
          </w:tcPr>
          <w:p>
            <w:pPr>
              <w:ind w:left="100"/>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the</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760" w:type="dxa"/>
            <w:vAlign w:val="bottom"/>
            <w:gridSpan w:val="28"/>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Securities and Exchange Commission on July 16, 2021).</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21.1</w:t>
            </w:r>
          </w:p>
        </w:tc>
        <w:tc>
          <w:tcPr>
            <w:tcW w:w="40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Subsidiaries of the Company (incorporated by reference</w:t>
              </w:r>
            </w:hyperlink>
          </w:p>
        </w:tc>
        <w:tc>
          <w:tcPr>
            <w:tcW w:w="5700" w:type="dxa"/>
            <w:vAlign w:val="bottom"/>
            <w:gridSpan w:val="22"/>
          </w:tcPr>
          <w:p>
            <w:pPr>
              <w:ind w:left="20"/>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to Exhibit 21.1 of the Company’s Registration Statement on Form S-1 (File</w:t>
              </w:r>
            </w:hyperlink>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64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No. 333-257975), filed with the Securities and Exchange Commission on July 16,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1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w:anchor="page200">
              <w:r>
                <w:rPr>
                  <w:rFonts w:ascii="Times New Roman" w:cs="Times New Roman" w:eastAsia="Times New Roman" w:hAnsi="Times New Roman"/>
                  <w:sz w:val="18"/>
                  <w:szCs w:val="18"/>
                  <w:color w:val="0000FF"/>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w:anchor="page129">
              <w:r>
                <w:rPr>
                  <w:rFonts w:ascii="Times New Roman" w:cs="Times New Roman" w:eastAsia="Times New Roman" w:hAnsi="Times New Roman"/>
                  <w:sz w:val="18"/>
                  <w:szCs w:val="18"/>
                  <w:color w:val="0000FF"/>
                  <w:w w:val="99"/>
                </w:rPr>
                <w:t>Power of Attorney (included on signature page)</w:t>
              </w:r>
            </w:hyperlink>
          </w:p>
        </w:tc>
        <w:tc>
          <w:tcPr>
            <w:tcW w:w="20" w:type="dxa"/>
            <w:vAlign w:val="bottom"/>
            <w:tcBorders>
              <w:top w:val="single" w:sz="8" w:color="0000FF"/>
              <w:bottom w:val="single" w:sz="8" w:color="0000EE"/>
            </w:tcBorders>
          </w:tcPr>
          <w:p>
            <w:pPr>
              <w:spacing w:after="0"/>
              <w:rPr>
                <w:sz w:val="14"/>
                <w:szCs w:val="14"/>
                <w:color w:val="auto"/>
              </w:rPr>
            </w:pPr>
          </w:p>
        </w:tc>
        <w:tc>
          <w:tcPr>
            <w:tcW w:w="3120" w:type="dxa"/>
            <w:vAlign w:val="bottom"/>
            <w:tcBorders>
              <w:top w:val="single" w:sz="8" w:color="0000FF"/>
            </w:tcBorders>
            <w:gridSpan w:val="6"/>
          </w:tcPr>
          <w:p>
            <w:pPr>
              <w:spacing w:after="0"/>
              <w:rPr>
                <w:sz w:val="14"/>
                <w:szCs w:val="14"/>
                <w:color w:val="auto"/>
              </w:rPr>
            </w:pPr>
          </w:p>
        </w:tc>
        <w:tc>
          <w:tcPr>
            <w:tcW w:w="2980" w:type="dxa"/>
            <w:vAlign w:val="bottom"/>
            <w:gridSpan w:val="8"/>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w:anchor="page201">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w:anchor="page201">
              <w:r>
                <w:rPr>
                  <w:rFonts w:ascii="Times New Roman" w:cs="Times New Roman" w:eastAsia="Times New Roman" w:hAnsi="Times New Roman"/>
                  <w:sz w:val="18"/>
                  <w:szCs w:val="18"/>
                  <w:color w:val="0000FF"/>
                  <w:w w:val="99"/>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6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w:anchor="page202">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w:anchor="page202">
              <w:r>
                <w:rPr>
                  <w:rFonts w:ascii="Times New Roman" w:cs="Times New Roman" w:eastAsia="Times New Roman" w:hAnsi="Times New Roman"/>
                  <w:sz w:val="18"/>
                  <w:szCs w:val="18"/>
                  <w:color w:val="0000FF"/>
                  <w:w w:val="99"/>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7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w:anchor="page203">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w:anchor="page203">
              <w:r>
                <w:rPr>
                  <w:rFonts w:ascii="Times New Roman" w:cs="Times New Roman" w:eastAsia="Times New Roman" w:hAnsi="Times New Roman"/>
                  <w:sz w:val="18"/>
                  <w:szCs w:val="18"/>
                  <w:color w:val="0000FF"/>
                </w:rPr>
                <w:t>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18"/>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w:anchor="page204">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w:anchor="page204">
              <w:r>
                <w:rPr>
                  <w:rFonts w:ascii="Times New Roman" w:cs="Times New Roman" w:eastAsia="Times New Roman" w:hAnsi="Times New Roman"/>
                  <w:sz w:val="18"/>
                  <w:szCs w:val="18"/>
                  <w:color w:val="0000FF"/>
                </w:rPr>
                <w:t>Oxley Act of 2002.</w:t>
              </w:r>
            </w:hyperlink>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36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vMerge w:val="continue"/>
          </w:tcPr>
          <w:p>
            <w:pPr>
              <w:spacing w:after="0"/>
              <w:rPr>
                <w:sz w:val="13"/>
                <w:szCs w:val="13"/>
                <w:color w:val="auto"/>
              </w:rPr>
            </w:pPr>
          </w:p>
        </w:tc>
        <w:tc>
          <w:tcPr>
            <w:tcW w:w="9760" w:type="dxa"/>
            <w:vAlign w:val="bottom"/>
            <w:gridSpan w:val="28"/>
          </w:tcPr>
          <w:p>
            <w:pPr>
              <w:spacing w:after="0" w:line="15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976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23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0"/>
          <w:szCs w:val="20"/>
          <w:color w:val="auto"/>
        </w:rPr>
      </w:pPr>
    </w:p>
    <w:p>
      <w:pPr>
        <w:ind w:left="140" w:hanging="132"/>
        <w:spacing w:after="0"/>
        <w:tabs>
          <w:tab w:leader="none" w:pos="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8" w:lineRule="exact"/>
        <w:rPr>
          <w:rFonts w:ascii="Times New Roman" w:cs="Times New Roman" w:eastAsia="Times New Roman" w:hAnsi="Times New Roman"/>
          <w:sz w:val="18"/>
          <w:szCs w:val="18"/>
          <w:color w:val="auto"/>
        </w:rPr>
      </w:pPr>
    </w:p>
    <w:p>
      <w:pPr>
        <w:ind w:left="420" w:hanging="399"/>
        <w:spacing w:after="0"/>
        <w:tabs>
          <w:tab w:leader="none" w:pos="4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6" w:lineRule="exact"/>
        <w:rPr>
          <w:sz w:val="20"/>
          <w:szCs w:val="20"/>
          <w:color w:val="auto"/>
        </w:rPr>
      </w:pPr>
    </w:p>
    <w:p>
      <w:pPr>
        <w:ind w:left="420" w:right="200" w:hanging="399"/>
        <w:spacing w:after="0" w:line="219" w:lineRule="auto"/>
        <w:tabs>
          <w:tab w:leader="none" w:pos="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20" w:right="20" w:hanging="399"/>
        <w:spacing w:after="0" w:line="219" w:lineRule="auto"/>
        <w:tabs>
          <w:tab w:leader="none" w:pos="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ind w:left="420" w:right="580" w:hanging="399"/>
        <w:spacing w:after="0" w:line="218" w:lineRule="auto"/>
        <w:tabs>
          <w:tab w:leader="none" w:pos="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ADAGIO THERAPEUTICS, INC.</w:t>
            </w:r>
          </w:p>
        </w:tc>
      </w:tr>
      <w:tr>
        <w:trPr>
          <w:trHeight w:val="35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2022</w:t>
            </w:r>
          </w:p>
        </w:tc>
        <w:tc>
          <w:tcPr>
            <w:tcW w:w="80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auto"/>
                <w:highlight w:val="white"/>
              </w:rPr>
              <w:t>/s/ David Hering, M.B.A.</w:t>
            </w:r>
          </w:p>
        </w:tc>
      </w:tr>
      <w:tr>
        <w:trPr>
          <w:trHeight w:val="147"/>
        </w:trPr>
        <w:tc>
          <w:tcPr>
            <w:tcW w:w="3220" w:type="dxa"/>
            <w:vAlign w:val="bottom"/>
          </w:tcPr>
          <w:p>
            <w:pPr>
              <w:spacing w:after="0"/>
              <w:rPr>
                <w:sz w:val="12"/>
                <w:szCs w:val="12"/>
                <w:color w:val="auto"/>
              </w:rPr>
            </w:pPr>
          </w:p>
        </w:tc>
        <w:tc>
          <w:tcPr>
            <w:tcW w:w="4040" w:type="dxa"/>
            <w:vAlign w:val="bottom"/>
          </w:tcPr>
          <w:p>
            <w:pPr>
              <w:ind w:left="2200"/>
              <w:spacing w:after="0" w:line="147" w:lineRule="exact"/>
              <w:rPr>
                <w:sz w:val="20"/>
                <w:szCs w:val="20"/>
                <w:color w:val="auto"/>
              </w:rPr>
            </w:pPr>
            <w:r>
              <w:rPr>
                <w:rFonts w:ascii="Times New Roman" w:cs="Times New Roman" w:eastAsia="Times New Roman" w:hAnsi="Times New Roman"/>
                <w:sz w:val="17"/>
                <w:szCs w:val="17"/>
                <w:b w:val="1"/>
                <w:bCs w:val="1"/>
                <w:color w:val="auto"/>
                <w:highlight w:val="white"/>
              </w:rPr>
              <w:t>David Hering, M.B.A.</w:t>
            </w:r>
          </w:p>
        </w:tc>
        <w:tc>
          <w:tcPr>
            <w:tcW w:w="3960" w:type="dxa"/>
            <w:vAlign w:val="bottom"/>
            <w:tcBorders>
              <w:top w:val="single" w:sz="8" w:color="auto"/>
            </w:tcBorders>
          </w:tcPr>
          <w:p>
            <w:pPr>
              <w:spacing w:after="0"/>
              <w:rPr>
                <w:sz w:val="12"/>
                <w:szCs w:val="12"/>
                <w:color w:val="auto"/>
              </w:rPr>
            </w:pPr>
          </w:p>
        </w:tc>
      </w:tr>
      <w:tr>
        <w:trPr>
          <w:trHeight w:val="238"/>
        </w:trPr>
        <w:tc>
          <w:tcPr>
            <w:tcW w:w="3220" w:type="dxa"/>
            <w:vAlign w:val="bottom"/>
          </w:tcPr>
          <w:p>
            <w:pPr>
              <w:spacing w:after="0"/>
              <w:rPr>
                <w:sz w:val="20"/>
                <w:szCs w:val="20"/>
                <w:color w:val="auto"/>
              </w:rPr>
            </w:pPr>
          </w:p>
        </w:tc>
        <w:tc>
          <w:tcPr>
            <w:tcW w:w="800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Interim Chief Executive Officer and 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-256540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8890</wp:posOffset>
            </wp:positionV>
            <wp:extent cx="24345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243459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8890</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5440"/>
        <w:spacing w:after="0" w:line="237" w:lineRule="auto"/>
        <w:rPr>
          <w:sz w:val="20"/>
          <w:szCs w:val="20"/>
          <w:color w:val="auto"/>
        </w:rPr>
      </w:pPr>
      <w:r>
        <w:rPr>
          <w:rFonts w:ascii="Times New Roman" w:cs="Times New Roman" w:eastAsia="Times New Roman" w:hAnsi="Times New Roman"/>
          <w:sz w:val="18"/>
          <w:szCs w:val="18"/>
          <w:b w:val="1"/>
          <w:bCs w:val="1"/>
          <w:color w:val="auto"/>
          <w:highlight w:val="white"/>
        </w:rPr>
        <w:t>Jane Pritchett Henderson</w:t>
      </w:r>
    </w:p>
    <w:p>
      <w:pPr>
        <w:ind w:left="544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39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David Hering, M.B.A. and Jane Pritchett Henderson, and each of them, as his or her true and lawful agents, proxies and attorneys-in-fact, with full power of substitution and resubstitution, for him or her and in his or her name, place and stead, in any and all capacities, to sign this Annual Report on Form 10-K of Adagio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8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1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highlight w:val="white"/>
                <w:w w:val="99"/>
              </w:rPr>
              <w:t>/s/ David Hering, M.B.A.</w:t>
            </w:r>
          </w:p>
        </w:tc>
        <w:tc>
          <w:tcPr>
            <w:tcW w:w="164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Chief Operating Officer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371"/>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David Hering, M.B.A.</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35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/s/ Jane Pritchett Henderson</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c>
          <w:tcPr>
            <w:tcW w:w="10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2022</w:t>
            </w:r>
          </w:p>
        </w:tc>
      </w:tr>
      <w:tr>
        <w:trPr>
          <w:trHeight w:val="372"/>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Jane Pritchett Henderson</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René Russo, Pharm.D.</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Co-Founder, Director and Chair of the Board</w:t>
            </w:r>
          </w:p>
        </w:tc>
        <w:tc>
          <w:tcPr>
            <w:tcW w:w="10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0"/>
        </w:trPr>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72"/>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René Russo, Pharm.D.</w:t>
            </w:r>
          </w:p>
        </w:tc>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Terrance McGuire</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0"/>
        </w:trPr>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72"/>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Terrance McGuire</w:t>
            </w:r>
          </w:p>
        </w:tc>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2"/>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Ajay Royan</w:t>
            </w:r>
          </w:p>
        </w:tc>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Howard Mayer, M.D.</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0"/>
        </w:trPr>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72"/>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Howard Mayer, M.D.</w:t>
            </w:r>
          </w:p>
        </w:tc>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Anand Shah, M.D.</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0"/>
        </w:trPr>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72"/>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Anand Shah, M.D.</w:t>
            </w:r>
          </w:p>
        </w:tc>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Tom Heyman</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0"/>
        </w:trPr>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71"/>
        </w:trPr>
        <w:tc>
          <w:tcPr>
            <w:tcW w:w="3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Tom Heyman</w:t>
            </w:r>
          </w:p>
        </w:tc>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0</wp:posOffset>
            </wp:positionV>
            <wp:extent cx="13455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Wyzga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Redonda Miller,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2117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Redonda Miller, M.D., M.B.A.</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Ellen R. Marram,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8890</wp:posOffset>
            </wp:positionV>
            <wp:extent cx="11658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highlight w:val="white"/>
        </w:rPr>
        <w:t>Ellen Marram, M.B.A.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60"/>
        <w:spacing w:after="0"/>
        <w:tabs>
          <w:tab w:leader="none" w:pos="59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31, 2022</w:t>
      </w:r>
    </w:p>
    <w:p>
      <w:pPr>
        <w:spacing w:after="0" w:line="200" w:lineRule="exact"/>
        <w:rPr>
          <w:sz w:val="20"/>
          <w:szCs w:val="20"/>
          <w:color w:val="auto"/>
        </w:rPr>
      </w:pPr>
    </w:p>
    <w:p>
      <w:pPr>
        <w:spacing w:after="0" w:line="253"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31, 2022</w:t>
      </w:r>
    </w:p>
    <w:p>
      <w:pPr>
        <w:spacing w:after="0" w:line="27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31, 2022</w:t>
      </w:r>
    </w:p>
    <w:p>
      <w:pPr>
        <w:spacing w:after="0" w:line="420" w:lineRule="exact"/>
        <w:rPr>
          <w:sz w:val="20"/>
          <w:szCs w:val="20"/>
          <w:color w:val="auto"/>
        </w:rPr>
      </w:pPr>
    </w:p>
    <w:p>
      <w:pPr>
        <w:sectPr>
          <w:pgSz w:w="11900" w:h="16838" w:orient="portrait"/>
          <w:cols w:equalWidth="0" w:num="2">
            <w:col w:w="2900" w:space="720"/>
            <w:col w:w="7620"/>
          </w:cols>
          <w:pgMar w:left="320" w:top="320" w:right="3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29" w:name="page130"/>
    <w:bookmarkEnd w:id="1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5"/>
                <w:szCs w:val="15"/>
                <w:color w:val="auto"/>
              </w:rPr>
            </w:pPr>
          </w:p>
        </w:tc>
      </w:tr>
      <w:tr>
        <w:trPr>
          <w:trHeight w:val="223"/>
        </w:trPr>
        <w:tc>
          <w:tcPr>
            <w:tcW w:w="5560" w:type="dxa"/>
            <w:vAlign w:val="bottom"/>
            <w:tcBorders>
              <w:bottom w:val="single" w:sz="8" w:color="0000FF"/>
            </w:tcBorders>
            <w:gridSpan w:val="5"/>
          </w:tcPr>
          <w:p>
            <w:pPr>
              <w:ind w:left="20"/>
              <w:spacing w:after="0"/>
              <w:rPr>
                <w:rFonts w:ascii="Times New Roman" w:cs="Times New Roman" w:eastAsia="Times New Roman" w:hAnsi="Times New Roman"/>
                <w:sz w:val="18"/>
                <w:szCs w:val="18"/>
                <w:color w:val="0000FF"/>
                <w:w w:val="99"/>
              </w:rPr>
            </w:pPr>
            <w:hyperlink w:anchor="page131">
              <w:r>
                <w:rPr>
                  <w:rFonts w:ascii="Times New Roman" w:cs="Times New Roman" w:eastAsia="Times New Roman" w:hAnsi="Times New Roman"/>
                  <w:sz w:val="18"/>
                  <w:szCs w:val="18"/>
                  <w:color w:val="0000FF"/>
                  <w:w w:val="99"/>
                </w:rPr>
                <w:t>Report of Independent Registered Public Accounting Firm (PCAOB ID 238)</w:t>
              </w:r>
            </w:hyperlink>
          </w:p>
        </w:tc>
        <w:tc>
          <w:tcPr>
            <w:tcW w:w="4700" w:type="dxa"/>
            <w:vAlign w:val="bottom"/>
            <w:gridSpan w:val="2"/>
          </w:tcPr>
          <w:p>
            <w:pPr>
              <w:spacing w:after="0"/>
              <w:rPr>
                <w:sz w:val="19"/>
                <w:szCs w:val="19"/>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0260" w:type="dxa"/>
            <w:vAlign w:val="bottom"/>
            <w:gridSpan w:val="7"/>
          </w:tcPr>
          <w:p>
            <w:pPr>
              <w:ind w:left="20"/>
              <w:spacing w:after="0" w:line="196" w:lineRule="exact"/>
              <w:rPr>
                <w:rFonts w:ascii="Times New Roman" w:cs="Times New Roman" w:eastAsia="Times New Roman" w:hAnsi="Times New Roman"/>
                <w:sz w:val="18"/>
                <w:szCs w:val="18"/>
                <w:color w:val="0000FF"/>
              </w:rPr>
            </w:pPr>
            <w:hyperlink w:anchor="page132">
              <w:r>
                <w:rPr>
                  <w:rFonts w:ascii="Times New Roman" w:cs="Times New Roman" w:eastAsia="Times New Roman" w:hAnsi="Times New Roman"/>
                  <w:sz w:val="18"/>
                  <w:szCs w:val="18"/>
                  <w:color w:val="0000FF"/>
                </w:rPr>
                <w:t>Consolidated Balance Sheets</w:t>
              </w:r>
            </w:hyperlink>
          </w:p>
        </w:tc>
        <w:tc>
          <w:tcPr>
            <w:tcW w:w="980" w:type="dxa"/>
            <w:vAlign w:val="bottom"/>
            <w:gridSpan w:val="2"/>
          </w:tcPr>
          <w:p>
            <w:pPr>
              <w:ind w:left="72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96"/>
        </w:trPr>
        <w:tc>
          <w:tcPr>
            <w:tcW w:w="470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9"/>
              </w:rPr>
            </w:pPr>
            <w:hyperlink w:anchor="page133">
              <w:r>
                <w:rPr>
                  <w:rFonts w:ascii="Times New Roman" w:cs="Times New Roman" w:eastAsia="Times New Roman" w:hAnsi="Times New Roman"/>
                  <w:sz w:val="18"/>
                  <w:szCs w:val="18"/>
                  <w:color w:val="0000FF"/>
                  <w:w w:val="99"/>
                </w:rPr>
                <w:t>Consolidated Statements of Operations and Comprehensive Loss</w:t>
              </w:r>
            </w:hyperlink>
          </w:p>
        </w:tc>
        <w:tc>
          <w:tcPr>
            <w:tcW w:w="5560" w:type="dxa"/>
            <w:vAlign w:val="bottom"/>
            <w:gridSpan w:val="3"/>
          </w:tcPr>
          <w:p>
            <w:pPr>
              <w:spacing w:after="0"/>
              <w:rPr>
                <w:sz w:val="17"/>
                <w:szCs w:val="17"/>
                <w:color w:val="auto"/>
              </w:rPr>
            </w:pPr>
          </w:p>
        </w:tc>
        <w:tc>
          <w:tcPr>
            <w:tcW w:w="980" w:type="dxa"/>
            <w:vAlign w:val="bottom"/>
            <w:gridSpan w:val="2"/>
          </w:tcPr>
          <w:p>
            <w:pPr>
              <w:ind w:left="72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0260" w:type="dxa"/>
            <w:vAlign w:val="bottom"/>
            <w:gridSpan w:val="7"/>
          </w:tcPr>
          <w:p>
            <w:pPr>
              <w:ind w:left="20"/>
              <w:spacing w:after="0" w:line="196" w:lineRule="exact"/>
              <w:rPr>
                <w:rFonts w:ascii="Times New Roman" w:cs="Times New Roman" w:eastAsia="Times New Roman" w:hAnsi="Times New Roman"/>
                <w:sz w:val="18"/>
                <w:szCs w:val="18"/>
                <w:color w:val="0000FF"/>
              </w:rPr>
            </w:pPr>
            <w:hyperlink w:anchor="page134">
              <w:r>
                <w:rPr>
                  <w:rFonts w:ascii="Times New Roman" w:cs="Times New Roman" w:eastAsia="Times New Roman" w:hAnsi="Times New Roman"/>
                  <w:sz w:val="18"/>
                  <w:szCs w:val="18"/>
                  <w:color w:val="0000FF"/>
                </w:rPr>
                <w:t>Consolidated Statements of Convertible Preferred Stock and Stockholders’ Equity (Deficit)</w:t>
              </w:r>
            </w:hyperlink>
          </w:p>
        </w:tc>
        <w:tc>
          <w:tcPr>
            <w:tcW w:w="980" w:type="dxa"/>
            <w:vAlign w:val="bottom"/>
            <w:gridSpan w:val="2"/>
          </w:tcPr>
          <w:p>
            <w:pPr>
              <w:ind w:left="72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2900" w:type="dxa"/>
            <w:vAlign w:val="bottom"/>
            <w:tcBorders>
              <w:top w:val="single" w:sz="8" w:color="0000FF"/>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9"/>
              </w:rPr>
            </w:pPr>
            <w:hyperlink w:anchor="page136">
              <w:r>
                <w:rPr>
                  <w:rFonts w:ascii="Times New Roman" w:cs="Times New Roman" w:eastAsia="Times New Roman" w:hAnsi="Times New Roman"/>
                  <w:sz w:val="18"/>
                  <w:szCs w:val="18"/>
                  <w:color w:val="0000FF"/>
                  <w:w w:val="99"/>
                </w:rPr>
                <w:t>Consolidated Statements of Cash Flows</w:t>
              </w:r>
            </w:hyperlink>
          </w:p>
        </w:tc>
        <w:tc>
          <w:tcPr>
            <w:tcW w:w="3700" w:type="dxa"/>
            <w:vAlign w:val="bottom"/>
            <w:tcBorders>
              <w:top w:val="single" w:sz="8" w:color="0000FF"/>
            </w:tcBorders>
            <w:gridSpan w:val="4"/>
          </w:tcPr>
          <w:p>
            <w:pPr>
              <w:spacing w:after="0"/>
              <w:rPr>
                <w:sz w:val="17"/>
                <w:szCs w:val="17"/>
                <w:color w:val="auto"/>
              </w:rPr>
            </w:pPr>
          </w:p>
        </w:tc>
        <w:tc>
          <w:tcPr>
            <w:tcW w:w="3660" w:type="dxa"/>
            <w:vAlign w:val="bottom"/>
          </w:tcPr>
          <w:p>
            <w:pPr>
              <w:spacing w:after="0"/>
              <w:rPr>
                <w:sz w:val="17"/>
                <w:szCs w:val="17"/>
                <w:color w:val="auto"/>
              </w:rPr>
            </w:pPr>
          </w:p>
        </w:tc>
        <w:tc>
          <w:tcPr>
            <w:tcW w:w="980" w:type="dxa"/>
            <w:vAlign w:val="bottom"/>
            <w:gridSpan w:val="2"/>
          </w:tcPr>
          <w:p>
            <w:pPr>
              <w:ind w:left="72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10260" w:type="dxa"/>
            <w:vAlign w:val="bottom"/>
            <w:gridSpan w:val="7"/>
          </w:tcPr>
          <w:p>
            <w:pPr>
              <w:ind w:left="20"/>
              <w:spacing w:after="0" w:line="196" w:lineRule="exact"/>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Notes to Consolidated Financial Statements</w:t>
              </w:r>
            </w:hyperlink>
          </w:p>
        </w:tc>
        <w:tc>
          <w:tcPr>
            <w:tcW w:w="980" w:type="dxa"/>
            <w:vAlign w:val="bottom"/>
            <w:gridSpan w:val="2"/>
          </w:tcPr>
          <w:p>
            <w:pPr>
              <w:ind w:left="72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655"/>
        </w:trPr>
        <w:tc>
          <w:tcPr>
            <w:tcW w:w="2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55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0" w:name="page131"/>
    <w:bookmarkEnd w:id="130"/>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Adagio Therapeutics, Inc.</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3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sheets of Adagio Therapeutics, Inc. and its subsidiary (the “Company”) as of December 31, 2021 and December 31, 2020, and the related consolidated statements of operations and comprehensive loss, of convertible preferred stock and stockholders' equity (deficit) and of cash flows for the year ended December 31, 2021 and for the period from June 3, 2020 (inception) to December 31, 2020, including the related notes (collectively referred to as the “consolidated financial statements”). In our opinion, the consolidated financial statements present fairly, in all material respects, the financial position of the Company as of December 31, 2021 and December 31, 2020, and the results of its operations and its cash flows for the year ended December 31, 2021 and for the period from June 3, 2020 to December 31, 2020 in conformity with accounting principles generally accepted in the United States of America.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3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2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1" w:name="page132"/>
    <w:bookmarkEnd w:id="1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jc w:val="right"/>
              <w:ind w:right="774"/>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542,224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114,988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49,194</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25,293</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616,711</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3,297</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top w:val="single" w:sz="8" w:color="auto"/>
              <w:bottom w:val="single" w:sz="8" w:color="auto"/>
            </w:tcBorders>
            <w:shd w:val="clear" w:color="auto" w:fill="CFF0FC"/>
          </w:tcPr>
          <w:p>
            <w:pPr>
              <w:jc w:val="right"/>
              <w:ind w:right="77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620,091</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jc w:val="right"/>
              <w:ind w:right="774"/>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5,783</w:t>
            </w:r>
          </w:p>
        </w:tc>
        <w:tc>
          <w:tcPr>
            <w:tcW w:w="28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56,277</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4,919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62,060</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Early-exercise liability</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62,072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13,083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8)</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Convertible preferred stock (Series A, B and C), $0.0001 par value; no shares</w:t>
            </w: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auto"/>
              </w:rPr>
              <w:t>authorized, issued and outstanding at December 31, 2021; 12,647,934 shares</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auto"/>
              </w:rPr>
              <w:t>authorized, issued and outstanding at December 31, 2020; aggregate liquidation</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auto"/>
              </w:rPr>
              <w:t>preference of $0 and $169,900 at December 31, 2021 and December 31, 2020,</w:t>
            </w:r>
          </w:p>
        </w:tc>
        <w:tc>
          <w:tcPr>
            <w:tcW w:w="96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160"/>
              <w:spacing w:after="0" w:line="202" w:lineRule="exact"/>
              <w:rPr>
                <w:sz w:val="20"/>
                <w:szCs w:val="20"/>
                <w:color w:val="auto"/>
              </w:rPr>
            </w:pPr>
            <w:r>
              <w:rPr>
                <w:rFonts w:ascii="Times New Roman" w:cs="Times New Roman" w:eastAsia="Times New Roman" w:hAnsi="Times New Roman"/>
                <w:sz w:val="18"/>
                <w:szCs w:val="18"/>
                <w:color w:val="auto"/>
              </w:rPr>
              <w:t>respectively</w:t>
            </w:r>
          </w:p>
        </w:tc>
        <w:tc>
          <w:tcPr>
            <w:tcW w:w="96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Stockholders’ equity (deficit):</w:t>
            </w:r>
          </w:p>
        </w:tc>
        <w:tc>
          <w:tcPr>
            <w:tcW w:w="9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520"/>
              <w:spacing w:after="0" w:line="176" w:lineRule="exact"/>
              <w:rPr>
                <w:sz w:val="20"/>
                <w:szCs w:val="20"/>
                <w:color w:val="auto"/>
              </w:rPr>
            </w:pPr>
            <w:r>
              <w:rPr>
                <w:rFonts w:ascii="Times New Roman" w:cs="Times New Roman" w:eastAsia="Times New Roman" w:hAnsi="Times New Roman"/>
                <w:sz w:val="18"/>
                <w:szCs w:val="18"/>
                <w:color w:val="auto"/>
              </w:rPr>
              <w:t>authorized and no shares issued and outstanding at December 31 2021; no</w:t>
            </w:r>
          </w:p>
        </w:tc>
        <w:tc>
          <w:tcPr>
            <w:tcW w:w="96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5"/>
                <w:szCs w:val="15"/>
                <w:color w:val="auto"/>
              </w:rPr>
            </w:pPr>
          </w:p>
        </w:tc>
        <w:tc>
          <w:tcPr>
            <w:tcW w:w="1220" w:type="dxa"/>
            <w:vAlign w:val="bottom"/>
            <w:gridSpan w:val="2"/>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shares authorized, issued and outstanding at December 31, 2020</w:t>
            </w:r>
          </w:p>
        </w:tc>
        <w:tc>
          <w:tcPr>
            <w:tcW w:w="96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80"/>
              <w:spacing w:after="0" w:line="162"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111,251,660 shares issued and 110,782,909 shares outstanding at</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December 31, 2021; 150,000,000 shares authorized, 28,193,240 shares</w:t>
            </w:r>
          </w:p>
        </w:tc>
        <w:tc>
          <w:tcPr>
            <w:tcW w:w="9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5,593,240 shares outstanding as of December 31, 2020</w:t>
            </w:r>
          </w:p>
        </w:tc>
        <w:tc>
          <w:tcPr>
            <w:tcW w:w="9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8"/>
                <w:szCs w:val="18"/>
                <w:color w:val="auto"/>
              </w:rPr>
              <w:t>Treasury stock, at cost; 468,751 shares and 22,600,000 shares at</w:t>
            </w:r>
          </w:p>
        </w:tc>
        <w:tc>
          <w:tcPr>
            <w:tcW w:w="96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4"/>
                <w:szCs w:val="14"/>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96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850,125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(8 )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w w:val="95"/>
              </w:rPr>
              <w:t>(292,109 )</w:t>
            </w:r>
          </w:p>
        </w:tc>
        <w:tc>
          <w:tcPr>
            <w:tcW w:w="4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(65,319 )</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558,019</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(65,249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960" w:type="dxa"/>
            <w:vAlign w:val="bottom"/>
            <w:tcBorders>
              <w:bottom w:val="single" w:sz="8" w:color="auto"/>
            </w:tcBorders>
          </w:tcPr>
          <w:p>
            <w:pPr>
              <w:jc w:val="right"/>
              <w:ind w:right="77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620,091</w:t>
            </w:r>
          </w:p>
        </w:tc>
        <w:tc>
          <w:tcPr>
            <w:tcW w:w="28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-4179570</wp:posOffset>
            </wp:positionV>
            <wp:extent cx="6032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-4179570</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-3651250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-3634105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-3634105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-3108325</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-3108325</wp:posOffset>
            </wp:positionV>
            <wp:extent cx="596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-2576830</wp:posOffset>
            </wp:positionV>
            <wp:extent cx="6032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-2576830</wp:posOffset>
            </wp:positionV>
            <wp:extent cx="596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-1873885</wp:posOffset>
            </wp:positionV>
            <wp:extent cx="6032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-1873885</wp:posOffset>
            </wp:positionV>
            <wp:extent cx="596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2" w:name="page133"/>
    <w:bookmarkEnd w:id="1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60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160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182,891</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ind w:left="200"/>
              <w:spacing w:after="0" w:line="202" w:lineRule="exact"/>
              <w:rPr>
                <w:sz w:val="20"/>
                <w:szCs w:val="20"/>
                <w:color w:val="auto"/>
              </w:rPr>
            </w:pPr>
            <w:r>
              <w:rPr>
                <w:rFonts w:ascii="Times New Roman" w:cs="Times New Roman" w:eastAsia="Times New Roman" w:hAnsi="Times New Roman"/>
                <w:sz w:val="17"/>
                <w:szCs w:val="17"/>
                <w:color w:val="auto"/>
              </w:rPr>
              <w:t>Acquired in-process research and development</w:t>
            </w:r>
            <w:r>
              <w:rPr>
                <w:rFonts w:ascii="Times New Roman" w:cs="Times New Roman" w:eastAsia="Times New Roman" w:hAnsi="Times New Roman"/>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40,125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36,517</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gridSpan w:val="2"/>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226,908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65,327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170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(226,908 )</w:t>
            </w:r>
          </w:p>
        </w:tc>
        <w:tc>
          <w:tcPr>
            <w:tcW w:w="180" w:type="dxa"/>
            <w:vAlign w:val="bottom"/>
          </w:tcPr>
          <w:p>
            <w:pPr>
              <w:spacing w:after="0"/>
              <w:rPr>
                <w:sz w:val="17"/>
                <w:szCs w:val="17"/>
                <w:color w:val="auto"/>
              </w:rPr>
            </w:pP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(65,327 )</w:t>
            </w: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gridSpan w:val="2"/>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7"/>
                <w:szCs w:val="17"/>
                <w:color w:val="auto"/>
              </w:rPr>
            </w:pPr>
          </w:p>
        </w:tc>
        <w:tc>
          <w:tcPr>
            <w:tcW w:w="170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(226,790 )</w:t>
            </w:r>
          </w:p>
        </w:tc>
        <w:tc>
          <w:tcPr>
            <w:tcW w:w="180" w:type="dxa"/>
            <w:vAlign w:val="bottom"/>
          </w:tcPr>
          <w:p>
            <w:pPr>
              <w:spacing w:after="0"/>
              <w:rPr>
                <w:sz w:val="17"/>
                <w:szCs w:val="17"/>
                <w:color w:val="auto"/>
              </w:rPr>
            </w:pP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(65,319 )</w:t>
            </w: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60" w:type="dxa"/>
            <w:vAlign w:val="bottom"/>
          </w:tcPr>
          <w:p>
            <w:pPr>
              <w:spacing w:after="0"/>
              <w:rPr>
                <w:sz w:val="17"/>
                <w:szCs w:val="17"/>
                <w:color w:val="auto"/>
              </w:rPr>
            </w:pPr>
          </w:p>
        </w:tc>
        <w:tc>
          <w:tcPr>
            <w:tcW w:w="170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7"/>
                <w:szCs w:val="17"/>
                <w:color w:val="auto"/>
              </w:rPr>
            </w:pPr>
          </w:p>
        </w:tc>
        <w:tc>
          <w:tcPr>
            <w:tcW w:w="16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(226,798</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(65,319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10"/>
              <w:spacing w:after="0" w:line="183" w:lineRule="exact"/>
              <w:rPr>
                <w:sz w:val="20"/>
                <w:szCs w:val="20"/>
                <w:color w:val="auto"/>
              </w:rPr>
            </w:pPr>
            <w:r>
              <w:rPr>
                <w:rFonts w:ascii="Times New Roman" w:cs="Times New Roman" w:eastAsia="Times New Roman" w:hAnsi="Times New Roman"/>
                <w:sz w:val="18"/>
                <w:szCs w:val="18"/>
                <w:color w:val="auto"/>
              </w:rPr>
              <w:t>(5.32 )</w:t>
            </w:r>
          </w:p>
        </w:tc>
        <w:tc>
          <w:tcPr>
            <w:tcW w:w="1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8"/>
                <w:szCs w:val="18"/>
                <w:color w:val="auto"/>
              </w:rPr>
              <w:t>(18.10 )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42,621,265</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3,608,491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74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-1513840</wp:posOffset>
            </wp:positionV>
            <wp:extent cx="603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-1513840</wp:posOffset>
            </wp:positionV>
            <wp:extent cx="596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-973455</wp:posOffset>
            </wp:positionV>
            <wp:extent cx="6032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-973455</wp:posOffset>
            </wp:positionV>
            <wp:extent cx="596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-436880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-419735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-436880</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-419735</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-128270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-111125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-128270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-111125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hanging="512"/>
        <w:spacing w:after="0" w:line="24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$4,150 for the year ended December 31, 2021 and $595 for the period from June 3, 2020 (inception) to December 31, 2020 (see Note 7).</w:t>
      </w:r>
    </w:p>
    <w:p>
      <w:pPr>
        <w:ind w:left="520" w:right="20" w:hanging="512"/>
        <w:spacing w:after="0" w:line="243"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$7,500 for the year ended December 31, 2021 and $39,915 for the period from June 3, 2020 (inception) to December 31, 2020 (see Note 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3" w:name="page134"/>
    <w:bookmarkEnd w:id="13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5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117"/>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0"/>
                <w:szCs w:val="10"/>
                <w:color w:val="auto"/>
              </w:rPr>
            </w:pPr>
          </w:p>
        </w:tc>
        <w:tc>
          <w:tcPr>
            <w:tcW w:w="8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Accumulat</w:t>
            </w:r>
          </w:p>
        </w:tc>
        <w:tc>
          <w:tcPr>
            <w:tcW w:w="140" w:type="dxa"/>
            <w:vAlign w:val="bottom"/>
          </w:tcPr>
          <w:p>
            <w:pPr>
              <w:spacing w:after="0"/>
              <w:rPr>
                <w:sz w:val="10"/>
                <w:szCs w:val="10"/>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78"/>
              </w:rPr>
              <w:t>al</w:t>
            </w:r>
          </w:p>
        </w:tc>
        <w:tc>
          <w:tcPr>
            <w:tcW w:w="8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2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2"/>
                <w:szCs w:val="12"/>
                <w:color w:val="auto"/>
              </w:rPr>
            </w:pPr>
          </w:p>
        </w:tc>
        <w:tc>
          <w:tcPr>
            <w:tcW w:w="6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1"/>
              </w:rPr>
              <w:t>ed</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8"/>
                <w:szCs w:val="8"/>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8"/>
                <w:szCs w:val="8"/>
                <w:color w:val="auto"/>
              </w:rPr>
            </w:pPr>
          </w:p>
        </w:tc>
        <w:tc>
          <w:tcPr>
            <w:tcW w:w="68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8"/>
                <w:szCs w:val="8"/>
                <w:color w:val="auto"/>
              </w:rPr>
            </w:pPr>
          </w:p>
        </w:tc>
        <w:tc>
          <w:tcPr>
            <w:tcW w:w="7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42"/>
        </w:trPr>
        <w:tc>
          <w:tcPr>
            <w:tcW w:w="25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Balances at June 3, 2020 (Inception)</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1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FF0FC"/>
          </w:tcPr>
          <w:p>
            <w:pPr>
              <w:ind w:left="54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common stock at inception</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9"/>
                <w:szCs w:val="9"/>
                <w:color w:val="auto"/>
              </w:rPr>
            </w:pPr>
          </w:p>
        </w:tc>
        <w:tc>
          <w:tcPr>
            <w:tcW w:w="8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21,250,00</w:t>
            </w: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40" w:type="dxa"/>
            <w:vAlign w:val="bottom"/>
          </w:tcPr>
          <w:p>
            <w:pPr>
              <w:spacing w:after="0"/>
              <w:rPr>
                <w:sz w:val="9"/>
                <w:szCs w:val="9"/>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Issuance of Series A convertible preferred</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 in exchange for</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(21,250,0</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assigned rights, license and repurchased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60" w:type="dxa"/>
            <w:vAlign w:val="bottom"/>
            <w:tcBorders>
              <w:right w:val="single" w:sz="8" w:color="auto"/>
            </w:tcBorders>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21,250,000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(85 )</w:t>
            </w:r>
          </w:p>
        </w:tc>
        <w:tc>
          <w:tcPr>
            <w:tcW w:w="1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4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00 )</w:t>
            </w:r>
          </w:p>
        </w:tc>
        <w:tc>
          <w:tcPr>
            <w:tcW w:w="3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Issuance of Series A convertible preferred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 net of issuance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6,237,500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49,706</w:t>
            </w: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0"/>
                <w:szCs w:val="10"/>
                <w:color w:val="auto"/>
              </w:rPr>
            </w:pP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costs of $194</w:t>
            </w: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Series B convertible preferred</w:t>
            </w:r>
          </w:p>
        </w:tc>
        <w:tc>
          <w:tcPr>
            <w:tcW w:w="6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tcBorders>
              <w:left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 net of issuance</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1,410,434</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79,842</w:t>
            </w: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costs of $158</w:t>
            </w: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6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restricted common stock upon</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early exercise of stock</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6,943,240</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(1 )</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Repurchase of unvested restricted common</w:t>
            </w:r>
          </w:p>
        </w:tc>
        <w:tc>
          <w:tcPr>
            <w:tcW w:w="9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shd w:val="clear" w:color="auto" w:fill="CFF0FC"/>
          </w:tcPr>
          <w:p>
            <w:pPr>
              <w:spacing w:after="0"/>
              <w:rPr>
                <w:sz w:val="9"/>
                <w:szCs w:val="9"/>
                <w:color w:val="auto"/>
              </w:rPr>
            </w:pPr>
          </w:p>
        </w:tc>
        <w:tc>
          <w:tcPr>
            <w:tcW w:w="8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(1,350,00</w:t>
            </w: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4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1,350,000</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0 )</w:t>
            </w:r>
          </w:p>
        </w:tc>
        <w:tc>
          <w:tcPr>
            <w:tcW w:w="340" w:type="dxa"/>
            <w:vAlign w:val="bottom"/>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6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4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54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155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(65,319 )</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(65,319 )</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500" w:type="dxa"/>
            <w:vAlign w:val="bottom"/>
            <w:vMerge w:val="continue"/>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Times New Roman" w:cs="Times New Roman" w:eastAsia="Times New Roman" w:hAnsi="Times New Roman"/>
                <w:sz w:val="12"/>
                <w:szCs w:val="12"/>
                <w:color w:val="auto"/>
              </w:rPr>
              <w:t>12,647,93</w:t>
            </w:r>
          </w:p>
        </w:tc>
        <w:tc>
          <w:tcPr>
            <w:tcW w:w="2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169,548</w:t>
            </w:r>
          </w:p>
        </w:tc>
        <w:tc>
          <w:tcPr>
            <w:tcW w:w="260" w:type="dxa"/>
            <w:vAlign w:val="bottom"/>
            <w:tcBorders>
              <w:right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5,593,240</w:t>
            </w:r>
          </w:p>
        </w:tc>
        <w:tc>
          <w:tcPr>
            <w:tcW w:w="240" w:type="dxa"/>
            <w:vAlign w:val="bottom"/>
          </w:tcPr>
          <w:p>
            <w:pPr>
              <w:spacing w:after="0"/>
              <w:rPr>
                <w:sz w:val="9"/>
                <w:szCs w:val="9"/>
                <w:color w:val="auto"/>
              </w:rPr>
            </w:pPr>
          </w:p>
        </w:tc>
        <w:tc>
          <w:tcPr>
            <w:tcW w:w="3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22,600,000</w:t>
            </w:r>
          </w:p>
        </w:tc>
        <w:tc>
          <w:tcPr>
            <w:tcW w:w="220" w:type="dxa"/>
            <w:vAlign w:val="bottom"/>
            <w:vMerge w:val="restart"/>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(85 )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20" w:type="dxa"/>
            <w:vAlign w:val="bottom"/>
          </w:tcPr>
          <w:p>
            <w:pPr>
              <w:spacing w:after="0"/>
              <w:rPr>
                <w:sz w:val="9"/>
                <w:szCs w:val="9"/>
                <w:color w:val="auto"/>
              </w:rPr>
            </w:pPr>
          </w:p>
        </w:tc>
        <w:tc>
          <w:tcPr>
            <w:tcW w:w="140" w:type="dxa"/>
            <w:vAlign w:val="bottom"/>
            <w:vMerge w:val="restart"/>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(65,319 )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(65,249 )</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3257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38" w:right="319" w:bottom="1440" w:gutter="0" w:footer="0" w:header="0"/>
        </w:sectPr>
      </w:pPr>
    </w:p>
    <w:bookmarkStart w:id="134" w:name="page135"/>
    <w:bookmarkEnd w:id="13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Addition</w:t>
            </w: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600" w:type="dxa"/>
            <w:vAlign w:val="bottom"/>
          </w:tcPr>
          <w:p>
            <w:pPr>
              <w:spacing w:after="0"/>
              <w:rPr>
                <w:sz w:val="10"/>
                <w:szCs w:val="10"/>
                <w:color w:val="auto"/>
              </w:rPr>
            </w:pPr>
          </w:p>
        </w:tc>
        <w:tc>
          <w:tcPr>
            <w:tcW w:w="1760" w:type="dxa"/>
            <w:vAlign w:val="bottom"/>
            <w:tcBorders>
              <w:right w:val="single" w:sz="8" w:color="auto"/>
            </w:tcBorders>
            <w:gridSpan w:val="5"/>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Accumulat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1760" w:type="dxa"/>
            <w:vAlign w:val="bottom"/>
            <w:tcBorders>
              <w:right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al</w:t>
            </w:r>
          </w:p>
        </w:tc>
        <w:tc>
          <w:tcPr>
            <w:tcW w:w="98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880" w:type="dxa"/>
            <w:vAlign w:val="bottom"/>
            <w:gridSpan w:val="3"/>
            <w:vMerge w:val="continue"/>
          </w:tcPr>
          <w:p>
            <w:pPr>
              <w:spacing w:after="0"/>
              <w:rPr>
                <w:sz w:val="10"/>
                <w:szCs w:val="10"/>
                <w:color w:val="auto"/>
              </w:rPr>
            </w:pPr>
          </w:p>
        </w:tc>
        <w:tc>
          <w:tcPr>
            <w:tcW w:w="820" w:type="dxa"/>
            <w:vAlign w:val="bottom"/>
            <w:gridSpan w:val="3"/>
          </w:tcPr>
          <w:p>
            <w:pPr>
              <w:jc w:val="center"/>
              <w:ind w:right="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2"/>
                <w:szCs w:val="12"/>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20" w:type="dxa"/>
            <w:vAlign w:val="bottom"/>
          </w:tcPr>
          <w:p>
            <w:pPr>
              <w:spacing w:after="0"/>
              <w:rPr>
                <w:sz w:val="12"/>
                <w:szCs w:val="12"/>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1"/>
              </w:rPr>
              <w:t>ed</w:t>
            </w:r>
          </w:p>
        </w:tc>
        <w:tc>
          <w:tcPr>
            <w:tcW w:w="12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6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vMerge w:val="restart"/>
          </w:tcPr>
          <w:p>
            <w:pPr>
              <w:spacing w:after="0"/>
              <w:rPr>
                <w:sz w:val="8"/>
                <w:szCs w:val="8"/>
                <w:color w:val="auto"/>
              </w:rPr>
            </w:pPr>
          </w:p>
        </w:tc>
        <w:tc>
          <w:tcPr>
            <w:tcW w:w="5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right w:val="single" w:sz="8" w:color="auto"/>
            </w:tcBorders>
            <w:vMerge w:val="restart"/>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vMerge w:val="restart"/>
          </w:tcPr>
          <w:p>
            <w:pPr>
              <w:spacing w:after="0"/>
              <w:rPr>
                <w:sz w:val="8"/>
                <w:szCs w:val="8"/>
                <w:color w:val="auto"/>
              </w:rPr>
            </w:pPr>
          </w:p>
        </w:tc>
        <w:tc>
          <w:tcPr>
            <w:tcW w:w="4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Amoun</w:t>
            </w:r>
          </w:p>
        </w:tc>
        <w:tc>
          <w:tcPr>
            <w:tcW w:w="220" w:type="dxa"/>
            <w:vAlign w:val="bottom"/>
          </w:tcPr>
          <w:p>
            <w:pPr>
              <w:spacing w:after="0"/>
              <w:rPr>
                <w:sz w:val="8"/>
                <w:szCs w:val="8"/>
                <w:color w:val="auto"/>
              </w:rPr>
            </w:pPr>
          </w:p>
        </w:tc>
        <w:tc>
          <w:tcPr>
            <w:tcW w:w="74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vMerge w:val="restart"/>
          </w:tcPr>
          <w:p>
            <w:pPr>
              <w:spacing w:after="0"/>
              <w:rPr>
                <w:sz w:val="8"/>
                <w:szCs w:val="8"/>
                <w:color w:val="auto"/>
              </w:rPr>
            </w:pPr>
          </w:p>
        </w:tc>
        <w:tc>
          <w:tcPr>
            <w:tcW w:w="44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Amoun</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68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24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w:t>
            </w:r>
          </w:p>
        </w:tc>
        <w:tc>
          <w:tcPr>
            <w:tcW w:w="2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1"/>
              </w:rPr>
              <w:t>t</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600" w:type="dxa"/>
            <w:vAlign w:val="bottom"/>
            <w:vMerge w:val="continue"/>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12,647,93</w:t>
            </w:r>
          </w:p>
        </w:tc>
        <w:tc>
          <w:tcPr>
            <w:tcW w:w="2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169,548</w:t>
            </w: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5,593,240</w:t>
            </w:r>
          </w:p>
        </w:tc>
        <w:tc>
          <w:tcPr>
            <w:tcW w:w="24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22,600,000</w:t>
            </w:r>
          </w:p>
        </w:tc>
        <w:tc>
          <w:tcPr>
            <w:tcW w:w="220" w:type="dxa"/>
            <w:vAlign w:val="bottom"/>
          </w:tcPr>
          <w:p>
            <w:pPr>
              <w:spacing w:after="0"/>
              <w:rPr>
                <w:sz w:val="8"/>
                <w:szCs w:val="8"/>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(85 )</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2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(65,319 )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(65,249 )</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Issuance of Series C convertible preferred</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 net of issuance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4,296,550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335,163</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costs of $337</w:t>
            </w: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6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common stock upon completion of</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initial public offering,</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net of commissions, underwriting discounts</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20,930,000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327,518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327,520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offering costs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Conversion of convertible preferred stock to</w:t>
            </w: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(16,944,4</w:t>
            </w: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(504,71</w:t>
            </w: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84,722,420</w:t>
            </w: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504,703</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504,711</w:t>
            </w:r>
          </w:p>
        </w:tc>
        <w:tc>
          <w:tcPr>
            <w:tcW w:w="60" w:type="dxa"/>
            <w:vAlign w:val="bottom"/>
            <w:tcBorders>
              <w:left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84 )</w:t>
            </w:r>
          </w:p>
        </w:tc>
        <w:tc>
          <w:tcPr>
            <w:tcW w:w="10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6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(22,600,000 )</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(85 )</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 stock from early-</w:t>
            </w: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72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Borders>
              <w:left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exercised options</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6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Repurchase of unvested restricted common</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(468,751 )</w:t>
            </w:r>
          </w:p>
        </w:tc>
        <w:tc>
          <w:tcPr>
            <w:tcW w:w="16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468,751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17,764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17,764</w:t>
            </w:r>
          </w:p>
        </w:tc>
        <w:tc>
          <w:tcPr>
            <w:tcW w:w="6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Unrealized loss on available-for-sale securities,</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9"/>
                <w:szCs w:val="9"/>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net of tax</w:t>
            </w: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(226,790 )</w:t>
            </w: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(226,790 )</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00" w:type="dxa"/>
            <w:vAlign w:val="bottom"/>
            <w:vMerge w:val="continue"/>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110,782,909</w:t>
            </w:r>
          </w:p>
        </w:tc>
        <w:tc>
          <w:tcPr>
            <w:tcW w:w="240" w:type="dxa"/>
            <w:vAlign w:val="bottom"/>
          </w:tcPr>
          <w:p>
            <w:pPr>
              <w:spacing w:after="0"/>
              <w:rPr>
                <w:sz w:val="12"/>
                <w:szCs w:val="12"/>
                <w:color w:val="auto"/>
              </w:rPr>
            </w:pPr>
          </w:p>
        </w:tc>
        <w:tc>
          <w:tcPr>
            <w:tcW w:w="1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468,751</w:t>
            </w:r>
          </w:p>
        </w:tc>
        <w:tc>
          <w:tcPr>
            <w:tcW w:w="220" w:type="dxa"/>
            <w:vAlign w:val="bottom"/>
          </w:tcPr>
          <w:p>
            <w:pPr>
              <w:spacing w:after="0"/>
              <w:rPr>
                <w:sz w:val="12"/>
                <w:szCs w:val="12"/>
                <w:color w:val="auto"/>
              </w:rPr>
            </w:pPr>
          </w:p>
        </w:tc>
        <w:tc>
          <w:tcPr>
            <w:tcW w:w="1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850,125</w:t>
            </w:r>
          </w:p>
        </w:tc>
        <w:tc>
          <w:tcPr>
            <w:tcW w:w="220" w:type="dxa"/>
            <w:vAlign w:val="bottom"/>
          </w:tcPr>
          <w:p>
            <w:pPr>
              <w:spacing w:after="0"/>
              <w:rPr>
                <w:sz w:val="12"/>
                <w:szCs w:val="12"/>
                <w:color w:val="auto"/>
              </w:rPr>
            </w:pP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(292,109 )</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558,019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135" w:name="page136"/>
    <w:bookmarkEnd w:id="1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52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6"/>
                <w:szCs w:val="16"/>
                <w:color w:val="auto"/>
              </w:rPr>
            </w:pPr>
          </w:p>
        </w:tc>
        <w:tc>
          <w:tcPr>
            <w:tcW w:w="152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(226,790 )</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(65,319 )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Non-cash acquired in-process research and development</w:t>
            </w:r>
          </w:p>
        </w:tc>
        <w:tc>
          <w:tcPr>
            <w:tcW w:w="160" w:type="dxa"/>
            <w:vAlign w:val="bottom"/>
          </w:tcPr>
          <w:p>
            <w:pPr>
              <w:spacing w:after="0"/>
              <w:rPr>
                <w:sz w:val="17"/>
                <w:szCs w:val="17"/>
                <w:color w:val="auto"/>
              </w:rPr>
            </w:pPr>
          </w:p>
        </w:tc>
        <w:tc>
          <w:tcPr>
            <w:tcW w:w="1740" w:type="dxa"/>
            <w:vAlign w:val="bottom"/>
            <w:gridSpan w:val="2"/>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17,764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1,430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Non-cash payments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7"/>
                <w:szCs w:val="17"/>
                <w:color w:val="auto"/>
              </w:rPr>
            </w:pPr>
          </w:p>
        </w:tc>
        <w:tc>
          <w:tcPr>
            <w:tcW w:w="174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(22,899 )</w:t>
            </w:r>
          </w:p>
        </w:tc>
        <w:tc>
          <w:tcPr>
            <w:tcW w:w="16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(2,394 )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(2,370 )</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8,153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51,358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(3,297 )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(184,736</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(14,571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(188,627 )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138,000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(84 )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7"/>
                <w:szCs w:val="17"/>
                <w:color w:val="auto"/>
              </w:rPr>
            </w:pPr>
          </w:p>
        </w:tc>
        <w:tc>
          <w:tcPr>
            <w:tcW w:w="174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(50,711 )</w:t>
            </w:r>
          </w:p>
        </w:tc>
        <w:tc>
          <w:tcPr>
            <w:tcW w:w="160" w:type="dxa"/>
            <w:vAlign w:val="bottom"/>
          </w:tcPr>
          <w:p>
            <w:pPr>
              <w:spacing w:after="0"/>
              <w:rPr>
                <w:sz w:val="17"/>
                <w:szCs w:val="17"/>
                <w:color w:val="auto"/>
              </w:rPr>
            </w:pPr>
          </w:p>
        </w:tc>
        <w:tc>
          <w:tcPr>
            <w:tcW w:w="15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issuance of convertible preferred stock, net of issuance costs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335,163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129,548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issuance of common stock, net of commissions and underwriting discounts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330,905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Payments of initial public offering costs</w:t>
            </w:r>
          </w:p>
        </w:tc>
        <w:tc>
          <w:tcPr>
            <w:tcW w:w="160" w:type="dxa"/>
            <w:vAlign w:val="bottom"/>
          </w:tcPr>
          <w:p>
            <w:pPr>
              <w:spacing w:after="0"/>
              <w:rPr>
                <w:sz w:val="17"/>
                <w:szCs w:val="17"/>
                <w:color w:val="auto"/>
              </w:rPr>
            </w:pPr>
          </w:p>
        </w:tc>
        <w:tc>
          <w:tcPr>
            <w:tcW w:w="174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(3,385 )</w:t>
            </w:r>
          </w:p>
        </w:tc>
        <w:tc>
          <w:tcPr>
            <w:tcW w:w="160" w:type="dxa"/>
            <w:vAlign w:val="bottom"/>
          </w:tcPr>
          <w:p>
            <w:pPr>
              <w:spacing w:after="0"/>
              <w:rPr>
                <w:sz w:val="17"/>
                <w:szCs w:val="17"/>
                <w:color w:val="auto"/>
              </w:rPr>
            </w:pPr>
          </w:p>
        </w:tc>
        <w:tc>
          <w:tcPr>
            <w:tcW w:w="152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early exercises of stock options</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Payments for repurchases of restricted common stock</w:t>
            </w:r>
          </w:p>
        </w:tc>
        <w:tc>
          <w:tcPr>
            <w:tcW w:w="160" w:type="dxa"/>
            <w:vAlign w:val="bottom"/>
          </w:tcPr>
          <w:p>
            <w:pPr>
              <w:spacing w:after="0"/>
              <w:rPr>
                <w:sz w:val="17"/>
                <w:szCs w:val="17"/>
                <w:color w:val="auto"/>
              </w:rPr>
            </w:pPr>
          </w:p>
        </w:tc>
        <w:tc>
          <w:tcPr>
            <w:tcW w:w="1740" w:type="dxa"/>
            <w:vAlign w:val="bottom"/>
            <w:gridSpan w:val="2"/>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662,683</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129,559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427,236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114,988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542,224</w:t>
            </w: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114,988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Issuance of Series A convertible preferred stock in exchange for assigned rights,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and repurchased common stock</w:t>
            </w:r>
          </w:p>
        </w:tc>
        <w:tc>
          <w:tcPr>
            <w:tcW w:w="160" w:type="dxa"/>
            <w:vAlign w:val="bottom"/>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-2382520</wp:posOffset>
            </wp:positionV>
            <wp:extent cx="603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-2382520</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-1859915</wp:posOffset>
            </wp:positionV>
            <wp:extent cx="6032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-1859915</wp:posOffset>
            </wp:positionV>
            <wp:extent cx="59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-805180</wp:posOffset>
            </wp:positionV>
            <wp:extent cx="6032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-805180</wp:posOffset>
            </wp:positionV>
            <wp:extent cx="5969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-539750</wp:posOffset>
            </wp:positionV>
            <wp:extent cx="603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-539750</wp:posOffset>
            </wp:positionV>
            <wp:extent cx="5969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36" w:name="page137"/>
    <w:bookmarkEnd w:id="1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Adagio Therapeutics, Inc., together with its consolidated subsidiary (the “Company”),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Beyond COVID-19, Adagio is leveraging robust antibody discovery and development capabilities that have enabled expedited advancement of adintrevimab into clinical trials to develop therapeutic or preventative options for other infectious diseases, such as additional coronaviruses and influenza. The Company initiated clinical trials for adintrevimab in February 2021. Adintrevimab is designed to be a potent, long-acting and broadly neutralizing antibody for both the prevention and treatment of COVID-19. The Company was incorporated in the State of Delaware in June 2020. The Company operates as a virtual company and plans to maintain a corporate headquarters for general and administrative purposes only. In addition, the Company engages third parties, including Adimab, LLC (“Adimab”) and The Scripps Research Institute (“TSRI”), to perform ongoing research and development and other services on its behalf.</w:t>
      </w:r>
    </w:p>
    <w:p>
      <w:pPr>
        <w:spacing w:after="0" w:line="18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manufacturing, clinical and commercial success of its product candidates.</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August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shares of the Company’s convertible preferred stock then outstanding converted into 84,722,420 shares of common stock (see Note 10).</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has not generated any revenue since inception. The Company’s lead product candidate will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 of common stock. The Company has incurred losses and negative cash flows from operations since its inception, including a net loss of $226.8 million for the year ended December 31, 2021. As of December 31, 2021, the Company had an accumulated deficit of $292.1 million. The Company expects to continue to generate operating losses for the foreseeable future. As of March 31, 2022, the issuance date of the consolidated financial statements for the year ended December 31, 2021, the Company expects that its cash, cash equivalents and marketable securities, would be sufficient to fund its operating expenses and capital expenditure requirements for at least 12 months from the issuance date of the annual consolidated financial statements.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seek additional funding through equity offerings, government or private-party grants, debt financings or other capital sources, including collaborations with other companies or other strategic transactions.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7" w:name="page138"/>
    <w:bookmarkEnd w:id="137"/>
    <w:p>
      <w:pPr>
        <w:jc w:val="both"/>
        <w:spacing w:after="0" w:line="266" w:lineRule="auto"/>
        <w:rPr>
          <w:sz w:val="20"/>
          <w:szCs w:val="20"/>
          <w:color w:val="auto"/>
        </w:rPr>
      </w:pPr>
      <w:r>
        <w:rPr>
          <w:rFonts w:ascii="Times New Roman" w:cs="Times New Roman" w:eastAsia="Times New Roman" w:hAnsi="Times New Roman"/>
          <w:sz w:val="18"/>
          <w:szCs w:val="18"/>
          <w:color w:val="auto"/>
        </w:rPr>
        <w:t>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6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Coronavirus</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global pandemic. The evolving and constantly changing impact of the pandemic will directly affect the potential commercial prospects of adintrevimab for the prevention and treatment of COVID-19. The severity of the COVID-19 pandemic and the continued emergence of variants of concern (such as the widespread Omicron and Delta variants), the availability, administration and acceptance of vaccines, monoclonal antibodies, antiviral agents and other therapeutic modalities, the introduction of local, national and/or employer vaccine mandates,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18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the Company will continue to monitor it closely. The ultimate extent of the impact of the COVID-19 pandemic on the Company's business, financial condition, operations and product development timelines and plans remains highly uncertain and will depend on future developments, including the duration and spread of outbreaks and the continued emergence of variants, its impact on the Company's clinical trial design and enrollment, trial sites, contract research organizations, or CROs, contract development and manufacturing organizations, or CDMOs,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the Company's results and operations may be materially adversely affected and may affect the Company's ability to raise capital.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Adagio Therapeutics, Inc. and its wholly owned subsidiary, Adagio Therapeutics Security Corporation. All intercompany balances and transactions have been eliminated in consolidation.</w:t>
      </w:r>
    </w:p>
    <w:p>
      <w:pPr>
        <w:spacing w:after="0" w:line="266" w:lineRule="exact"/>
        <w:rPr>
          <w:sz w:val="20"/>
          <w:szCs w:val="20"/>
          <w:color w:val="auto"/>
        </w:rPr>
      </w:pPr>
    </w:p>
    <w:p>
      <w:pPr>
        <w:ind w:left="520" w:right="7680" w:hanging="512"/>
        <w:spacing w:after="0" w:line="362" w:lineRule="auto"/>
        <w:tabs>
          <w:tab w:leader="none" w:pos="191"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Prior to the IPO, significant estimates and assumptions also included the valuation of common stock and resulting stock-based compensation expense.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8" w:name="page139"/>
    <w:bookmarkEnd w:id="138"/>
    <w:p>
      <w:pPr>
        <w:jc w:val="both"/>
        <w:spacing w:after="0" w:line="250" w:lineRule="auto"/>
        <w:rPr>
          <w:sz w:val="20"/>
          <w:szCs w:val="20"/>
          <w:color w:val="auto"/>
        </w:rPr>
      </w:pPr>
      <w:r>
        <w:rPr>
          <w:rFonts w:ascii="Times New Roman" w:cs="Times New Roman" w:eastAsia="Times New Roman" w:hAnsi="Times New Roman"/>
          <w:sz w:val="18"/>
          <w:szCs w:val="18"/>
          <w:color w:val="auto"/>
        </w:rPr>
        <w:t>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the issuance date of these consolidated financial statements. These estimates may change as new events occur and additional information is obtained.</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equity (deficit) as a reduction of additional paid-in capital generated as a result of the offering. Should the in-process equity financing be abandoned, the deferred offering costs would be expensed immediately as a charge to operating expenses in the consolidated statement of operations and comprehensive loss. In conjunction with the IPO in August 2021, the Company recorded deferred offering costs, which were initially capitalized and subsequently recorded as stockholders’ equity (deficit) as a reduction of additional paid-in capital. The Company had no deferred offering costs recorded as of December 31, 2021 and 2020.</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Significant Suppliers and License Rights</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marketable securities. The Company invests its excess cash in money market funds and marketable securities that are subject to minimal credit and market risks. The Company maintains its cash, cash equivalents and marketable securities at two accredited financial institutions that it believes are creditworthy. From time to time, these deposits may exceed federally insured limits. The Company has not experienced any losses historically in these accounts. Accordingly, the Company does not believe it is exposed to unusual credit risk related to its cash, cash equivalents and marketable securities beyond the normal credit risk associated with commercial banking relationships.</w:t>
      </w:r>
    </w:p>
    <w:p>
      <w:pPr>
        <w:spacing w:after="0" w:line="1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Company is dependent on third-party organizations to manufacture and process its product candidates for its development programs. In particular, the Company relies on a single third-party contract manufacturer to produce and process its current product candidate, adintrevimab, and to manufacture supply of its current product candidate for preclinical and clinical activities (see Note 8). The Company also currently relies on this same third-party contract manufacturer for any anticipated requirements of commercial supply, including both drug substance and drug product.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1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Company is dependent on a limited number of third parties that provide license rights used by the Company in the development and potential commercialization of its product candidates and programs. Through December 31, 2021, the Company’s research and development programs primarily relate to rights conveyed by Adimab and The Scripps Research Institute (see Note 7). The Company could experience delays in the development and potential commercialization of its product candidates and programs if the Adimab or The Scripps Research Institute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acquisition date to be cash equivalents.</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9" w:name="page140"/>
    <w:bookmarkEnd w:id="139"/>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at December 31, 2021 as "available-for-sale” pursuant to ASC320,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for the year ended December 31, 2021.</w:t>
      </w:r>
    </w:p>
    <w:p>
      <w:pPr>
        <w:spacing w:after="0" w:line="18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statements of operations and comprehensive loss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duration of the impairment and changes in value subsequent to the end of the period. There were no other-than-temporary impairments of investments recognized for the year ended December 31,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7" w:lineRule="exact"/>
        <w:rPr>
          <w:sz w:val="20"/>
          <w:szCs w:val="20"/>
          <w:color w:val="auto"/>
        </w:rPr>
      </w:pPr>
    </w:p>
    <w:p>
      <w:pPr>
        <w:ind w:left="1140" w:hanging="504"/>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6"/>
        </w:trPr>
        <w:tc>
          <w:tcPr>
            <w:tcW w:w="62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Machinery and equipment</w:t>
            </w:r>
          </w:p>
        </w:tc>
        <w:tc>
          <w:tcPr>
            <w:tcW w:w="496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3 to 5 years</w:t>
            </w:r>
          </w:p>
        </w:tc>
      </w:tr>
      <w:tr>
        <w:trPr>
          <w:trHeight w:val="203"/>
        </w:trPr>
        <w:tc>
          <w:tcPr>
            <w:tcW w:w="6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Furniture and fixtures</w:t>
            </w:r>
          </w:p>
        </w:tc>
        <w:tc>
          <w:tcPr>
            <w:tcW w:w="4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 to 5 years</w:t>
            </w: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496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rPr>
              <w:t>Shorter of lease term of useful life</w:t>
            </w:r>
          </w:p>
        </w:tc>
      </w:tr>
    </w:tbl>
    <w:p>
      <w:pPr>
        <w:spacing w:after="0" w:line="22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0" w:name="page141"/>
    <w:bookmarkEnd w:id="140"/>
    <w:p>
      <w:pPr>
        <w:jc w:val="both"/>
        <w:spacing w:after="0" w:line="266" w:lineRule="auto"/>
        <w:rPr>
          <w:sz w:val="20"/>
          <w:szCs w:val="20"/>
          <w:color w:val="auto"/>
        </w:rPr>
      </w:pPr>
      <w:r>
        <w:rPr>
          <w:rFonts w:ascii="Times New Roman" w:cs="Times New Roman" w:eastAsia="Times New Roman" w:hAnsi="Times New Roman"/>
          <w:sz w:val="18"/>
          <w:szCs w:val="18"/>
          <w:color w:val="auto"/>
        </w:rPr>
        <w:t>loss from operations. Expenditures for repairs and maintenance that do not improve or extend the life of the respective assets are charged to expense as incurred.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2021 and 2020.</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The Company accounts for leases under ASC840,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records monthly rent expense on a straight-line basis, equal to the total of the payments due over the lease term, divided by the number of months of the lease term. The difference between rent expense recorded and the amount paid was charged to deferred rent.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 development materials for use in such studies and trials; salaries and related personnel costs; stock-based compensation; consultant fees; and third-party license fees.</w:t>
      </w:r>
    </w:p>
    <w:p>
      <w:pPr>
        <w:spacing w:after="0" w:line="181"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0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8),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1" w:name="page142"/>
    <w:bookmarkEnd w:id="141"/>
    <w:p>
      <w:pPr>
        <w:jc w:val="both"/>
        <w:spacing w:after="0" w:line="250" w:lineRule="auto"/>
        <w:rPr>
          <w:sz w:val="20"/>
          <w:szCs w:val="20"/>
          <w:color w:val="auto"/>
        </w:rPr>
      </w:pPr>
      <w:r>
        <w:rPr>
          <w:rFonts w:ascii="Times New Roman" w:cs="Times New Roman" w:eastAsia="Times New Roman" w:hAnsi="Times New Roman"/>
          <w:sz w:val="18"/>
          <w:szCs w:val="18"/>
          <w:color w:val="auto"/>
        </w:rPr>
        <w:t>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Acquired IPR&amp;D expense recognized for the year ended December 31, 2021 consisted of payments due for milestones achieved under the Adimab arrangement (see Note 7). Acquired IPR&amp;D expense recognized for the period from June 3, 2020 (inception) to December 31, 2020 consisted of the upfront consideration paid in connection with the Company’s acquisition of assigned rights and an intellectual property license from Adimab and other in-licensing arrangements executed during the period (see Note 7).</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2021 and 2020.</w:t>
      </w:r>
    </w:p>
    <w:p>
      <w:pPr>
        <w:spacing w:after="0" w:line="18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1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2" w:name="page143"/>
    <w:bookmarkEnd w:id="14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resulting tax reserves, or unrecognized tax benefits, that are considered appropriate as well as the related net interest and penalties. The Company had no amounts accrued for interest and penalties on its consolidated balance sheets as of December 31, 2021 and 2020.</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 ended December 31, 2021, the Company's only element of other comprehensive income (loss) was unrealized gains (losses) on marketable securities. There was no difference between net loss and comprehensive loss for the period from June 3, 2020 (inception) to December 31, 2020.</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8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convertible preferred stock and unvested restricted common stock are considered potential dilutive common shares.</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(Subtopic 350-40): Customer’s Accounting for Implementation Costs Incurred in a Cloud Computing Arrangement That is a Service Contract (“ASU 2018-15”). The amendments in ASU 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3" w:name="page144"/>
    <w:bookmarkEnd w:id="143"/>
    <w:p>
      <w:pPr>
        <w:jc w:val="both"/>
        <w:spacing w:after="0" w:line="237" w:lineRule="auto"/>
        <w:rPr>
          <w:sz w:val="20"/>
          <w:szCs w:val="20"/>
          <w:color w:val="auto"/>
        </w:rPr>
      </w:pPr>
      <w:r>
        <w:rPr>
          <w:rFonts w:ascii="Times New Roman" w:cs="Times New Roman" w:eastAsia="Times New Roman" w:hAnsi="Times New Roman"/>
          <w:sz w:val="18"/>
          <w:szCs w:val="18"/>
          <w:color w:val="auto"/>
        </w:rPr>
        <w:t>Accordingly, the update requires entities in a hosting arrangement that is a service contract to follow the guidance in ASC 350-40, Internal-Use Software (“ASC 350-40”) to determine which implementation costs to capitalize as an asset related to the service contract and which costs to expense. 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adopted ASU 2018-15 as of January 1, 2021 on a prospective basis and the adoption did not have a material impact on its consolidated financial statements and related disclosures.</w:t>
      </w:r>
    </w:p>
    <w:p>
      <w:pPr>
        <w:spacing w:after="0" w:line="19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adopted ASU 2019-12 as of January 1, 2021 and the adoption did not have a material impact on its consolidated financial statements and related disclosures.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Times New Roman" w:cs="Times New Roman" w:eastAsia="Times New Roman" w:hAnsi="Times New Roman"/>
          <w:sz w:val="17"/>
          <w:szCs w:val="17"/>
          <w:i w:val="1"/>
          <w:iCs w:val="1"/>
          <w:color w:val="auto"/>
        </w:rPr>
        <w:t>Revenue from Contracts with Customers (Topic</w:t>
      </w:r>
    </w:p>
    <w:p>
      <w:pPr>
        <w:spacing w:after="0" w:line="7" w:lineRule="exact"/>
        <w:rPr>
          <w:sz w:val="20"/>
          <w:szCs w:val="20"/>
          <w:color w:val="auto"/>
        </w:rPr>
      </w:pPr>
    </w:p>
    <w:p>
      <w:pPr>
        <w:jc w:val="both"/>
        <w:ind w:firstLine="8"/>
        <w:spacing w:after="0" w:line="237" w:lineRule="auto"/>
        <w:tabs>
          <w:tab w:leader="none" w:pos="399"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and Leases (Topic 842): Effective Dates for Certain Entities </w:t>
      </w:r>
      <w:r>
        <w:rPr>
          <w:rFonts w:ascii="Times New Roman" w:cs="Times New Roman" w:eastAsia="Times New Roman" w:hAnsi="Times New Roman"/>
          <w:sz w:val="18"/>
          <w:szCs w:val="18"/>
          <w:color w:val="auto"/>
        </w:rPr>
        <w:t>(“ASU 2020-05”), which delayed the adoption date of ASU 2016-02 for nonpublic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will recognize its lease on the balance sheet on the adoption date of January 1, 2022, by recording a right-of-use asset and a corresponding lease liability. The Company does not expect the adoption of ASC 842 to have a material impact on the Company’s consolidated financial statements and related disclosures.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and also issued subsequent amendments to the initial guidance: ASU 2018-19, ASU 2019-04 and ASU 2019-05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“Topic 326”). The main objective of this update is to provide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4" w:name="page145"/>
    <w:bookmarkEnd w:id="144"/>
    <w:p>
      <w:pPr>
        <w:jc w:val="both"/>
        <w:spacing w:after="0" w:line="237" w:lineRule="auto"/>
        <w:rPr>
          <w:sz w:val="20"/>
          <w:szCs w:val="20"/>
          <w:color w:val="auto"/>
        </w:rPr>
      </w:pPr>
      <w:r>
        <w:rPr>
          <w:rFonts w:ascii="Times New Roman" w:cs="Times New Roman" w:eastAsia="Times New Roman" w:hAnsi="Times New Roman"/>
          <w:sz w:val="18"/>
          <w:szCs w:val="18"/>
          <w:color w:val="auto"/>
        </w:rPr>
        <w:t>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18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 retrospective method of transition. The Company is currently evaluating the potential impact that the adoption of this standard may have on its consolidated financial statements and related disclosures.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Treasury securities held by the Company are classified as available-for-sale pursuant to ASC 320, Investments – Debt and Equity Securities, and carried at fair value in the accompanying consolidated balance sheet on a settlement date basis. The following tables summarize the gross unrealized gains and losses of the Company’s marketable securities as of December 31, 2021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6"/>
                <w:szCs w:val="16"/>
                <w:color w:val="auto"/>
              </w:rPr>
            </w:pPr>
          </w:p>
        </w:tc>
        <w:tc>
          <w:tcPr>
            <w:tcW w:w="158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r>
      <w:tr>
        <w:trPr>
          <w:trHeight w:val="236"/>
        </w:trPr>
        <w:tc>
          <w:tcPr>
            <w:tcW w:w="57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49,202</w:t>
            </w:r>
          </w:p>
        </w:tc>
        <w:tc>
          <w:tcPr>
            <w:tcW w:w="2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3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ind w:left="4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49,194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available-for-sale securities held as of December 31, 2021 had remaining maturities greater than twelve months.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hold any available-for-sale securities as of December 31, 2020.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9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spacing w:after="0" w:line="6"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4"/>
          <w:szCs w:val="14"/>
          <w:b w:val="1"/>
          <w:bCs w:val="1"/>
          <w:color w:val="auto"/>
        </w:rPr>
        <w:t>December 31, 2021 Using: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40" w:type="dxa"/>
            <w:vAlign w:val="bottom"/>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541,220</w:t>
            </w:r>
          </w:p>
        </w:tc>
        <w:tc>
          <w:tcPr>
            <w:tcW w:w="460" w:type="dxa"/>
            <w:vAlign w:val="bottom"/>
            <w:gridSpan w:val="2"/>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ind w:right="7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541,220</w:t>
            </w: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49,194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ind w:left="7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49,194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590,414</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7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ind w:right="71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590,414</w:t>
            </w:r>
          </w:p>
        </w:tc>
        <w:tc>
          <w:tcPr>
            <w:tcW w:w="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1"/>
        </w:trPr>
        <w:tc>
          <w:tcPr>
            <w:tcW w:w="5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2020 Using:</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39,006</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ind w:left="7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719"/>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39,006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39,006</w:t>
            </w:r>
          </w:p>
        </w:tc>
        <w:tc>
          <w:tcPr>
            <w:tcW w:w="4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ind w:right="719"/>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39,006</w:t>
            </w:r>
          </w:p>
        </w:tc>
        <w:tc>
          <w:tcPr>
            <w:tcW w:w="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-1196340</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-1196340</wp:posOffset>
            </wp:positionV>
            <wp:extent cx="431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-1196340</wp:posOffset>
            </wp:positionV>
            <wp:extent cx="431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-1196340</wp:posOffset>
            </wp:positionV>
            <wp:extent cx="431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wp:posOffset>
            </wp:positionV>
            <wp:extent cx="431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U.S Treasury securities were valued by the Company based on Level 1 inputs. In determining the fair value of the U.S. Treasury securities, the Company relied on quoted prices for identical securities in active markets.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for the year ended December 31, 2021 or the period from June 3, 2020 (inception) to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between Level 1, Level 2 or Level 3 during the year ended December 31, 2021 or the period from June 3, 2020 (inception) to December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20,582</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2,253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Prepaid insurance</w:t>
            </w:r>
          </w:p>
        </w:tc>
        <w:tc>
          <w:tcPr>
            <w:tcW w:w="2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3,190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Prepaid compensation and other</w:t>
            </w:r>
          </w:p>
        </w:tc>
        <w:tc>
          <w:tcPr>
            <w:tcW w:w="25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1,521</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560" w:type="dxa"/>
            <w:vAlign w:val="bottom"/>
            <w:gridSpan w:val="2"/>
          </w:tcPr>
          <w:p>
            <w:pPr>
              <w:jc w:val="right"/>
              <w:ind w:right="857"/>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25,293</w:t>
            </w:r>
          </w:p>
        </w:tc>
        <w:tc>
          <w:tcPr>
            <w:tcW w:w="740" w:type="dxa"/>
            <w:vAlign w:val="bottom"/>
            <w:gridSpan w:val="2"/>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48,590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3,853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Accrued professional and consultant fees</w:t>
            </w:r>
          </w:p>
        </w:tc>
        <w:tc>
          <w:tcPr>
            <w:tcW w:w="2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2,155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Accrued employee compensation</w:t>
            </w:r>
          </w:p>
        </w:tc>
        <w:tc>
          <w:tcPr>
            <w:tcW w:w="25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4,945</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25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FF0FC"/>
            </w:tcBorders>
            <w:shd w:val="clear" w:color="auto" w:fill="CFF0FC"/>
          </w:tcPr>
          <w:p>
            <w:pPr>
              <w:spacing w:after="0"/>
              <w:rPr>
                <w:sz w:val="20"/>
                <w:szCs w:val="20"/>
                <w:color w:val="auto"/>
              </w:rPr>
            </w:pPr>
          </w:p>
        </w:tc>
        <w:tc>
          <w:tcPr>
            <w:tcW w:w="25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56,277</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4,919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5160" w:type="dxa"/>
            <w:vAlign w:val="bottom"/>
          </w:tcPr>
          <w:p>
            <w:pPr>
              <w:spacing w:after="0"/>
              <w:rPr>
                <w:sz w:val="24"/>
                <w:szCs w:val="24"/>
                <w:color w:val="auto"/>
              </w:rPr>
            </w:pPr>
          </w:p>
        </w:tc>
        <w:tc>
          <w:tcPr>
            <w:tcW w:w="3560" w:type="dxa"/>
            <w:vAlign w:val="bottom"/>
            <w:gridSpan w:val="2"/>
          </w:tcPr>
          <w:p>
            <w:pPr>
              <w:jc w:val="right"/>
              <w:ind w:right="2837"/>
              <w:spacing w:after="0"/>
              <w:rPr>
                <w:sz w:val="20"/>
                <w:szCs w:val="20"/>
                <w:color w:val="auto"/>
              </w:rPr>
            </w:pPr>
            <w:r>
              <w:rPr>
                <w:rFonts w:ascii="Times New Roman" w:cs="Times New Roman" w:eastAsia="Times New Roman" w:hAnsi="Times New Roman"/>
                <w:sz w:val="18"/>
                <w:szCs w:val="18"/>
                <w:color w:val="auto"/>
              </w:rPr>
              <w:t>F-17</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16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-2259330</wp:posOffset>
            </wp:positionV>
            <wp:extent cx="431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-2259330</wp:posOffset>
            </wp:positionV>
            <wp:extent cx="431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-488315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-504825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-488315</wp:posOffset>
            </wp:positionV>
            <wp:extent cx="431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9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19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 xml:space="preserve">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18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February 2021, the Company achieved the first specified milestone under the agreement upon dosing of the first patient in a Phase 1 global clinical trial evaluating adintrevimab, which obligated the Company to make a $1.0 million milestone payment to Adimab. In April 2021, the Company achieved the second specified milestone under the agreement upon dosing of the first patient in a Phase 2 global clinical trial evaluating adintrevimab for the prevention of COVID-19, which obligated the Company to make a $2.5 million milestone payment to Adimab. In August 2021, the Company achieved the third specified milestone under the agreement upon dosing of the first patient in a Phase 3 global clinical trial evaluating adintrevimab for the prevention of COVID-19, which obligated the Company to make a $4.0 million milestone payment to Adimab. The Company recognized each expense when achievement of each of the first, second and third milestones became probable of achievement in February, April and August 2021, respectively. The next potential milestone under the Adimab Assignment Agreement is a $4.0 million milestone related to the acceptance of the filing of the first New Drug Application (“NDA”) for a Product by the FDA, which was not considered probable as of December 31, 2021.</w:t>
      </w:r>
    </w:p>
    <w:p>
      <w:pPr>
        <w:spacing w:after="0" w:line="19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$7.5 million as in-process research and development (“IPR&amp;D”) expense in connection with contingent consideration payable under the Adimab Assignment Agreement. For the period from June 3, 2020 (inception) to December 31, 2020, the Company recognized $39.9 million as IPR&amp;D expense in connection with the upfront consideration payable under the Adimab Assignment Agreement to acquire rights to Adimab’s antibodies relating to COVID-19 and SARS and related intellectual property and a license to certain of Adimab’s platform patents and technology for use in the research and development of the Company's product candidates.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47" w:name="page148"/>
    <w:bookmarkEnd w:id="147"/>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Company is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the second milestone payment of $2.5 million and the third milestone payment of $4.0 million, which were paid by the Company to Adimab in March, May and September 2021, respectively, no other milestone, royalty or other contingent payments had become due to Adimab through December 31, 2021.</w:t>
      </w:r>
    </w:p>
    <w:p>
      <w:pPr>
        <w:spacing w:after="0" w:line="18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8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of $39.9 million was recognized as acquired IPR&amp;D expense in July 2020.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21,250,000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 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19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2021 and the period from June 3, 2020 (inception) to December 31, 2020, the Company recognized $7.5 million and $39.9 million, respectively, as IPR&amp;D expense in connection with upfront consideration and contingent consideration payable under the Adimab Assignment Agreement.</w:t>
      </w:r>
    </w:p>
    <w:p>
      <w:pPr>
        <w:spacing w:after="0" w:line="1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For the year ended December 31, 2021 and for the period from June 3, 2020 (inception) to December 31, 2020, the Company recognized $1.3 million and $0.6 million, respectively, of expense in connection with services provided by Adimab. Please refer to Note 15 for additional information.</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8" w:name="page149"/>
    <w:bookmarkEnd w:id="148"/>
    <w:p>
      <w:pPr>
        <w:jc w:val="both"/>
        <w:spacing w:after="0" w:line="245" w:lineRule="auto"/>
        <w:rPr>
          <w:sz w:val="20"/>
          <w:szCs w:val="20"/>
          <w:color w:val="auto"/>
        </w:rPr>
      </w:pPr>
      <w:r>
        <w:rPr>
          <w:rFonts w:ascii="Times New Roman" w:cs="Times New Roman" w:eastAsia="Times New Roman" w:hAnsi="Times New Roman"/>
          <w:sz w:val="18"/>
          <w:szCs w:val="18"/>
          <w:color w:val="auto"/>
        </w:rPr>
        <w:t>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18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the year ended December 31, 2021, the Company recognized $2.6 million of research and development expense related to the quarterly fee.</w:t>
      </w:r>
    </w:p>
    <w:p>
      <w:pPr>
        <w:spacing w:after="0" w:line="18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For the year ended December 31, 2021, the Company recognized $0.3 million of expense in connection with services provided by Adimab. Through December 31, 2021, the Company has not paid a drug delivery fee or optimization completion fee to Adimab and the Company has not exercised its option with respect to any program.</w:t>
      </w:r>
    </w:p>
    <w:p>
      <w:pPr>
        <w:spacing w:after="0" w:line="18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agreement that achieves such milestones. The next potential milestone under the Adimab Collaboration Agreement is a $1.0 million milestone related to dosing of the first subject in a Phase I trial, which was not considered probable as of December 31, 2021.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2021, the Company has not paid any royalties to Adimab under the Adimab Collaboration Agreement.</w:t>
      </w:r>
    </w:p>
    <w:p>
      <w:pPr>
        <w:spacing w:after="0" w:line="1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 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Cell Line License Agreement</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9" w:name="page150"/>
    <w:bookmarkEnd w:id="149"/>
    <w:p>
      <w:pPr>
        <w:jc w:val="both"/>
        <w:spacing w:after="0" w:line="266" w:lineRule="auto"/>
        <w:rPr>
          <w:sz w:val="20"/>
          <w:szCs w:val="20"/>
          <w:color w:val="auto"/>
        </w:rPr>
      </w:pPr>
      <w:r>
        <w:rPr>
          <w:rFonts w:ascii="Times New Roman" w:cs="Times New Roman" w:eastAsia="Times New Roman" w:hAnsi="Times New Roman"/>
          <w:sz w:val="18"/>
          <w:szCs w:val="18"/>
          <w:color w:val="auto"/>
        </w:rPr>
        <w:t>produced from a transformed or transfected version of the proprietary cell line derived by WuXi (each of such transformed or transfected cell lines, a “Licensed Cell Line”).</w:t>
      </w:r>
    </w:p>
    <w:p>
      <w:pPr>
        <w:spacing w:after="0" w:line="16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Company was obligated to pay an upfront fee of $0.2 million to WuXi upon completion of cell bank generation for the first Licensed Cell Line created under the arrangement. Such amount became due in December 2020 and was an accrued expense as of December 31, 2020 and was paid as of December 31, 2021.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December 31, 2021, no royalties had become due to WuXi.</w:t>
      </w:r>
    </w:p>
    <w:p>
      <w:pPr>
        <w:spacing w:after="0" w:line="19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arrangement did not qualify as a business combination because substantially 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Scripps Research Institute</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In August 2021, the Company entered into a Research Collaboration and License Agreement (the “Research Agreement”) with The Scripps Research Institute (“TSRI”). Under the terms of the Research Agreement, TSRI will perform research activities (the “Research Program”) to identify vaccine candidates for the prevention, diagnosis or treatment of influenza or beta coronaviruses (the “Specified Field”). Unless otherwise mutually agreed by the parties, the Research Program will be completed by August 2023. Activities initiated under the Research Agreement for targets or indications pursued under the arrangement will be conducted in accordance with a research plan to be agreed upon by the parties (each, a “Research Plan”). Each of the parties is responsible for performing the tasks to which it is assigned under the Research Plans. The Company is obligated to provide the research funding necessary to carry out the Research Program pursuant to the budget outlined in each Research Plan. In August 2021, the Company paid TSRI $1.5 million in funding, which was credited against research funding payable by the Company under the Research Agreement. Additionally, the Company is obligated to make specified payments to TSRI to the extent that TSRI complies with certain exclusivity covenants.</w:t>
      </w:r>
    </w:p>
    <w:p>
      <w:pPr>
        <w:spacing w:after="0" w:line="19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Pursuant to the terms of the Research Agreement, the Company was granted an exclusive option (the "Option") to acquire an exclusive, worldwide, sublicensable license under TSRI’s rights in certain patent rights and know-how for the exploitation of any vaccine product containing, comprised of, or derived from, any vaccine candidate identified or developed under the Research Program (each, a “TSRI Licensed Product”) in the Specified Field. Any licenses granted under the arrangement are subject to certain exceptions, conditions and reserved rights. The Company’s option is exercisable for a predefined period of time as outlined in the arrangement. Upon exercise of the Option, the Company is required to reimburse certain patent costs previously incurred by TSRI and bear all future related patent costs. Following the exercise of the Option, the Company has the sole right and responsibility for the further development and potential commercialization of the associated Licensed Product, at its sole cost and expense. As of December 31, 2021, the Company had not exercised its Option.</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To the extent any TSRI Licensed Product covered by the Research Agreement is commercialized, the Company is obligated to pay TSRI royalties of a low single-digit percentage on a TSRI Licensed Product-by-Licensed Product and country-by-country basis based on a percentage of net sales, subject to reduction and floor. Royalties are payable for each product on a country-by-country basis through the later of (i) the expiration of the last valid claim of any patent covering such product in such country or (ii) 12 years from the first commercial sale of such product. The Research Agreement will expire when no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0" w:name="page151"/>
    <w:bookmarkEnd w:id="150"/>
    <w:p>
      <w:pPr>
        <w:jc w:val="both"/>
        <w:spacing w:after="0" w:line="241" w:lineRule="auto"/>
        <w:rPr>
          <w:sz w:val="20"/>
          <w:szCs w:val="20"/>
          <w:color w:val="auto"/>
        </w:rPr>
      </w:pPr>
      <w:r>
        <w:rPr>
          <w:rFonts w:ascii="Times New Roman" w:cs="Times New Roman" w:eastAsia="Times New Roman" w:hAnsi="Times New Roman"/>
          <w:sz w:val="18"/>
          <w:szCs w:val="18"/>
          <w:color w:val="auto"/>
        </w:rPr>
        <w:t>further royalties are due to TSRI. The Research Agreement may be early terminated upon mutual written consent of both parties. The Company may terminate the Research Agreement at any time upon advance written notice to TSRI or upon the appointment of certain personnel deemed unacceptable. In addition, TSRI may terminate the Research Agreement if the Company fails to perform or observe any contractual term in any material respect or in the event of a material breach by the Company that remains uncured for a specified period. Following early termination, all licenses will terminate and revert to TSRI, all sublicenses granted by the Company will automatically terminate, and any then-existing sublicensees will have the right to obtain a direct license from TSRI.</w:t>
      </w:r>
    </w:p>
    <w:p>
      <w:pPr>
        <w:spacing w:after="0" w:line="1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Amounts incurred for services performed by TSRI under each of the research plans are expensed to research and development expense as the services are rendered. For the year ended December 31, 2021, the Company recognized $2.3 million of expense associated with services performed under the Research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September 2021, the Company entered into a five year lease agreement (the “lease”) for approximately 9,600 square feet of office space in Waltham, Massachusetts. The monthly rental payments under the lease, which include base rent charges of $0.4 million per year, are subject to periodic rent increases through September 2026.</w:t>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lease term and records deferred rent for rent expense incurred but not yet paid. The Company's rent expense for the year ended December 31, 2021 was $0.1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WuXi and TSRI (see Note 7).</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which was amended and restated in August 2021 (as amended and restated, the “Commercial Manufacturing Agreement”). The Commercial Manufacturing Agreement outlines the terms and conditions under which WuXi will manufacture adintrevimab drug substance and drug product for commercial use.</w:t>
      </w:r>
    </w:p>
    <w:p>
      <w:pPr>
        <w:spacing w:after="0" w:line="17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Company committed to minimum non-cancelable purchase obligations related to batches of adintrevimab drug substance and certain services with respect to the product requirements for 2021 and 2022, the payments for which will extend into 2023, and batches of adintrevimab drug product and certain services with respect to the product requirements for 2022, the payments for which will extend into 2023. There has been no material change to future minimum payments under non-cancelable purchase obligations associated with the Commercial Manufacturing Agreement. As of December 31, 2021, the Company paid $19.6 million under the Commercial Manufacturing Agreement. The $19.6 million payment resulted in a current prepaid expense of $16.6 million, included in prepaid expenses and other current assets, and a non-current prepaid expense of $3.0 million, included in other non-current assets, on the consolidated balance sheet.</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1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the Company committed to minimum non-cancelable purchase obligations of $138.9 million related to batches of adintrevimab drug substance and $0.6 million related to certain services with respect to the product requirements for 2022, the payments for which will extend into 2023. Future minimum payments under non-cancelable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purchase obligations associated with the Commercial Manufacturing Agreement as of December 31, 2021 are expected to be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8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2"/>
            <w:shd w:val="clear" w:color="auto" w:fill="CFF0FC"/>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75,599</w:t>
            </w:r>
          </w:p>
        </w:tc>
        <w:tc>
          <w:tcPr>
            <w:tcW w:w="6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63,945</w:t>
            </w:r>
          </w:p>
        </w:tc>
        <w:tc>
          <w:tcPr>
            <w:tcW w:w="60" w:type="dxa"/>
            <w:vAlign w:val="bottom"/>
          </w:tcPr>
          <w:p>
            <w:pPr>
              <w:spacing w:after="0"/>
              <w:rPr>
                <w:sz w:val="17"/>
                <w:szCs w:val="17"/>
                <w:color w:val="auto"/>
              </w:rPr>
            </w:pPr>
          </w:p>
        </w:tc>
      </w:tr>
      <w:tr>
        <w:trPr>
          <w:trHeight w:val="236"/>
        </w:trPr>
        <w:tc>
          <w:tcPr>
            <w:tcW w:w="89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139,544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Company has agreements with third parties that it enters into in the ordinary course of business for various products and services, including those related to research, preclinical and clinical operations, manufacturing and support.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2021 and 2020.</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2021 and 2020, the Company was not a party to any material legal proceedings.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As of December 31, 2021 and 2020, the Company has not incurred any material costs as a result of such indemnifications and is not currently aware of any indemnification claims.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7).</w:t>
      </w:r>
    </w:p>
    <w:p>
      <w:pPr>
        <w:spacing w:after="0" w:line="17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2" w:name="page153"/>
    <w:bookmarkEnd w:id="152"/>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terms of the Series C Preferred Stock are substantially the same as the terms of the Series A Preferred Stock and Series B Preferred Stock, except that the Original Issue Price per share and the Conversion Price per share of the Series C Preferred Stock is $78.08578.</w:t>
      </w:r>
    </w:p>
    <w:p>
      <w:pPr>
        <w:spacing w:after="0" w:line="16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July 2021, the Company filed an amended and restated certificate of incorporation, which increased the Company’s authority to issue (i) 150,000,000 shares of common stock and (ii) 16,944,484 shares of Preferred Stock. In August 2021, in connection with the closing of the IPO, the Company filed an amended and restated certificate of incorporation to, among other things: (i) increase the number of authorized shares of common stock from 150,000,000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1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Upon the closing of the Company’s IPO in August 2021, all shares of the Company’s convertible preferred stock then outstanding converted into 84,722,420 shares of common stock (see Note 10). As of December 31, 2020, Preferred Stock consisted of the following (in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3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Series A Preferred Stock</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11,237,500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11,237,500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89,706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89,900</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56,187,500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Series B Preferred Stock</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1,410,434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1,410,434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79,842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w:t>
            </w:r>
          </w:p>
        </w:tc>
        <w:tc>
          <w:tcPr>
            <w:tcW w:w="12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7,052,170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12,647,934</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12,647,934</w:t>
            </w: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169,548</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169,900</w:t>
            </w:r>
          </w:p>
        </w:tc>
        <w:tc>
          <w:tcPr>
            <w:tcW w:w="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63,239,670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431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43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shares of the Company’s common stock are subject to and qualified by the rights, powers and preferences of the holders of the Preferred Stock set forth above and described in the Company’s final prospectus related to the IPO filed with the SEC pursuant to Rule 424(b)(4) under the Securities Act on August 6, 2021.</w:t>
      </w:r>
    </w:p>
    <w:p>
      <w:pPr>
        <w:spacing w:after="0" w:line="17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2021 the 21,250,000 shares of common stock repurchased from Adimab were retired and redesignated as authorized but unissued shares of the Company’s common stock. As of December 31, 2020, the 21,250,000 shares of common stock repurchased from Adimab were recorded as treasury stock in the accompanying consolidated balance sheets and consolidated statements of convertible preferred stock and stockholders’ equity (deficit) as such shares were not retired. The fair value of the repurchased common stock was $0.004 per share, or $85,000 in the aggregate, as determined based on a third-party valuation (see Note 7).</w:t>
      </w:r>
    </w:p>
    <w:p>
      <w:pPr>
        <w:spacing w:after="0" w:line="1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described in Note 9 above, in July 2021, the Company filed an amended and restated certificate of incorporation, which increased the Company’s authority to issue 150,000,000 shares of common stock. In August 2021, in connection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3" w:name="page154"/>
    <w:bookmarkEnd w:id="153"/>
    <w:p>
      <w:pPr>
        <w:jc w:val="both"/>
        <w:spacing w:after="0" w:line="266" w:lineRule="auto"/>
        <w:rPr>
          <w:sz w:val="20"/>
          <w:szCs w:val="20"/>
          <w:color w:val="auto"/>
        </w:rPr>
      </w:pPr>
      <w:r>
        <w:rPr>
          <w:rFonts w:ascii="Times New Roman" w:cs="Times New Roman" w:eastAsia="Times New Roman" w:hAnsi="Times New Roman"/>
          <w:sz w:val="18"/>
          <w:szCs w:val="18"/>
          <w:color w:val="auto"/>
        </w:rPr>
        <w:t>the closing of the IPO, the Company filed an amended and restated certificate of incorporation to, among other things, increase the number of authorized shares of common stock from 150,000,000 shares to 1,000,000,000 shares.</w:t>
      </w:r>
    </w:p>
    <w:p>
      <w:pPr>
        <w:spacing w:after="0" w:line="16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As of December 31, 2021, the Company had reserved 36,886,646 shares of common stock for the exercise of outstanding stock options and the issuance of awards available for grant under the Company’s 2020 Equity Incentive Plan, 2021 Equity Incentive Plan and 2021 Employee Stock Purchase Plan (see Note 11). As of December 31, 2020, the Company had reserved 80,466,735 shares of common stock for the potential conversion of shares of Preferred Stock into common stock, the exercise of outstanding stock options and the issuance of awards available for grant under the Company’s 2020 Equity Incentive Plan (see Note 11).</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and May 2021, the Company retired an aggregate of 22,600,000 shares of common stock held in treasury. Upon retirement, the shares were redesignated as authorized but unissued shares of the Company’s common stock.</w:t>
      </w:r>
    </w:p>
    <w:p>
      <w:pPr>
        <w:spacing w:after="0" w:line="16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November 2021, the Company repurchased 468,751 shares of unvested restricted common stock at the original purchase price upon a termination of service during the vesting period. As of December 31, 2021, the shares of common stock repurchased were recorded as treasury stock in the accompanying consolidated balance sheets and consolidated statements of convertible preferred stock and stockholders’ equity (deficit) as such shares were not retired. The fair value of the repurchased common stock was insignificant.</w:t>
      </w:r>
    </w:p>
    <w:p>
      <w:pPr>
        <w:spacing w:after="0" w:line="1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2022, the Company repurchased 1,158,089 shares of unvested restricted common stock at the original purchase price upon a termination of service during the vesting period.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2022, the Company retired an aggregate of 1,626,840 shares of common stock held in treasury. Upon retirement, the shares were redesignated as authorized but unissued shares of the Company’s common stock.</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August 2021, the Company completed its IPO, pursuant to which it issued and sold 20,930,000 shares of its common stock, including 2,730,000 shares of its common stock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of the shares of the Company’s convertible preferred stock then outstanding converted into 84,722,420 shares of common stock. Upon the conversion of the convertible preferred stock, the Company reclassified the carrying value of the convertible preferred stock to common stock (at par value) and additional paid-in capital.</w:t>
      </w:r>
    </w:p>
    <w:p>
      <w:pPr>
        <w:spacing w:after="0" w:line="288" w:lineRule="exact"/>
        <w:rPr>
          <w:sz w:val="20"/>
          <w:szCs w:val="20"/>
          <w:color w:val="auto"/>
        </w:rPr>
      </w:pPr>
    </w:p>
    <w:p>
      <w:pPr>
        <w:ind w:left="520" w:right="8700" w:hanging="512"/>
        <w:spacing w:after="0" w:line="383" w:lineRule="auto"/>
        <w:tabs>
          <w:tab w:leader="none" w:pos="271"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spacing w:after="0" w:line="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4" w:name="page155"/>
    <w:bookmarkEnd w:id="154"/>
    <w:p>
      <w:pPr>
        <w:jc w:val="both"/>
        <w:spacing w:after="0" w:line="238" w:lineRule="auto"/>
        <w:rPr>
          <w:sz w:val="20"/>
          <w:szCs w:val="20"/>
          <w:color w:val="auto"/>
        </w:rPr>
      </w:pPr>
      <w:r>
        <w:rPr>
          <w:rFonts w:ascii="Times New Roman" w:cs="Times New Roman" w:eastAsia="Times New Roman" w:hAnsi="Times New Roman"/>
          <w:sz w:val="18"/>
          <w:szCs w:val="18"/>
          <w:color w:val="auto"/>
        </w:rPr>
        <w:t>common stock on the date of grant in the case of an incentive stock option granted to an employee who owns stock representing more than 10% of the voting power of all classes of stock as determined by the board of directors as of the date of grant. Prior to the initial public offering,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1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2021, there were no shares authorized to be issued and no shares reserved for future issuance under the 2020 Plan. As of December 31, 2020, there were 22,820,305 shares authorized to be issued and 14,258,995 shares reserved for future issuance under the 2020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0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5,539,145 shares of common stock were automatically added to the shares authorized for issuance under the 2021 Plan on January 1, 2022 pursuant to the terms of the 2021 Plan.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 As of December 31, 2021, there were 35,543,873 shares authorized to be issued, which includes 16,672,281 shares reserved for future issuance under the 2021 Plan.</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0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initial public offering in August 2021, the Company historically had been a private company. Due to the proximity to the IPO, the Company continues to lack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5" w:name="page156"/>
    <w:bookmarkEnd w:id="15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grant-date fair value of stock options granted: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4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w w:val="94"/>
              </w:rPr>
              <w:t>73.3 %</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72.3 %</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35"/>
        </w:trPr>
        <w:tc>
          <w:tcPr>
            <w:tcW w:w="57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99"/>
              </w:rPr>
              <w:t>The following table summarizes the Company’s stock option activity since December 31, 2020:</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4"/>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36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20" w:type="dxa"/>
            <w:vAlign w:val="bottom"/>
          </w:tcPr>
          <w:p>
            <w:pPr>
              <w:spacing w:after="0"/>
              <w:rPr>
                <w:sz w:val="16"/>
                <w:szCs w:val="16"/>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36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at December 31, 2020</w:t>
            </w:r>
          </w:p>
        </w:tc>
        <w:tc>
          <w:tcPr>
            <w:tcW w:w="12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2,968,070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0.78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9.8</w:t>
            </w:r>
          </w:p>
        </w:tc>
        <w:tc>
          <w:tcPr>
            <w:tcW w:w="34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11,362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16,249,689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(346,167 )</w:t>
            </w:r>
          </w:p>
        </w:tc>
        <w:tc>
          <w:tcPr>
            <w:tcW w:w="2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5.13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FF0FC"/>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18,871,592</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10.15</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top w:val="single" w:sz="8" w:color="CFF0FC"/>
            </w:tcBorders>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24,897</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color w:val="auto"/>
              </w:rPr>
              <w:t>Vested and expected to vest at December 31, 2021</w:t>
            </w:r>
          </w:p>
        </w:tc>
        <w:tc>
          <w:tcPr>
            <w:tcW w:w="12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18,871,592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10.15</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9.3</w:t>
            </w:r>
          </w:p>
        </w:tc>
        <w:tc>
          <w:tcPr>
            <w:tcW w:w="340" w:type="dxa"/>
            <w:vAlign w:val="bottom"/>
            <w:gridSpan w:val="2"/>
            <w:shd w:val="clear" w:color="auto" w:fill="CFF0FC"/>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24,897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1,613,518</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-436880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 ended December 31, 2021 and for period from June 3, 2020 (inception) to December 31, 2020 was $7.56 and $0.21, respectively, per share.</w:t>
      </w:r>
    </w:p>
    <w:p>
      <w:pPr>
        <w:spacing w:after="0" w:line="18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2021 and 2020, as applicable. There were no options exercised during the year ended December 31, 2021. All stock options exercised during the period from June 3, 2020 (inception) to December 31, 2020 were made pursuant to awards that contain early-exercise provisions. The intrinsic value of the options that were exercised for the period from June 3, 2020 (inception) to December 31, 2020 was less than $0.1 million.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Company’s restricted stock activity during the year ended December 31, 2021 is solely due to shares of restricted common stock issued pursuant to the permitted early exercise of stock options as permitted under the 2020 Plan prior to amendments.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7"/>
        </w:trPr>
        <w:tc>
          <w:tcPr>
            <w:tcW w:w="9220" w:type="dxa"/>
            <w:vAlign w:val="bottom"/>
          </w:tcPr>
          <w:p>
            <w:pPr>
              <w:spacing w:after="0"/>
              <w:rPr>
                <w:sz w:val="16"/>
                <w:szCs w:val="16"/>
                <w:color w:val="auto"/>
              </w:rPr>
            </w:pP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Unvested restricted stock at December 31, 2020</w:t>
            </w:r>
          </w:p>
        </w:tc>
        <w:tc>
          <w:tcPr>
            <w:tcW w:w="19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5,593,240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Issued</w:t>
            </w:r>
          </w:p>
        </w:tc>
        <w:tc>
          <w:tcPr>
            <w:tcW w:w="20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922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(2,042,314 )</w:t>
            </w:r>
          </w:p>
        </w:tc>
      </w:tr>
      <w:tr>
        <w:trPr>
          <w:trHeight w:val="203"/>
        </w:trPr>
        <w:tc>
          <w:tcPr>
            <w:tcW w:w="92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Repurchased</w:t>
            </w:r>
          </w:p>
        </w:tc>
        <w:tc>
          <w:tcPr>
            <w:tcW w:w="20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(468,751 )</w:t>
            </w:r>
          </w:p>
        </w:tc>
      </w:tr>
      <w:tr>
        <w:trPr>
          <w:trHeight w:val="23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Unvested restricted stock at December 31, 2021</w:t>
            </w:r>
          </w:p>
        </w:tc>
        <w:tc>
          <w:tcPr>
            <w:tcW w:w="1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3,082,175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6" w:name="page157"/>
    <w:bookmarkEnd w:id="156"/>
    <w:p>
      <w:pPr>
        <w:jc w:val="both"/>
        <w:spacing w:after="0" w:line="250" w:lineRule="auto"/>
        <w:rPr>
          <w:sz w:val="20"/>
          <w:szCs w:val="20"/>
          <w:color w:val="auto"/>
        </w:rPr>
      </w:pPr>
      <w:r>
        <w:rPr>
          <w:rFonts w:ascii="Times New Roman" w:cs="Times New Roman" w:eastAsia="Times New Roman" w:hAnsi="Times New Roman"/>
          <w:sz w:val="18"/>
          <w:szCs w:val="18"/>
          <w:color w:val="auto"/>
        </w:rPr>
        <w:t>paid-in capital as the Company’s repurchase right lapses. Shares issued pursuant to the early exercise of stock options are not considered to be outstanding for accounting purposes until the shares vest. As of December 31, 2021 and 2020, the liability related to the payments for unvested shares from early-exercised options was less than $0.1 million.</w:t>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2021, the Company repurchased 468,751 shares of unvested restricted common stock for less than $0.1 million, which was recorded as a reduction of the early-exercise liability and as shares of treasury stock.</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February 2022, the Company repurchased 1,158,089 shares of unvested restricted common stock for less than $0.1 million, which was recorded as a reduction of the early-exercise liability and as shares of treasury stock.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2022, the Company retired an aggregate of 1,626,840 shares of common stock held in treasury.</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consolidated statements of operations and comprehensive loss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6,591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11,173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17,764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2021, total unrecognized stock-based compensation cost related to unvested awards was $105.9 million and the weighted-average period over which such expense is expected to be recognized is 3.3 years.</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February 2022, Tillman U. Gerngross, Ph.D. resigned as Chief Executive Officer and President and as a member of the Board of Directors. In accordance with his resignation, Dr. Gerngross's outstanding stock options were forfeited, resulting in a reversal of stock-based compensation expense of approximately $4.6 million which was recorded in the first quarter of 2022.</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0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initial public offering. A total of 1,342,773 shares of common stock were reserved for issuance under this plan. There were no shares issued under the 2021 ESPP as of December 31, 2021.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0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2021 and for the period from June 3, 2020 (inception) to December 31, 2020, the Company did not record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7" w:name="page158"/>
    <w:bookmarkEnd w:id="157"/>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Federal statutory income tax rate</w:t>
            </w: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w:t>
            </w:r>
          </w:p>
        </w:tc>
        <w:tc>
          <w:tcPr>
            <w:tcW w:w="24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State income taxes, net of federal benefit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(2.9 )</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(1.4 )</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Non-deductible expenses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5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25.3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Effective income tax rate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consisted of the following (in thousands):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gridSpan w:val="2"/>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51,635</w:t>
            </w:r>
          </w:p>
        </w:tc>
        <w:tc>
          <w:tcPr>
            <w:tcW w:w="24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Research and development tax credits carryforwards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4,350</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4,116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Intangibles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1,707</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1,160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deferred tax assets</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62,968</w:t>
            </w: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Valuation allowance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(62,968 )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(5,682 )</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Net deferred tax assets</w:t>
            </w: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-2019300</wp:posOffset>
            </wp:positionV>
            <wp:extent cx="2057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-2019300</wp:posOffset>
            </wp:positionV>
            <wp:extent cx="2057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-296545</wp:posOffset>
            </wp:positionV>
            <wp:extent cx="6032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As of December 31, 2021 and 2020, the Company had U.S. federal NOL carryforwards of $221.9 million and $24.4 million, respectively, which may be available to reduce future taxable income. All of the U.S. federal NOL carryforwards have an indefinite carryforward period but are limited in their usage to 80% of annual taxable income. In addition, as of December 31, 2021, the Company had state NOL carryforwards of $81.9 million, which may be available to reduce future taxable income, of which $3.4 million have an indefinite carryforward period while the remaining $78.5 million begin to expire in 2041. As of December 31, 2021, the Company also had U.S. federal and state research and development tax credit carryforwards of $3.3 million and $1.3 million, respectively, which may be available to reduce future tax liabilities and expire at various dates beginning in 2041 and 2036, respectively.</w:t>
      </w:r>
    </w:p>
    <w:p>
      <w:pPr>
        <w:spacing w:after="0" w:line="18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Utilization of the U.S. federal and state NOL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19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2021 and 2020. Management reevaluates the positive and negative evidence at each reporting period. During the year ended December 31, 2021 and for the period from June 3, 2020 (inception) to December 31, 2020, the Company increased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8" w:name="page159"/>
    <w:bookmarkEnd w:id="158"/>
    <w:p>
      <w:pPr>
        <w:jc w:val="both"/>
        <w:spacing w:after="0" w:line="266" w:lineRule="auto"/>
        <w:rPr>
          <w:sz w:val="20"/>
          <w:szCs w:val="20"/>
          <w:color w:val="auto"/>
        </w:rPr>
      </w:pPr>
      <w:r>
        <w:rPr>
          <w:rFonts w:ascii="Times New Roman" w:cs="Times New Roman" w:eastAsia="Times New Roman" w:hAnsi="Times New Roman"/>
          <w:sz w:val="18"/>
          <w:szCs w:val="18"/>
          <w:color w:val="auto"/>
        </w:rPr>
        <w:t>its valuation allowance by $57.3 million and $5.7 million, respectively, with such increase recognized as income tax expense, in order to maintain a full valuation allowance against its deferred tax assets, and there were no changes recorded to the allowance during the period.</w:t>
      </w:r>
    </w:p>
    <w:p>
      <w:pPr>
        <w:spacing w:after="0" w:line="16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For tax positions meeting the “more likely than not" threshold, the Company measures and records the highest probable benefit, and establishes appropriate reserves for benefits that exceed the amount likely to be sustained upon examination. As of December 31, 2021 and 2020, the Company has not recorded any uncertain tax positions or related interest and penalties.</w:t>
      </w:r>
    </w:p>
    <w:p>
      <w:pPr>
        <w:spacing w:after="0" w:line="1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year ended December 31, 2021 and the period from June 3, 2020 (inception) to December 31, 2020, the Company made contributions of $0.6 million and less than $0.1 million, respectively, to the 401(k)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vMerge w:val="restart"/>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44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44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(226,790 )</w:t>
            </w:r>
          </w:p>
        </w:tc>
        <w:tc>
          <w:tcPr>
            <w:tcW w:w="2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(65,319 )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42,621,265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3,608,491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(5.32</w:t>
            </w:r>
          </w:p>
        </w:tc>
        <w:tc>
          <w:tcPr>
            <w:tcW w:w="280" w:type="dxa"/>
            <w:vAlign w:val="bottom"/>
            <w:tcBorders>
              <w:bottom w:val="single" w:sz="8" w:color="CFF0FC"/>
            </w:tcBorders>
            <w:shd w:val="clear" w:color="auto" w:fill="CFF0FC"/>
          </w:tcPr>
          <w:p>
            <w:pPr>
              <w:jc w:val="right"/>
              <w:ind w:right="110"/>
              <w:spacing w:after="0" w:line="183"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16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 for the periods indicated because including them would have had an anti-dilutive effect: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6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63,239,670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 options to purchase common stock</w:t>
            </w:r>
          </w:p>
        </w:tc>
        <w:tc>
          <w:tcPr>
            <w:tcW w:w="1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18,871,592</w:t>
            </w:r>
          </w:p>
        </w:tc>
        <w:tc>
          <w:tcPr>
            <w:tcW w:w="18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2,968,070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Unvested restricted common stock</w:t>
            </w: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3,082,175</w:t>
            </w:r>
          </w:p>
        </w:tc>
        <w:tc>
          <w:tcPr>
            <w:tcW w:w="24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5,593,240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21,953,767</w:t>
            </w:r>
          </w:p>
        </w:tc>
        <w:tc>
          <w:tcPr>
            <w:tcW w:w="1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71,800,980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wp:posOffset>
            </wp:positionV>
            <wp:extent cx="431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09" w:lineRule="exact"/>
        <w:rPr>
          <w:sz w:val="20"/>
          <w:szCs w:val="20"/>
          <w:color w:val="auto"/>
        </w:rPr>
      </w:pPr>
    </w:p>
    <w:p>
      <w:pPr>
        <w:jc w:val="both"/>
        <w:ind w:right="8860" w:firstLine="8"/>
        <w:spacing w:after="0" w:line="383" w:lineRule="auto"/>
        <w:tabs>
          <w:tab w:leader="none" w:pos="27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Adimab Assignment Agreement</w:t>
      </w:r>
    </w:p>
    <w:p>
      <w:pPr>
        <w:spacing w:after="0" w:line="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 Adimab participated in the Series B and C Preferred Stock financings by purchasing 44,076 and 128,064 shares of Series B and C Preferred Stock, respectively, for an aggregate purchase price of $2.5 million and $10.0 million, respectively (see Note 9).</w:t>
      </w:r>
    </w:p>
    <w:p>
      <w:pPr>
        <w:spacing w:after="0" w:line="1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$7.5 million as IPR&amp;D expense in connection with milestones payable under the Adimab Assignment Agreement. For the period from June 3, 2020 (inception) to December 31, 2020 the Company recognized $39.9 million as IPR&amp;D expense in connection with the upfront consideration payable under the Adimab Assignment Agreement (see Note 7).</w:t>
      </w:r>
    </w:p>
    <w:p>
      <w:pPr>
        <w:spacing w:after="0" w:line="17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$1.3 million of research and development expense, respectively, with respect to services performed by Adimab on the Company’s behalf under the Adimab Assignment Agreement. For the period from June 3, 2020 (inception) to December 31, 2020, the Company recognized $0.6 million of research and development expense with respect to services performed by Adimab on the Company’s behalf under the Adimab Assignment Agreement.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 and royalty payments (see Note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19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$2.9 million of research and development expense under the Adimab Collaboration Agreement, which consisted of $2.6 million related to the quarterly fee (see Note 7) and $0.3 million related to services performed by Adimab on the Company’s behalf.</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and 2020, $0.6 million was due to Adimab under both the Adimab Assignment Agreement and the Adimab Collaboration Agreement by the Company. As of December 31, 2021 and 2020, no amounts were due from Adimab under the Adimab Assignment Agreement or the Adimab Collaboration Agreement to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16. Selected Quarterly Financial Data (unaudited)</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contains quarterly financial information for fiscal year 2021. The results for any quarter are not necessarily indicative of future period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8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Quarter to date:</w:t>
            </w: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2"/>
                <w:szCs w:val="12"/>
                <w:color w:val="auto"/>
              </w:rPr>
              <w:t>(1)</w:t>
            </w:r>
          </w:p>
        </w:tc>
        <w:tc>
          <w:tcPr>
            <w:tcW w:w="3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(38,700 )</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(44,673 )</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(60,375 )</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(83,042 )</w:t>
            </w: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(178.86 )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(0.98 )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(0.77 )</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vMerge w:val="continue"/>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66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62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common shares outstanding, basic and</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FF0FC"/>
            </w:tcBorders>
            <w:vMerge w:val="restart"/>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249,769</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61,297,086</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107,551,097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2"/>
                <w:szCs w:val="12"/>
                <w:color w:val="auto"/>
              </w:rPr>
              <w:t>(1)</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(38,700 )</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(83,373 )</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(143,748 )</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(226,790 )</w:t>
            </w: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(663.94 )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(7.06 )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vMerge w:val="continue"/>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66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62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common shares outstanding, basic and</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FF0FC"/>
            </w:tcBorders>
            <w:vMerge w:val="restart"/>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125,574</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20,346,771</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42,621,265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-1002030</wp:posOffset>
            </wp:positionV>
            <wp:extent cx="14605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-985520</wp:posOffset>
            </wp:positionV>
            <wp:extent cx="1460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-1002030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-985520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-1002030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-985520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-1002030</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-985520</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-264795</wp:posOffset>
            </wp:positionV>
            <wp:extent cx="1460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-248285</wp:posOffset>
            </wp:positionV>
            <wp:extent cx="1460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-264795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-248285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-264795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-248285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-248285</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2" w:lineRule="exact"/>
        <w:rPr>
          <w:sz w:val="20"/>
          <w:szCs w:val="20"/>
          <w:color w:val="auto"/>
        </w:rPr>
      </w:pPr>
    </w:p>
    <w:p>
      <w:pPr>
        <w:jc w:val="both"/>
        <w:ind w:left="760" w:hanging="378"/>
        <w:spacing w:after="0" w:line="242"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share data is not applicable for the three months ended March 31, 2021 as the Company had no shares of common stock outstanding for accounting purposes during that period. All of the 5,593,240 shares of common stock issued and outstanding as of March 31, 2021 were shares of unvested restricted common stock issued by the Company upon the early exercise of stock options granted in June 2020. As a result, such shares are not considered outstanding for accounting purposes until vested and were excluded from the calculations of basic net loss per share attributable to common stockholders for the three months ended March 31, 2021.</w:t>
      </w:r>
    </w:p>
    <w:p>
      <w:pPr>
        <w:spacing w:after="0" w:line="76" w:lineRule="exact"/>
        <w:rPr>
          <w:rFonts w:ascii="Times New Roman" w:cs="Times New Roman" w:eastAsia="Times New Roman" w:hAnsi="Times New Roman"/>
          <w:sz w:val="18"/>
          <w:szCs w:val="18"/>
          <w:color w:val="auto"/>
        </w:rPr>
      </w:pPr>
    </w:p>
    <w:p>
      <w:pPr>
        <w:jc w:val="both"/>
        <w:ind w:left="760" w:hanging="378"/>
        <w:spacing w:after="0" w:line="238"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June 30, 2021 Quarterly Report on Form 10-Q filed with the SEC on September 20, 2021 included a clerical error. The net loss numbers used in the basic and diluted share computation for the three and six months ended June 30, 2021 were in thousands, resulting in a basic and diluted loss per share of $0.18 and $0.66, respectively. The corrected net loss number to be used in the basic and diluted share computation for the three and six months ended June 30, 2021 should have been the net loss multiplied by one thousand, resulting in a corrected basic and diluted loss per share of $178.86 and $663.94, respectively. This correction is reflected in the above table. This error had no impact to the reported amount of net loss or the unaudited consolidated balance sheets, statements of cash flows, or statements of stockholders’ equity (deficit), and notes to the financial statements as of, and for the three and six months ended June 30, 2021, other than to Note 13. Net Loss per Share. The materiality of the error was assessed in accordance with the SEC’s Staff Accounting Bulletin 99 and the Company concluded that the previously issued consolidated financial statements were not materially misstated. In accordance with the SEC’s Staff Accounting Bulletin 108, this immaterial error will be corrected and the revision will be presented prospectively here and in future filings.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ADAGIO THERAPEUTICS, INC. COMMON STOCK</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description of the common stock of Adagio Therapeutics, Inc., or the Company, and certain provisions of the Company’s amended and restated certificate of incorporation, or the Restated Certificate, and amended and restated bylaws, or the Bylaws, are summaries. These summaries are qualified in their entirety by reference to the provisions of the General Corporation Law of the State of Delaware and the complete texts of the Restated Certificate and the Bylaws, which are incorporated by reference as Exhibits 3.1 and 3.2, respectively, of the Company’s Annual Report on Form 10-K to which this description is also an exhibit.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Restated Certificate authorizes the Company to issue up to 1,000,000,000 shares of common stock, $0.0001 par value per share, and 10,000,000 shares of preferred stock, $0.0001 par value per share, all of which shares of preferred stock are undesignated. The Company’s board of directors may establish the rights and preferences of the preferred stock from time to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1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Each holder of the Company’s common stock is entitled to one vote for each share on all matters submitted to a vote of the stockholders, including the election of directors. The affirmative vote of holders of at least 66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then-outstanding shares of capital stock, voting as a single class, is required to amend certain provisions of the Restated Certificate, including provisions relating to amending the Company’s Bylaws, the classified board, the size of the Company’s board, removal of directors, director liability, vacancies on the Company’s board, special meetings, stockholder notices, actions by written consent and exclusive forum.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the Company’s board of directors may designate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62" w:name="page163"/>
    <w:bookmarkEnd w:id="162"/>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90" w:lineRule="exact"/>
        <w:rPr>
          <w:sz w:val="20"/>
          <w:szCs w:val="20"/>
          <w:color w:val="auto"/>
        </w:rPr>
      </w:pPr>
    </w:p>
    <w:p>
      <w:pPr>
        <w:ind w:left="760" w:hanging="378"/>
        <w:spacing w:after="0" w:line="239" w:lineRule="auto"/>
        <w:tabs>
          <w:tab w:leader="none" w:pos="7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99" w:lineRule="exact"/>
        <w:rPr>
          <w:rFonts w:ascii="Times New Roman" w:cs="Times New Roman" w:eastAsia="Times New Roman" w:hAnsi="Times New Roman"/>
          <w:sz w:val="20"/>
          <w:szCs w:val="20"/>
          <w:color w:val="auto"/>
        </w:rPr>
      </w:pPr>
    </w:p>
    <w:p>
      <w:pPr>
        <w:jc w:val="both"/>
        <w:ind w:left="760" w:hanging="378"/>
        <w:spacing w:after="0" w:line="236" w:lineRule="auto"/>
        <w:tabs>
          <w:tab w:leader="none" w:pos="7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1" w:lineRule="exact"/>
        <w:rPr>
          <w:rFonts w:ascii="Times New Roman" w:cs="Times New Roman" w:eastAsia="Times New Roman" w:hAnsi="Times New Roman"/>
          <w:sz w:val="20"/>
          <w:szCs w:val="20"/>
          <w:color w:val="auto"/>
        </w:rPr>
      </w:pPr>
    </w:p>
    <w:p>
      <w:pPr>
        <w:jc w:val="both"/>
        <w:ind w:left="760" w:hanging="378"/>
        <w:spacing w:after="0" w:line="215" w:lineRule="auto"/>
        <w:tabs>
          <w:tab w:leader="none" w:pos="7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760" w:hanging="378"/>
        <w:spacing w:after="0" w:line="23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199"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sale, lease, exchange, mortgage, pledge, transfer or other disposition of 10% or more of the assets of the corporation or of any direct or indirect majority-owned subsidiary involving the interested stockholder (in one transaction or a series of transactions);</w:t>
      </w:r>
    </w:p>
    <w:p>
      <w:pPr>
        <w:spacing w:after="0" w:line="199"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199" w:lineRule="exact"/>
        <w:rPr>
          <w:rFonts w:ascii="Times New Roman" w:cs="Times New Roman" w:eastAsia="Times New Roman" w:hAnsi="Times New Roman"/>
          <w:sz w:val="20"/>
          <w:szCs w:val="20"/>
          <w:color w:val="auto"/>
        </w:rPr>
      </w:pPr>
    </w:p>
    <w:p>
      <w:pPr>
        <w:jc w:val="both"/>
        <w:ind w:left="760" w:hanging="378"/>
        <w:spacing w:after="0" w:line="238"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or any such subsidiary beneficially owned by the interested stockholder; or</w:t>
      </w:r>
    </w:p>
    <w:p>
      <w:pPr>
        <w:spacing w:after="0" w:line="198"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 or any direct or indirect majority-owned subsidiary.</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1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Restated Certificate and the Bylaws provide for the Company’s board of directors to be divided into three classes with staggered three-year terms. Only one class of directors will be elected at each annual meeting of the Company’s stockholders, with the other classes continuing for the remainder of their respective three-year terms. Because the Company’s stockholders do not have cumulative voting rights, stockholders holding a majority of the shares of common stock outstanding are able to elect all of the Company’s directors. The Restated Certificate and the Bylaws provide that directors may be removed by the stockholders only for cause upon the vote of at least 66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then-outstanding shares of capital stock. Furthermore, the authorized number of directors may be changed only by resolution of the board of directors, and vacancies and newly created directorships on the board of directors may, except as otherwise required by law or determined by the board and subject to the rights of any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of then-outstanding Preferred Stock, only be filled by a majority vote of the directors then serving on the board, even though less than a quorum.</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Restated Certificate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Restated Certificate and the Bylaws provide that the stockholders cannot amend many of the provisions described above except by a vote of at least 66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then-outstanding shares of capital stock.</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Restated Certificate gives the Company’s board of directors the authority, without further action by the Company’s stockholders, to issue up to 10,000,000 shares of preferred stock in one or more series, with any rights, preferences and privileges as they may designate, including the right to approve an acquisition or other change in control.</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the Company’s existing stockholders to replace the Company’s board of directors as well as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control of the Company.</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the Company’s potential ability to negotiate with the proponent of an unfriendly or unsolicited proposal to acquire or restructure the Company’s company, outweigh the disadvantages of discouraging takeover proposals, because negotiation of takeover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9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9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who is not also serving as an employee of or consultant to Adagio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any of its subsidiaries (each such member,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which the Common Stock is priced in such initial public offering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Compensation</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171" w:lineRule="exact"/>
        <w:rPr>
          <w:sz w:val="20"/>
          <w:szCs w:val="20"/>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15" w:lineRule="exact"/>
        <w:rPr>
          <w:rFonts w:ascii="Times New Roman" w:cs="Times New Roman" w:eastAsia="Times New Roman" w:hAnsi="Times New Roman"/>
          <w:sz w:val="18"/>
          <w:szCs w:val="18"/>
          <w:color w:val="auto"/>
        </w:rPr>
      </w:pPr>
    </w:p>
    <w:p>
      <w:pPr>
        <w:ind w:left="1120" w:hanging="363"/>
        <w:spacing w:after="0" w:line="234" w:lineRule="auto"/>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$40,000</w:t>
      </w:r>
    </w:p>
    <w:p>
      <w:pPr>
        <w:ind w:left="1120" w:hanging="363"/>
        <w:spacing w:after="0"/>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Chair of the Board Service Retainer (in addition to Eligible Director Service Retainer): $30,000</w:t>
      </w:r>
    </w:p>
    <w:p>
      <w:pPr>
        <w:spacing w:after="0" w:line="17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Chair Service Retainer</w:t>
      </w:r>
      <w:r>
        <w:rPr>
          <w:rFonts w:ascii="Times New Roman" w:cs="Times New Roman" w:eastAsia="Times New Roman" w:hAnsi="Times New Roman"/>
          <w:sz w:val="18"/>
          <w:szCs w:val="18"/>
          <w:color w:val="auto"/>
        </w:rPr>
        <w:t>:</w:t>
      </w:r>
    </w:p>
    <w:p>
      <w:pPr>
        <w:spacing w:after="0" w:line="15" w:lineRule="exact"/>
        <w:rPr>
          <w:rFonts w:ascii="Times New Roman" w:cs="Times New Roman" w:eastAsia="Times New Roman" w:hAnsi="Times New Roman"/>
          <w:sz w:val="18"/>
          <w:szCs w:val="18"/>
          <w:color w:val="auto"/>
        </w:rPr>
      </w:pPr>
    </w:p>
    <w:p>
      <w:pPr>
        <w:ind w:left="1120" w:hanging="363"/>
        <w:spacing w:after="0" w:line="234" w:lineRule="auto"/>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$15,000</w:t>
      </w:r>
    </w:p>
    <w:p>
      <w:pPr>
        <w:ind w:left="1120" w:hanging="363"/>
        <w:spacing w:after="0" w:line="234" w:lineRule="auto"/>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$10,000</w:t>
      </w:r>
    </w:p>
    <w:p>
      <w:pPr>
        <w:ind w:left="1120" w:hanging="363"/>
        <w:spacing w:after="0"/>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$8,000</w:t>
      </w:r>
    </w:p>
    <w:p>
      <w:pPr>
        <w:spacing w:after="0" w:line="17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Member Service Retainer (not applicable to Committee Chairs)</w:t>
      </w:r>
      <w:r>
        <w:rPr>
          <w:rFonts w:ascii="Times New Roman" w:cs="Times New Roman" w:eastAsia="Times New Roman" w:hAnsi="Times New Roman"/>
          <w:sz w:val="18"/>
          <w:szCs w:val="18"/>
          <w:color w:val="auto"/>
        </w:rPr>
        <w:t>:</w:t>
      </w:r>
    </w:p>
    <w:p>
      <w:pPr>
        <w:spacing w:after="0" w:line="15" w:lineRule="exact"/>
        <w:rPr>
          <w:rFonts w:ascii="Times New Roman" w:cs="Times New Roman" w:eastAsia="Times New Roman" w:hAnsi="Times New Roman"/>
          <w:sz w:val="18"/>
          <w:szCs w:val="18"/>
          <w:color w:val="auto"/>
        </w:rPr>
      </w:pPr>
    </w:p>
    <w:p>
      <w:pPr>
        <w:ind w:left="1120" w:hanging="363"/>
        <w:spacing w:after="0" w:line="234" w:lineRule="auto"/>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$7,500</w:t>
      </w:r>
    </w:p>
    <w:p>
      <w:pPr>
        <w:ind w:left="1120" w:hanging="363"/>
        <w:spacing w:after="0" w:line="234" w:lineRule="auto"/>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$5,000</w:t>
      </w:r>
    </w:p>
    <w:p>
      <w:pPr>
        <w:ind w:left="1120" w:hanging="363"/>
        <w:spacing w:after="0"/>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$4,000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equity compensation set forth below will be granted under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5" w:name="page166"/>
    <w:bookmarkEnd w:id="165"/>
    <w:p>
      <w:pPr>
        <w:jc w:val="both"/>
        <w:ind w:firstLine="8"/>
        <w:spacing w:after="0" w:line="238" w:lineRule="auto"/>
        <w:tabs>
          <w:tab w:leader="none" w:pos="3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Grants</w:t>
      </w:r>
      <w:r>
        <w:rPr>
          <w:rFonts w:ascii="Times New Roman" w:cs="Times New Roman" w:eastAsia="Times New Roman" w:hAnsi="Times New Roman"/>
          <w:sz w:val="18"/>
          <w:szCs w:val="18"/>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shares of Common Stock with an aggregate Black-Scholes grant date value of $800,000 (the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provided, that, in no event shall the number of shares subject to the Initial Grant exceed 150,000 shares. The shares subject to each Initial Grant will vest over a three-year period, with one-third of the shares subject to the Initial Grant vesting on the first anniversary of the grant date and 1/36th of the shares subject to the Initial Grant vesting in equal monthly installments thereafter, such that the option is fully vested on the third anniversary of the date of grant, subject to the Eligible Director’s Continuous Service (as defined in the Plan) through each such vesting date, and will vest in full upon a Change in Control (as defined in the Plan), subject to the Eligible Director’s Continuous Service through such date.</w:t>
      </w:r>
    </w:p>
    <w:p>
      <w:pPr>
        <w:spacing w:after="0" w:line="177" w:lineRule="exact"/>
        <w:rPr>
          <w:rFonts w:ascii="Times New Roman" w:cs="Times New Roman" w:eastAsia="Times New Roman" w:hAnsi="Times New Roman"/>
          <w:sz w:val="18"/>
          <w:szCs w:val="18"/>
          <w:color w:val="auto"/>
        </w:rPr>
      </w:pPr>
    </w:p>
    <w:p>
      <w:pPr>
        <w:jc w:val="both"/>
        <w:ind w:firstLine="8"/>
        <w:spacing w:after="0" w:line="237" w:lineRule="auto"/>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Grants</w:t>
      </w:r>
      <w:r>
        <w:rPr>
          <w:rFonts w:ascii="Times New Roman" w:cs="Times New Roman" w:eastAsia="Times New Roman" w:hAnsi="Times New Roman"/>
          <w:sz w:val="18"/>
          <w:szCs w:val="18"/>
          <w:color w:val="auto"/>
        </w:rPr>
        <w:t>: On the date of each annual stockholder meeting of the Company held after the Effective Date, each Eligible Director who continues to serve as a non-employee member of the Board following such stockholder meeting (excluding any Eligible Director who is first appointed or elected by the Board at such meeting) will be automatically, and without further action by the Board or the Compensation Committee of the Board, granted a stock option to purchase shares of Common Stock with an aggregate Black-Scholes grant date fair value of $400,000 (the “</w:t>
      </w:r>
      <w:r>
        <w:rPr>
          <w:rFonts w:ascii="Times New Roman" w:cs="Times New Roman" w:eastAsia="Times New Roman" w:hAnsi="Times New Roman"/>
          <w:sz w:val="18"/>
          <w:szCs w:val="18"/>
          <w:b w:val="1"/>
          <w:bCs w:val="1"/>
          <w:i w:val="1"/>
          <w:iCs w:val="1"/>
          <w:color w:val="auto"/>
        </w:rPr>
        <w:t>Annual Grant</w:t>
      </w:r>
      <w:r>
        <w:rPr>
          <w:rFonts w:ascii="Times New Roman" w:cs="Times New Roman" w:eastAsia="Times New Roman" w:hAnsi="Times New Roman"/>
          <w:sz w:val="18"/>
          <w:szCs w:val="18"/>
          <w:color w:val="auto"/>
        </w:rPr>
        <w:t>”); provided, that, in no event shall the number of shares subject to the Annual Grant exceed 75,000 shares. The shares subject to the Annual Grant will vest in full on the first anniversary of the date of grant, subject to the Eligible Director’s Continuous Service through such vesting date; provided, that the Annual Grant will in any case be fully vested on the date of Company’s next annual stockholder meeting, subject to the Eligible Director’s Continuous Service through such vesting date; provided, further, that the Annual Grant will vest in full upon a Change in Control, subject to the Eligible Director’s Continuous Service through such date. With respect to an Eligible Director who, following the Effective Date, was first elected or appointed to the Board on a date other than the date of the Company’s annual stockholder meeting, upon the Company’s first annual stockholder meeting following such Eligible Director’s first joining the Board, such Eligible Director’s first Annual Grant will be pro-rated to reflect the time between such Eligible Director’s election or appointment date and the date of such first annual stockholder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Limit</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aggregate value of all compensation granted or paid, as applicable, to any individual for service as a Non-Employee Director (as defined in the Plan) shall in no event exceed the limits set forth in Section 3(d)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FIRST AMENDMENT TO THE</w:t>
      </w:r>
    </w:p>
    <w:p>
      <w:pPr>
        <w:spacing w:after="0" w:line="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 OF DAVID HERING</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 THE</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E</w:t>
      </w:r>
      <w:r>
        <w:rPr>
          <w:rFonts w:ascii="Times New Roman" w:cs="Times New Roman" w:eastAsia="Times New Roman" w:hAnsi="Times New Roman"/>
          <w:sz w:val="13"/>
          <w:szCs w:val="13"/>
          <w:color w:val="auto"/>
        </w:rPr>
        <w:t>MPLOYMENT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 OF</w:t>
      </w:r>
      <w:r>
        <w:rPr>
          <w:rFonts w:ascii="Times New Roman" w:cs="Times New Roman" w:eastAsia="Times New Roman" w:hAnsi="Times New Roman"/>
          <w:sz w:val="20"/>
          <w:szCs w:val="20"/>
          <w:color w:val="auto"/>
        </w:rPr>
        <w:t xml:space="preserve"> D</w:t>
      </w:r>
      <w:r>
        <w:rPr>
          <w:rFonts w:ascii="Times New Roman" w:cs="Times New Roman" w:eastAsia="Times New Roman" w:hAnsi="Times New Roman"/>
          <w:sz w:val="13"/>
          <w:szCs w:val="13"/>
          <w:color w:val="auto"/>
        </w:rPr>
        <w:t>AVID</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3"/>
          <w:szCs w:val="13"/>
          <w:color w:val="auto"/>
        </w:rPr>
        <w:t>ERING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entered into</w:t>
      </w:r>
    </w:p>
    <w:p>
      <w:pPr>
        <w:spacing w:after="0" w:line="237" w:lineRule="auto"/>
        <w:rPr>
          <w:sz w:val="20"/>
          <w:szCs w:val="20"/>
          <w:color w:val="auto"/>
        </w:rPr>
      </w:pPr>
      <w:r>
        <w:rPr>
          <w:rFonts w:ascii="Times New Roman" w:cs="Times New Roman" w:eastAsia="Times New Roman" w:hAnsi="Times New Roman"/>
          <w:sz w:val="20"/>
          <w:szCs w:val="20"/>
          <w:color w:val="auto"/>
        </w:rPr>
        <w:t>this 23rd day of February 2022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by and between D</w:t>
      </w:r>
      <w:r>
        <w:rPr>
          <w:rFonts w:ascii="Times New Roman" w:cs="Times New Roman" w:eastAsia="Times New Roman" w:hAnsi="Times New Roman"/>
          <w:sz w:val="13"/>
          <w:szCs w:val="13"/>
          <w:color w:val="auto"/>
        </w:rPr>
        <w:t>AVID</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3"/>
          <w:szCs w:val="13"/>
          <w:color w:val="auto"/>
        </w:rPr>
        <w:t>ERING</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DAGIO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0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and the Executive have entered into that certain Amended and Restated Employment Agreement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August 5, 2021 (the “</w:t>
      </w:r>
      <w:r>
        <w:rPr>
          <w:rFonts w:ascii="Times New Roman" w:cs="Times New Roman" w:eastAsia="Times New Roman" w:hAnsi="Times New Roman"/>
          <w:sz w:val="20"/>
          <w:szCs w:val="20"/>
          <w:b w:val="1"/>
          <w:bCs w:val="1"/>
          <w:i w:val="1"/>
          <w:iCs w:val="1"/>
          <w:color w:val="auto"/>
        </w:rPr>
        <w:t>Executive Agreement</w:t>
      </w:r>
      <w:r>
        <w:rPr>
          <w:rFonts w:ascii="Times New Roman" w:cs="Times New Roman" w:eastAsia="Times New Roman" w:hAnsi="Times New Roman"/>
          <w:sz w:val="20"/>
          <w:szCs w:val="20"/>
          <w:color w:val="auto"/>
        </w:rPr>
        <w:t>”); and</w:t>
      </w:r>
    </w:p>
    <w:p>
      <w:pPr>
        <w:spacing w:after="0" w:line="15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desires to continue to employ Executive as its Chief Operating Officer and to employ the Executive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Interim Chief Executive Officer and the Executive desires to accept such employment and to perform the duties to the Company on the terms and conditions hereinafter set forth in this Amendment; and</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and the Executive wish to amend the Executive Agreement as set forth in this Amendment.</w:t>
      </w:r>
    </w:p>
    <w:p>
      <w:pPr>
        <w:spacing w:after="0" w:line="20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contained herein and other valid consideration, the sufficiency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is acknowledged, the parties hereto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97"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Amendment to Section 1(b)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1(b) of the Executive Agreement is hereby amended by replacing the first paragraph in Section</w:t>
      </w: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1(b) in its entirety with the following:</w:t>
      </w:r>
    </w:p>
    <w:p>
      <w:pPr>
        <w:spacing w:after="0" w:line="396" w:lineRule="exact"/>
        <w:rPr>
          <w:sz w:val="20"/>
          <w:szCs w:val="20"/>
          <w:color w:val="auto"/>
        </w:rPr>
      </w:pPr>
    </w:p>
    <w:p>
      <w:pPr>
        <w:jc w:val="both"/>
        <w:ind w:left="760" w:right="760"/>
        <w:spacing w:after="0" w:line="236" w:lineRule="auto"/>
        <w:rPr>
          <w:sz w:val="20"/>
          <w:szCs w:val="20"/>
          <w:color w:val="auto"/>
        </w:rPr>
      </w:pPr>
      <w:r>
        <w:rPr>
          <w:rFonts w:ascii="Times New Roman" w:cs="Times New Roman" w:eastAsia="Times New Roman" w:hAnsi="Times New Roman"/>
          <w:sz w:val="20"/>
          <w:szCs w:val="20"/>
          <w:color w:val="auto"/>
        </w:rPr>
        <w:t>The Executive shall serve as the Chief Operating Officer of the Company and shall have such powers and duties as customarily associated with the office of Chief Operating Officer, and as may from time to time be prescribed by the Chief Executive Officer of the Company (the “CEO”), subject to the direction and control of the CEO. In his service as Chief Operating Officer, the Executive shall report to the CEO.</w:t>
      </w:r>
    </w:p>
    <w:p>
      <w:pPr>
        <w:spacing w:after="0" w:line="171" w:lineRule="exact"/>
        <w:rPr>
          <w:sz w:val="20"/>
          <w:szCs w:val="20"/>
          <w:color w:val="auto"/>
        </w:rPr>
      </w:pPr>
    </w:p>
    <w:p>
      <w:pPr>
        <w:jc w:val="both"/>
        <w:ind w:left="760" w:right="760"/>
        <w:spacing w:after="0" w:line="235" w:lineRule="auto"/>
        <w:rPr>
          <w:sz w:val="20"/>
          <w:szCs w:val="20"/>
          <w:color w:val="auto"/>
        </w:rPr>
      </w:pPr>
      <w:r>
        <w:rPr>
          <w:rFonts w:ascii="Times New Roman" w:cs="Times New Roman" w:eastAsia="Times New Roman" w:hAnsi="Times New Roman"/>
          <w:sz w:val="20"/>
          <w:szCs w:val="20"/>
          <w:color w:val="auto"/>
        </w:rPr>
        <w:t>As of February 23, 2022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the Executive shall additionally serve as the Interim Chief Executive Officer of the Company and shall have such powers and duties as customarily associated with the office of Interim Chief Executive Officer, and as may from time to time be prescribed by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subject to the direction and control of the Board. In his service as Interim Chief Executive Officer, the Executive shall report to the Board.</w:t>
      </w:r>
    </w:p>
    <w:p>
      <w:pPr>
        <w:spacing w:after="0" w:line="184"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u w:val="single" w:color="auto"/>
          <w:color w:val="auto"/>
        </w:rPr>
        <w:t>Amendment to Section 1(c)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1(c) of the Executive Agreement is hereby amended by replacing the second paragraph in Section</w:t>
      </w:r>
    </w:p>
    <w:p>
      <w:pPr>
        <w:ind w:left="38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1(c) in its entirety with the following: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7" w:name="page168"/>
    <w:bookmarkEnd w:id="167"/>
    <w:p>
      <w:pPr>
        <w:jc w:val="both"/>
        <w:ind w:left="752" w:right="760"/>
        <w:spacing w:after="0" w:line="230" w:lineRule="auto"/>
        <w:rPr>
          <w:sz w:val="20"/>
          <w:szCs w:val="20"/>
          <w:color w:val="auto"/>
        </w:rPr>
      </w:pPr>
      <w:r>
        <w:rPr>
          <w:rFonts w:ascii="Times New Roman" w:cs="Times New Roman" w:eastAsia="Times New Roman" w:hAnsi="Times New Roman"/>
          <w:sz w:val="20"/>
          <w:szCs w:val="20"/>
          <w:color w:val="auto"/>
        </w:rPr>
        <w:t>The Executive agrees not to engage actively in any other employment, occupation, or consulting activity for any direct or indirect remuneration without the prior approval of the CEO (or the Board, if while serving as Interim Chief Executive Officer);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90" w:lineRule="exact"/>
        <w:rPr>
          <w:sz w:val="20"/>
          <w:szCs w:val="20"/>
          <w:color w:val="auto"/>
        </w:rPr>
      </w:pPr>
    </w:p>
    <w:p>
      <w:pPr>
        <w:ind w:left="372" w:hanging="372"/>
        <w:spacing w:after="0"/>
        <w:tabs>
          <w:tab w:leader="none" w:pos="372"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Amendment to Section 2.</w:t>
      </w:r>
    </w:p>
    <w:p>
      <w:pPr>
        <w:spacing w:after="0" w:line="210" w:lineRule="exact"/>
        <w:rPr>
          <w:sz w:val="20"/>
          <w:szCs w:val="20"/>
          <w:color w:val="auto"/>
        </w:rPr>
      </w:pPr>
    </w:p>
    <w:p>
      <w:pPr>
        <w:ind w:left="2252" w:hanging="755"/>
        <w:spacing w:after="0"/>
        <w:tabs>
          <w:tab w:leader="none" w:pos="2252"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Section 2(a) is hereby replaced in its </w:t>
      </w:r>
      <w:r>
        <w:rPr>
          <w:rFonts w:ascii="Times New Roman" w:cs="Times New Roman" w:eastAsia="Times New Roman" w:hAnsi="Times New Roman"/>
          <w:sz w:val="20"/>
          <w:szCs w:val="20"/>
          <w:u w:val="single" w:color="auto"/>
          <w:color w:val="auto"/>
        </w:rPr>
        <w:t>entirety</w:t>
      </w:r>
      <w:r>
        <w:rPr>
          <w:rFonts w:ascii="Times New Roman" w:cs="Times New Roman" w:eastAsia="Times New Roman" w:hAnsi="Times New Roman"/>
          <w:sz w:val="20"/>
          <w:szCs w:val="20"/>
          <w:color w:val="auto"/>
        </w:rPr>
        <w:t xml:space="preserve"> as follows:</w:t>
      </w:r>
    </w:p>
    <w:p>
      <w:pPr>
        <w:spacing w:after="0" w:line="193" w:lineRule="exact"/>
        <w:rPr>
          <w:sz w:val="20"/>
          <w:szCs w:val="20"/>
          <w:color w:val="auto"/>
        </w:rPr>
      </w:pPr>
    </w:p>
    <w:p>
      <w:pPr>
        <w:jc w:val="both"/>
        <w:ind w:left="752" w:right="760"/>
        <w:spacing w:after="0" w:line="230" w:lineRule="auto"/>
        <w:rPr>
          <w:sz w:val="20"/>
          <w:szCs w:val="20"/>
          <w:color w:val="auto"/>
        </w:rPr>
      </w:pPr>
      <w:r>
        <w:rPr>
          <w:rFonts w:ascii="Times New Roman" w:cs="Times New Roman" w:eastAsia="Times New Roman" w:hAnsi="Times New Roman"/>
          <w:sz w:val="20"/>
          <w:szCs w:val="20"/>
          <w:color w:val="auto"/>
        </w:rPr>
        <w:t>Base Salary. The Company will continue to pay Executive, as compensation for the performance of the Executive’s duties and obligations hereunder, salary at the rate of $510,000 per year, less applicable deductions. The Executive’s salary shall be subject to annual review not later than March 31st of each year for possible increase by the Board or the Compensation Committee of the Board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which may be adjusted from time to time. The base salary in effect at any given time is referred to herein as “</w:t>
      </w: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 The Base Salary shall be payable in a manner that is consistent with the Company’s usual payroll practices for its executive officers. As of the Amendment Effective Date, and while Executive serves as Interim Chief Executive Officer, Executive shall receive a monthly stipend of $7,500, less applicable deductions.</w:t>
      </w:r>
    </w:p>
    <w:p>
      <w:pPr>
        <w:spacing w:after="0" w:line="194" w:lineRule="exact"/>
        <w:rPr>
          <w:sz w:val="20"/>
          <w:szCs w:val="20"/>
          <w:color w:val="auto"/>
        </w:rPr>
      </w:pPr>
    </w:p>
    <w:p>
      <w:pPr>
        <w:ind w:left="-8" w:right="760" w:firstLine="1505"/>
        <w:spacing w:after="0" w:line="245" w:lineRule="auto"/>
        <w:tabs>
          <w:tab w:leader="none" w:pos="2887"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Section 2(b) is hereby amended by inserting the following sentence immediately following the end of the third sentence in Section 2(b):</w:t>
      </w:r>
    </w:p>
    <w:p>
      <w:pPr>
        <w:spacing w:after="0" w:line="168" w:lineRule="exact"/>
        <w:rPr>
          <w:sz w:val="20"/>
          <w:szCs w:val="20"/>
          <w:color w:val="auto"/>
        </w:rPr>
      </w:pPr>
    </w:p>
    <w:p>
      <w:pPr>
        <w:jc w:val="both"/>
        <w:ind w:left="752" w:right="1500"/>
        <w:spacing w:after="0" w:line="232" w:lineRule="auto"/>
        <w:rPr>
          <w:sz w:val="20"/>
          <w:szCs w:val="20"/>
          <w:color w:val="auto"/>
        </w:rPr>
      </w:pPr>
      <w:r>
        <w:rPr>
          <w:rFonts w:ascii="Times New Roman" w:cs="Times New Roman" w:eastAsia="Times New Roman" w:hAnsi="Times New Roman"/>
          <w:sz w:val="20"/>
          <w:szCs w:val="20"/>
          <w:color w:val="auto"/>
        </w:rPr>
        <w:t>Subject to the foregoing, as of the Amendment Effective Date and while Executive serves as Interim Chief Executive Officer, the Target Bonus will be sixty percent (60%) of the Base Salary. For the calendar year 2022, the Annual Bonus shall be calculated as follows: (i) for the period during which Executive serves only as Chief Operating Officer, the Target Bonus will be forty percent (40%) of Executive’s actual base salary for the calendar year 2022; and (ii) for the period during which Executive serves as Interim Chief Executive Officer, the Target Bonus will be sixty percent (60%) of an assumed base salary of $600,000.</w:t>
      </w:r>
    </w:p>
    <w:p>
      <w:pPr>
        <w:spacing w:after="0" w:line="192" w:lineRule="exact"/>
        <w:rPr>
          <w:sz w:val="20"/>
          <w:szCs w:val="20"/>
          <w:color w:val="auto"/>
        </w:rPr>
      </w:pPr>
    </w:p>
    <w:p>
      <w:pPr>
        <w:jc w:val="both"/>
        <w:ind w:left="372" w:hanging="372"/>
        <w:spacing w:after="0" w:line="229" w:lineRule="auto"/>
        <w:tabs>
          <w:tab w:leader="none" w:pos="372"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Company and the Executive further agree that this Amendment does not constitute grounds for “Good Reason” pursuant to Section 3(e) of the Executive Agreement, or otherwise constitute any trigger for the Company’s payment of any severance benefits to Executive pursuant to the Executive Agreement. The Company and Executive further agree that Executive’s title of Interim Chief Executive Officer is temporary, and neither the removal of the Interim Chief Executive Officer title, nor the diminution of the interim related duties, will constitute grounds for “Good Reason” pursuant to Section 3(e) of the Executive Agreement.</w:t>
      </w:r>
    </w:p>
    <w:p>
      <w:pPr>
        <w:spacing w:after="0" w:line="1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443865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168" w:name="page169"/>
    <w:bookmarkEnd w:id="168"/>
    <w:p>
      <w:pPr>
        <w:jc w:val="both"/>
        <w:ind w:left="380" w:hanging="372"/>
        <w:spacing w:after="0" w:line="229" w:lineRule="auto"/>
        <w:tabs>
          <w:tab w:leader="none" w:pos="38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 cannot be modified or amended except in writing signed by the Executive and an authorized officer of the Company.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parties have executed this 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 THE</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E</w:t>
      </w:r>
      <w:r>
        <w:rPr>
          <w:rFonts w:ascii="Times New Roman" w:cs="Times New Roman" w:eastAsia="Times New Roman" w:hAnsi="Times New Roman"/>
          <w:sz w:val="13"/>
          <w:szCs w:val="13"/>
          <w:color w:val="auto"/>
        </w:rPr>
        <w:t>MPLOYMENT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 OF</w:t>
      </w:r>
      <w:r>
        <w:rPr>
          <w:rFonts w:ascii="Times New Roman" w:cs="Times New Roman" w:eastAsia="Times New Roman" w:hAnsi="Times New Roman"/>
          <w:sz w:val="20"/>
          <w:szCs w:val="20"/>
          <w:color w:val="auto"/>
        </w:rPr>
        <w:t xml:space="preserve"> D</w:t>
      </w:r>
      <w:r>
        <w:rPr>
          <w:rFonts w:ascii="Times New Roman" w:cs="Times New Roman" w:eastAsia="Times New Roman" w:hAnsi="Times New Roman"/>
          <w:sz w:val="13"/>
          <w:szCs w:val="13"/>
          <w:color w:val="auto"/>
        </w:rPr>
        <w:t>AVID</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3"/>
          <w:szCs w:val="13"/>
          <w:color w:val="auto"/>
        </w:rPr>
        <w:t>ERING</w:t>
      </w:r>
      <w:r>
        <w:rPr>
          <w:rFonts w:ascii="Times New Roman" w:cs="Times New Roman" w:eastAsia="Times New Roman" w:hAnsi="Times New Roman"/>
          <w:sz w:val="20"/>
          <w:szCs w:val="20"/>
          <w:color w:val="auto"/>
        </w:rPr>
        <w:t xml:space="preserve"> on the day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DAGIO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René Russo</w:t>
      </w:r>
    </w:p>
    <w:p>
      <w:pPr>
        <w:ind w:left="4500"/>
        <w:spacing w:after="0" w:line="233" w:lineRule="auto"/>
        <w:rPr>
          <w:sz w:val="20"/>
          <w:szCs w:val="20"/>
          <w:color w:val="auto"/>
        </w:rPr>
      </w:pPr>
      <w:r>
        <w:rPr>
          <w:rFonts w:ascii="Times New Roman" w:cs="Times New Roman" w:eastAsia="Times New Roman" w:hAnsi="Times New Roman"/>
          <w:sz w:val="20"/>
          <w:szCs w:val="20"/>
          <w:color w:val="auto"/>
        </w:rPr>
        <w:t>__________________________________</w:t>
      </w:r>
    </w:p>
    <w:p>
      <w:pPr>
        <w:ind w:left="4500"/>
        <w:spacing w:after="0" w:line="226" w:lineRule="auto"/>
        <w:rPr>
          <w:sz w:val="20"/>
          <w:szCs w:val="20"/>
          <w:color w:val="auto"/>
        </w:rPr>
      </w:pPr>
      <w:r>
        <w:rPr>
          <w:rFonts w:ascii="Times New Roman" w:cs="Times New Roman" w:eastAsia="Times New Roman" w:hAnsi="Times New Roman"/>
          <w:sz w:val="20"/>
          <w:szCs w:val="20"/>
          <w:color w:val="auto"/>
        </w:rPr>
        <w:t>René Russo</w:t>
      </w:r>
    </w:p>
    <w:p>
      <w:pPr>
        <w:ind w:left="4500"/>
        <w:spacing w:after="0"/>
        <w:rPr>
          <w:sz w:val="20"/>
          <w:szCs w:val="20"/>
          <w:color w:val="auto"/>
        </w:rPr>
      </w:pPr>
      <w:r>
        <w:rPr>
          <w:rFonts w:ascii="Times New Roman" w:cs="Times New Roman" w:eastAsia="Times New Roman" w:hAnsi="Times New Roman"/>
          <w:sz w:val="20"/>
          <w:szCs w:val="20"/>
          <w:color w:val="auto"/>
        </w:rPr>
        <w:t>Chairperson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XECUTIVE</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David Hering</w:t>
      </w:r>
    </w:p>
    <w:p>
      <w:pPr>
        <w:ind w:left="4500"/>
        <w:spacing w:after="0" w:line="233" w:lineRule="auto"/>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-15240</wp:posOffset>
            </wp:positionV>
            <wp:extent cx="14446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David Hering</w:t>
      </w:r>
    </w:p>
    <w:p>
      <w:pPr>
        <w:spacing w:after="0" w:line="200" w:lineRule="exact"/>
        <w:rPr>
          <w:sz w:val="20"/>
          <w:szCs w:val="20"/>
          <w:color w:val="auto"/>
        </w:rPr>
      </w:pPr>
    </w:p>
    <w:p>
      <w:pPr>
        <w:spacing w:after="0" w:line="372" w:lineRule="exact"/>
        <w:rPr>
          <w:sz w:val="20"/>
          <w:szCs w:val="20"/>
          <w:color w:val="auto"/>
        </w:rPr>
      </w:pPr>
    </w:p>
    <w:p>
      <w:pPr>
        <w:ind w:right="20"/>
        <w:spacing w:after="0" w:line="349" w:lineRule="auto"/>
        <w:rPr>
          <w:sz w:val="20"/>
          <w:szCs w:val="20"/>
          <w:color w:val="auto"/>
        </w:rPr>
      </w:pPr>
      <w:r>
        <w:rPr>
          <w:rFonts w:ascii="Times New Roman" w:cs="Times New Roman" w:eastAsia="Times New Roman" w:hAnsi="Times New Roman"/>
          <w:sz w:val="20"/>
          <w:szCs w:val="20"/>
          <w:color w:val="auto"/>
        </w:rPr>
        <w:t>I hereby acknowledge and reaffirm my obligations pursuant to the Employee Proprietary Information and Inventions Assignment Agreement. /s/ David Hering</w:t>
      </w:r>
    </w:p>
    <w:p>
      <w:pPr>
        <w:spacing w:after="0" w:line="226" w:lineRule="auto"/>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Hering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3/25/2022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ind w:right="240" w:firstLine="749"/>
        <w:spacing w:after="0" w:line="237"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i w:val="1"/>
          <w:iCs w:val="1"/>
          <w:u w:val="single" w:color="auto"/>
          <w:color w:val="auto"/>
        </w:rPr>
        <w:t>Agreement</w:t>
      </w:r>
      <w:r>
        <w:rPr>
          <w:rFonts w:ascii="Times New Roman" w:cs="Times New Roman" w:eastAsia="Times New Roman" w:hAnsi="Times New Roman"/>
          <w:sz w:val="22"/>
          <w:szCs w:val="22"/>
          <w:color w:val="auto"/>
        </w:rPr>
        <w:t>”) is made between Adagio Therapeutics, Inc., a Delaware corporation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 and Jill Andersen (the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24th</w:t>
      </w:r>
      <w:r>
        <w:rPr>
          <w:rFonts w:ascii="Times New Roman" w:cs="Times New Roman" w:eastAsia="Times New Roman" w:hAnsi="Times New Roman"/>
          <w:sz w:val="22"/>
          <w:szCs w:val="22"/>
          <w:color w:val="auto"/>
        </w:rPr>
        <w:t xml:space="preserve"> day of September 2021.</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for Executive to provide services to the Company, and wishes to provide Executive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compensation and benefits in return for such employment services, and Executive wishes to be employed by the Company and to provide personal services to the Company in return for certain compensation and benefits; and</w:t>
      </w:r>
    </w:p>
    <w:p>
      <w:pPr>
        <w:spacing w:after="0" w:line="167" w:lineRule="exact"/>
        <w:rPr>
          <w:sz w:val="20"/>
          <w:szCs w:val="20"/>
          <w:color w:val="auto"/>
        </w:rPr>
      </w:pPr>
    </w:p>
    <w:p>
      <w:pPr>
        <w:ind w:right="6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desire to enter into this Agreement, effective as of November 1, 2021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u w:val="single" w:color="auto"/>
          <w:color w:val="auto"/>
        </w:rPr>
        <w:t>Effective Date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2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agree as follows:</w:t>
      </w:r>
    </w:p>
    <w:p>
      <w:pPr>
        <w:spacing w:after="0" w:line="154" w:lineRule="exact"/>
        <w:rPr>
          <w:sz w:val="20"/>
          <w:szCs w:val="20"/>
          <w:color w:val="auto"/>
        </w:rPr>
      </w:pPr>
    </w:p>
    <w:p>
      <w:pPr>
        <w:ind w:left="1500" w:hanging="743"/>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60" w:firstLine="1505"/>
        <w:spacing w:after="0" w:line="238" w:lineRule="auto"/>
        <w:tabs>
          <w:tab w:leader="none" w:pos="2995"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b w:val="1"/>
          <w:bCs w:val="1"/>
          <w:i w:val="1"/>
          <w:iCs w:val="1"/>
          <w:u w:val="single" w:color="auto"/>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6"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Executive shall serve as the Chief Legal Officer of the Company and shall have such powers and duties as customarily associated with the office of Chief Legal Officer, and as may from time to time be prescribed by the Chief Executive Officer of the Company (the “</w:t>
      </w:r>
      <w:r>
        <w:rPr>
          <w:rFonts w:ascii="Times New Roman" w:cs="Times New Roman" w:eastAsia="Times New Roman" w:hAnsi="Times New Roman"/>
          <w:sz w:val="22"/>
          <w:szCs w:val="22"/>
          <w:b w:val="1"/>
          <w:bCs w:val="1"/>
          <w:i w:val="1"/>
          <w:iCs w:val="1"/>
          <w:u w:val="single" w:color="auto"/>
          <w:color w:val="auto"/>
        </w:rPr>
        <w:t>CEO</w:t>
      </w:r>
      <w:r>
        <w:rPr>
          <w:rFonts w:ascii="Times New Roman" w:cs="Times New Roman" w:eastAsia="Times New Roman" w:hAnsi="Times New Roman"/>
          <w:sz w:val="22"/>
          <w:szCs w:val="22"/>
          <w:color w:val="auto"/>
        </w:rPr>
        <w:t>”), subject to the direction and control of the CEO. The Executive shall report to the CEO.</w:t>
      </w:r>
    </w:p>
    <w:p>
      <w:pPr>
        <w:spacing w:after="0" w:line="17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Company’s Board of Directors (the “</w:t>
      </w:r>
      <w:r>
        <w:rPr>
          <w:rFonts w:ascii="Times New Roman" w:cs="Times New Roman" w:eastAsia="Times New Roman" w:hAnsi="Times New Roman"/>
          <w:sz w:val="21"/>
          <w:szCs w:val="21"/>
          <w:b w:val="1"/>
          <w:bCs w:val="1"/>
          <w:i w:val="1"/>
          <w:iCs w:val="1"/>
          <w:u w:val="single" w:color="auto"/>
          <w:color w:val="auto"/>
        </w:rPr>
        <w:t>Board</w:t>
      </w:r>
      <w:r>
        <w:rPr>
          <w:rFonts w:ascii="Times New Roman" w:cs="Times New Roman" w:eastAsia="Times New Roman" w:hAnsi="Times New Roman"/>
          <w:sz w:val="21"/>
          <w:szCs w:val="21"/>
          <w:color w:val="auto"/>
        </w:rPr>
        <w:t>”),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pacing w:after="0" w:line="171" w:lineRule="exact"/>
        <w:rPr>
          <w:sz w:val="20"/>
          <w:szCs w:val="20"/>
          <w:color w:val="auto"/>
        </w:rPr>
      </w:pPr>
    </w:p>
    <w:p>
      <w:pPr>
        <w:ind w:firstLine="1505"/>
        <w:spacing w:after="0" w:line="244" w:lineRule="auto"/>
        <w:tabs>
          <w:tab w:leader="none" w:pos="299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Activities</w:t>
      </w:r>
      <w:r>
        <w:rPr>
          <w:rFonts w:ascii="Times New Roman" w:cs="Times New Roman" w:eastAsia="Times New Roman" w:hAnsi="Times New Roman"/>
          <w:sz w:val="22"/>
          <w:szCs w:val="22"/>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36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0" w:name="page171"/>
    <w:bookmarkEnd w:id="170"/>
    <w:p>
      <w:pPr>
        <w:ind w:right="40"/>
        <w:spacing w:after="0" w:line="235" w:lineRule="auto"/>
        <w:rPr>
          <w:sz w:val="20"/>
          <w:szCs w:val="20"/>
          <w:color w:val="auto"/>
        </w:rPr>
      </w:pPr>
      <w:r>
        <w:rPr>
          <w:rFonts w:ascii="Times New Roman" w:cs="Times New Roman" w:eastAsia="Times New Roman" w:hAnsi="Times New Roman"/>
          <w:sz w:val="22"/>
          <w:szCs w:val="22"/>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8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The Executive may retain any compensation or benefits received as a result of consented to service as a director without any offset in respect of any compensation or benefits to be provided hereunder.</w:t>
      </w:r>
    </w:p>
    <w:p>
      <w:pPr>
        <w:spacing w:after="0" w:line="158" w:lineRule="exact"/>
        <w:rPr>
          <w:sz w:val="20"/>
          <w:szCs w:val="20"/>
          <w:color w:val="auto"/>
        </w:rPr>
      </w:pPr>
    </w:p>
    <w:p>
      <w:pPr>
        <w:ind w:right="240" w:firstLine="757"/>
        <w:spacing w:after="0" w:line="258" w:lineRule="auto"/>
        <w:tabs>
          <w:tab w:leader="none" w:pos="149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 This Section 2 sets forth the compensation and benefits to be provided to the Executive during the Term.</w:t>
      </w:r>
    </w:p>
    <w:p>
      <w:pPr>
        <w:spacing w:after="0" w:line="158" w:lineRule="exact"/>
        <w:rPr>
          <w:rFonts w:ascii="Times New Roman" w:cs="Times New Roman" w:eastAsia="Times New Roman" w:hAnsi="Times New Roman"/>
          <w:sz w:val="22"/>
          <w:szCs w:val="22"/>
          <w:color w:val="auto"/>
        </w:rPr>
      </w:pPr>
    </w:p>
    <w:p>
      <w:pPr>
        <w:ind w:right="100" w:firstLine="1505"/>
        <w:spacing w:after="0" w:line="236" w:lineRule="auto"/>
        <w:tabs>
          <w:tab w:leader="none" w:pos="29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 will continue to pay Executive, as compensation for the performance of the Executive’s duties and obligations hereunder, salary at the rate of $400,000 per year. The Executive’s salary shall be subject to annual review not later than March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of each year for possible increase by the Board or the Compensation Committee of the Board (the “</w:t>
      </w:r>
      <w:r>
        <w:rPr>
          <w:rFonts w:ascii="Times New Roman" w:cs="Times New Roman" w:eastAsia="Times New Roman" w:hAnsi="Times New Roman"/>
          <w:sz w:val="22"/>
          <w:szCs w:val="22"/>
          <w:b w:val="1"/>
          <w:bCs w:val="1"/>
          <w:i w:val="1"/>
          <w:iCs w:val="1"/>
          <w:u w:val="single" w:color="auto"/>
          <w:color w:val="auto"/>
        </w:rPr>
        <w:t>Compensation Committee</w:t>
      </w:r>
      <w:r>
        <w:rPr>
          <w:rFonts w:ascii="Times New Roman" w:cs="Times New Roman" w:eastAsia="Times New Roman" w:hAnsi="Times New Roman"/>
          <w:sz w:val="22"/>
          <w:szCs w:val="22"/>
          <w:color w:val="auto"/>
        </w:rPr>
        <w:t>”), which may be adjusted from time to time. The base salary in effect at any given time is referred to herein as “</w:t>
      </w:r>
      <w:r>
        <w:rPr>
          <w:rFonts w:ascii="Times New Roman" w:cs="Times New Roman" w:eastAsia="Times New Roman" w:hAnsi="Times New Roman"/>
          <w:sz w:val="22"/>
          <w:szCs w:val="22"/>
          <w:b w:val="1"/>
          <w:bCs w:val="1"/>
          <w:i w:val="1"/>
          <w:iCs w:val="1"/>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81" w:lineRule="exact"/>
        <w:rPr>
          <w:rFonts w:ascii="Times New Roman" w:cs="Times New Roman" w:eastAsia="Times New Roman" w:hAnsi="Times New Roman"/>
          <w:sz w:val="22"/>
          <w:szCs w:val="22"/>
          <w:color w:val="auto"/>
        </w:rPr>
      </w:pPr>
    </w:p>
    <w:p>
      <w:pPr>
        <w:ind w:firstLine="1505"/>
        <w:spacing w:after="0" w:line="233" w:lineRule="auto"/>
        <w:tabs>
          <w:tab w:leader="none" w:pos="29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participate in an annual cash incentive compensation plan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The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The Executive’s target Annual Bonus will be forty percent (40%)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 For the calendar year 2021, no pro-rated Annual Bonus shall be provided.</w:t>
      </w:r>
    </w:p>
    <w:p>
      <w:pPr>
        <w:spacing w:after="0" w:line="187" w:lineRule="exact"/>
        <w:rPr>
          <w:rFonts w:ascii="Times New Roman" w:cs="Times New Roman" w:eastAsia="Times New Roman" w:hAnsi="Times New Roman"/>
          <w:sz w:val="22"/>
          <w:szCs w:val="22"/>
          <w:color w:val="auto"/>
        </w:rPr>
      </w:pPr>
    </w:p>
    <w:p>
      <w:pPr>
        <w:jc w:val="both"/>
        <w:ind w:right="220" w:firstLine="1505"/>
        <w:spacing w:after="0" w:line="238" w:lineRule="auto"/>
        <w:tabs>
          <w:tab w:leader="none" w:pos="29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Subject to approval by the Board (or any authorized committee thereof), the Company shall grant the Executive an option (the “</w:t>
      </w:r>
      <w:r>
        <w:rPr>
          <w:rFonts w:ascii="Times New Roman" w:cs="Times New Roman" w:eastAsia="Times New Roman" w:hAnsi="Times New Roman"/>
          <w:sz w:val="22"/>
          <w:szCs w:val="22"/>
          <w:b w:val="1"/>
          <w:bCs w:val="1"/>
          <w:i w:val="1"/>
          <w:iCs w:val="1"/>
          <w:u w:val="single" w:color="auto"/>
          <w:color w:val="auto"/>
        </w:rPr>
        <w:t>Option</w:t>
      </w:r>
      <w:r>
        <w:rPr>
          <w:rFonts w:ascii="Times New Roman" w:cs="Times New Roman" w:eastAsia="Times New Roman" w:hAnsi="Times New Roman"/>
          <w:sz w:val="22"/>
          <w:szCs w:val="22"/>
          <w:color w:val="auto"/>
        </w:rPr>
        <w:t>”) to purchase 514,863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Times New Roman" w:cs="Times New Roman" w:eastAsia="Times New Roman" w:hAnsi="Times New Roman"/>
          <w:sz w:val="22"/>
          <w:szCs w:val="22"/>
          <w:b w:val="1"/>
          <w:bCs w:val="1"/>
          <w:i w:val="1"/>
          <w:iCs w:val="1"/>
          <w:u w:val="single" w:color="auto"/>
          <w:color w:val="auto"/>
        </w:rPr>
        <w:t>Plan</w:t>
      </w:r>
      <w:r>
        <w:rPr>
          <w:rFonts w:ascii="Times New Roman" w:cs="Times New Roman" w:eastAsia="Times New Roman" w:hAnsi="Times New Roman"/>
          <w:sz w:val="22"/>
          <w:szCs w:val="22"/>
          <w:color w:val="auto"/>
        </w:rPr>
        <w:t>”) and the applicable stock option grant notice and stock</w:t>
      </w:r>
    </w:p>
    <w:p>
      <w:pPr>
        <w:spacing w:after="0" w:line="16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1" w:name="page172"/>
    <w:bookmarkEnd w:id="171"/>
    <w:p>
      <w:pPr>
        <w:spacing w:after="0" w:line="246" w:lineRule="auto"/>
        <w:rPr>
          <w:sz w:val="20"/>
          <w:szCs w:val="20"/>
          <w:color w:val="auto"/>
        </w:rPr>
      </w:pPr>
      <w:r>
        <w:rPr>
          <w:rFonts w:ascii="Times New Roman" w:cs="Times New Roman" w:eastAsia="Times New Roman" w:hAnsi="Times New Roman"/>
          <w:sz w:val="21"/>
          <w:szCs w:val="21"/>
          <w:color w:val="auto"/>
        </w:rPr>
        <w:t>option agreement to be provided to Executive (together with the Plan, the “</w:t>
      </w:r>
      <w:r>
        <w:rPr>
          <w:rFonts w:ascii="Times New Roman" w:cs="Times New Roman" w:eastAsia="Times New Roman" w:hAnsi="Times New Roman"/>
          <w:sz w:val="21"/>
          <w:szCs w:val="21"/>
          <w:b w:val="1"/>
          <w:bCs w:val="1"/>
          <w:i w:val="1"/>
          <w:iCs w:val="1"/>
          <w:u w:val="single" w:color="auto"/>
          <w:color w:val="auto"/>
        </w:rPr>
        <w:t>Equity Documents</w:t>
      </w:r>
      <w:r>
        <w:rPr>
          <w:rFonts w:ascii="Times New Roman" w:cs="Times New Roman" w:eastAsia="Times New Roman" w:hAnsi="Times New Roman"/>
          <w:sz w:val="21"/>
          <w:szCs w:val="21"/>
          <w:color w:val="auto"/>
        </w:rPr>
        <w:t>”); provided, however, and notwithstanding anything to the contrary in the Equity Documents, Section 5 and Section 6 of this Agreement, as applicable, shall apply in the event of a termination by the Company without Cause or by the Executive for Good Reason (as such terms are defined below). Except as otherwise provided in this Agreement, the Option will vest subject to the terms and conditions of the Equity Documents, with 25% of the shares subject to the Option vesting upon the first anniversary of the Effective Date and the remaining 75% of the shares subject to the Option vesting over the subsequent 3-year period in substantially equal monthly installments at a rate of 1/48th of the total shares subject to the Option each month, subject to the Executive’s continuous service to the Company as of each such vesting date. Notwithstanding anything to the contrary in the Equity Documents, the definition of “Cause” provided in Section 3(c) of this Agreement shall apply to the Equity Documents and to any future equity awards that may be granted to the Executive in lieu of any definition of “Cause” provided under the applicable equity award documents.</w:t>
      </w:r>
    </w:p>
    <w:p>
      <w:pPr>
        <w:spacing w:after="0" w:line="175" w:lineRule="exact"/>
        <w:rPr>
          <w:sz w:val="20"/>
          <w:szCs w:val="20"/>
          <w:color w:val="auto"/>
        </w:rPr>
      </w:pPr>
    </w:p>
    <w:p>
      <w:pPr>
        <w:ind w:right="220" w:firstLine="1505"/>
        <w:spacing w:after="0" w:line="238" w:lineRule="auto"/>
        <w:tabs>
          <w:tab w:leader="none" w:pos="299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76"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Company’s employee benefit plans in effect from time to time, subject to the terms of such plans.</w:t>
      </w:r>
    </w:p>
    <w:p>
      <w:pPr>
        <w:spacing w:after="0" w:line="182" w:lineRule="exact"/>
        <w:rPr>
          <w:sz w:val="20"/>
          <w:szCs w:val="20"/>
          <w:color w:val="auto"/>
        </w:rPr>
      </w:pPr>
    </w:p>
    <w:p>
      <w:pPr>
        <w:ind w:right="36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for executives, as may be in effect from time to time.</w:t>
      </w:r>
    </w:p>
    <w:p>
      <w:pPr>
        <w:spacing w:after="0" w:line="158" w:lineRule="exact"/>
        <w:rPr>
          <w:sz w:val="20"/>
          <w:szCs w:val="20"/>
          <w:color w:val="auto"/>
        </w:rPr>
      </w:pPr>
    </w:p>
    <w:p>
      <w:pPr>
        <w:ind w:right="460" w:firstLine="1505"/>
        <w:spacing w:after="0" w:line="258" w:lineRule="auto"/>
        <w:tabs>
          <w:tab w:leader="none" w:pos="299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The Executive shall be subject to the Company’s Executive Stock Ownership Guidelines while providing services under this Agreement.</w:t>
      </w:r>
    </w:p>
    <w:p>
      <w:pPr>
        <w:spacing w:after="0" w:line="158" w:lineRule="exact"/>
        <w:rPr>
          <w:rFonts w:ascii="Times New Roman" w:cs="Times New Roman" w:eastAsia="Times New Roman" w:hAnsi="Times New Roman"/>
          <w:sz w:val="22"/>
          <w:szCs w:val="22"/>
          <w:color w:val="auto"/>
        </w:rPr>
      </w:pPr>
    </w:p>
    <w:p>
      <w:pPr>
        <w:ind w:right="80" w:firstLine="1505"/>
        <w:spacing w:after="0" w:line="251" w:lineRule="auto"/>
        <w:tabs>
          <w:tab w:leader="none" w:pos="299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Equity Awards upon a Change in Control</w:t>
      </w:r>
      <w:r>
        <w:rPr>
          <w:rFonts w:ascii="Times New Roman" w:cs="Times New Roman" w:eastAsia="Times New Roman" w:hAnsi="Times New Roman"/>
          <w:sz w:val="21"/>
          <w:szCs w:val="21"/>
          <w:color w:val="auto"/>
        </w:rPr>
        <w:t>. The following provisions shall apply to any award granted under the Plan or any other plan, agreement or arrangement based on the value of a share of the Company’s common stock on or after the Effective Date (collectively, the “</w:t>
      </w:r>
      <w:r>
        <w:rPr>
          <w:rFonts w:ascii="Times New Roman" w:cs="Times New Roman" w:eastAsia="Times New Roman" w:hAnsi="Times New Roman"/>
          <w:sz w:val="21"/>
          <w:szCs w:val="21"/>
          <w:b w:val="1"/>
          <w:bCs w:val="1"/>
          <w:i w:val="1"/>
          <w:iCs w:val="1"/>
          <w:u w:val="single" w:color="auto"/>
          <w:color w:val="auto"/>
        </w:rPr>
        <w:t>Equity Awards</w:t>
      </w:r>
      <w:r>
        <w:rPr>
          <w:rFonts w:ascii="Times New Roman" w:cs="Times New Roman" w:eastAsia="Times New Roman" w:hAnsi="Times New Roman"/>
          <w:sz w:val="21"/>
          <w:szCs w:val="21"/>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168" w:lineRule="exact"/>
        <w:rPr>
          <w:sz w:val="20"/>
          <w:szCs w:val="20"/>
          <w:color w:val="auto"/>
        </w:rPr>
      </w:pPr>
    </w:p>
    <w:p>
      <w:pPr>
        <w:ind w:left="760" w:right="520" w:firstLine="1497"/>
        <w:spacing w:after="0" w:line="244" w:lineRule="auto"/>
        <w:rPr>
          <w:sz w:val="20"/>
          <w:szCs w:val="20"/>
          <w:color w:val="auto"/>
        </w:rPr>
      </w:pPr>
      <w:r>
        <w:rPr>
          <w:rFonts w:ascii="Times New Roman" w:cs="Times New Roman" w:eastAsia="Times New Roman" w:hAnsi="Times New Roman"/>
          <w:sz w:val="22"/>
          <w:szCs w:val="22"/>
          <w:color w:val="auto"/>
        </w:rPr>
        <w:t>(i) 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cs="Times New Roman" w:eastAsia="Times New Roman" w:hAnsi="Times New Roman"/>
          <w:sz w:val="22"/>
          <w:szCs w:val="22"/>
          <w:b w:val="1"/>
          <w:bCs w:val="1"/>
          <w:i w:val="1"/>
          <w:iCs w:val="1"/>
          <w:u w:val="single" w:color="auto"/>
          <w:color w:val="auto"/>
        </w:rPr>
        <w:t>Time-Based</w:t>
      </w:r>
    </w:p>
    <w:p>
      <w:pPr>
        <w:spacing w:after="0" w:line="36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2" w:name="page173"/>
    <w:bookmarkEnd w:id="172"/>
    <w:p>
      <w:pPr>
        <w:ind w:left="540"/>
        <w:spacing w:after="0" w:line="262"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Equity Awards</w:t>
      </w:r>
      <w:r>
        <w:rPr>
          <w:rFonts w:ascii="Times New Roman" w:cs="Times New Roman" w:eastAsia="Times New Roman" w:hAnsi="Times New Roman"/>
          <w:sz w:val="22"/>
          <w:szCs w:val="22"/>
          <w:color w:val="auto"/>
        </w:rPr>
        <w:t>”) shall not immediately accelerate and become fully vested and exercisable or non-forfeitable on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Change in Control, and</w:t>
      </w:r>
    </w:p>
    <w:p>
      <w:pPr>
        <w:spacing w:after="0" w:line="154" w:lineRule="exact"/>
        <w:rPr>
          <w:sz w:val="20"/>
          <w:szCs w:val="20"/>
          <w:color w:val="auto"/>
        </w:rPr>
      </w:pPr>
    </w:p>
    <w:p>
      <w:pPr>
        <w:jc w:val="both"/>
        <w:ind w:left="280" w:right="60" w:firstLine="1497"/>
        <w:spacing w:after="0" w:line="244" w:lineRule="auto"/>
        <w:rPr>
          <w:sz w:val="20"/>
          <w:szCs w:val="20"/>
          <w:color w:val="auto"/>
        </w:rPr>
      </w:pPr>
      <w:r>
        <w:rPr>
          <w:rFonts w:ascii="Times New Roman" w:cs="Times New Roman" w:eastAsia="Times New Roman" w:hAnsi="Times New Roman"/>
          <w:sz w:val="22"/>
          <w:szCs w:val="22"/>
          <w:color w:val="auto"/>
        </w:rPr>
        <w:t>(ii) all other Equity Awards, including but not limited to performance stock units vesting based on achieving pre-established performance goals (collectively, the “</w:t>
      </w:r>
      <w:r>
        <w:rPr>
          <w:rFonts w:ascii="Times New Roman" w:cs="Times New Roman" w:eastAsia="Times New Roman" w:hAnsi="Times New Roman"/>
          <w:sz w:val="22"/>
          <w:szCs w:val="22"/>
          <w:b w:val="1"/>
          <w:bCs w:val="1"/>
          <w:i w:val="1"/>
          <w:iCs w:val="1"/>
          <w:u w:val="single" w:color="auto"/>
          <w:color w:val="auto"/>
        </w:rPr>
        <w:t>Performance-Based Equity Awards</w:t>
      </w:r>
      <w:r>
        <w:rPr>
          <w:rFonts w:ascii="Times New Roman" w:cs="Times New Roman" w:eastAsia="Times New Roman" w:hAnsi="Times New Roman"/>
          <w:sz w:val="22"/>
          <w:szCs w:val="22"/>
          <w:color w:val="auto"/>
        </w:rPr>
        <w:t>”) shall be governed by the terms of the Plan and the applicable award agreement.</w:t>
      </w:r>
    </w:p>
    <w:p>
      <w:pPr>
        <w:spacing w:after="0" w:line="173" w:lineRule="exact"/>
        <w:rPr>
          <w:sz w:val="20"/>
          <w:szCs w:val="20"/>
          <w:color w:val="auto"/>
        </w:rPr>
      </w:pPr>
    </w:p>
    <w:p>
      <w:pPr>
        <w:ind w:left="-480" w:right="40" w:firstLine="757"/>
        <w:spacing w:after="0" w:line="258" w:lineRule="auto"/>
        <w:tabs>
          <w:tab w:leader="none" w:pos="101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hereunder may be terminated without any breach of this Agreement under the following circumstances:</w:t>
      </w:r>
    </w:p>
    <w:p>
      <w:pPr>
        <w:spacing w:after="0" w:line="158" w:lineRule="exact"/>
        <w:rPr>
          <w:rFonts w:ascii="Times New Roman" w:cs="Times New Roman" w:eastAsia="Times New Roman" w:hAnsi="Times New Roman"/>
          <w:sz w:val="22"/>
          <w:szCs w:val="22"/>
          <w:color w:val="auto"/>
        </w:rPr>
      </w:pPr>
    </w:p>
    <w:p>
      <w:pPr>
        <w:ind w:left="2520" w:hanging="1495"/>
        <w:spacing w:after="0"/>
        <w:tabs>
          <w:tab w:leader="none" w:pos="252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death.</w:t>
      </w:r>
    </w:p>
    <w:p>
      <w:pPr>
        <w:spacing w:after="0" w:line="206" w:lineRule="exact"/>
        <w:rPr>
          <w:rFonts w:ascii="Times New Roman" w:cs="Times New Roman" w:eastAsia="Times New Roman" w:hAnsi="Times New Roman"/>
          <w:sz w:val="22"/>
          <w:szCs w:val="22"/>
          <w:color w:val="auto"/>
        </w:rPr>
      </w:pPr>
    </w:p>
    <w:p>
      <w:pPr>
        <w:ind w:left="-480" w:firstLine="1505"/>
        <w:spacing w:after="0" w:line="244" w:lineRule="auto"/>
        <w:tabs>
          <w:tab w:leader="none" w:pos="2515"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the Americans with Disabilities Act, 42 U.S.C. §12101 </w:t>
      </w:r>
      <w:r>
        <w:rPr>
          <w:rFonts w:ascii="Times New Roman" w:cs="Times New Roman" w:eastAsia="Times New Roman" w:hAnsi="Times New Roman"/>
          <w:sz w:val="21"/>
          <w:szCs w:val="21"/>
          <w:i w:val="1"/>
          <w:iCs w:val="1"/>
          <w:color w:val="auto"/>
        </w:rPr>
        <w:t>et seq.</w:t>
      </w:r>
    </w:p>
    <w:p>
      <w:pPr>
        <w:spacing w:after="0" w:line="183" w:lineRule="exact"/>
        <w:rPr>
          <w:rFonts w:ascii="Times New Roman" w:cs="Times New Roman" w:eastAsia="Times New Roman" w:hAnsi="Times New Roman"/>
          <w:sz w:val="21"/>
          <w:szCs w:val="21"/>
          <w:color w:val="auto"/>
        </w:rPr>
      </w:pPr>
    </w:p>
    <w:p>
      <w:pPr>
        <w:ind w:left="-480" w:right="700" w:firstLine="1505"/>
        <w:spacing w:after="0" w:line="282" w:lineRule="auto"/>
        <w:tabs>
          <w:tab w:leader="none" w:pos="2515"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w:t>
      </w:r>
      <w:r>
        <w:rPr>
          <w:rFonts w:ascii="Times New Roman" w:cs="Times New Roman" w:eastAsia="Times New Roman" w:hAnsi="Times New Roman"/>
          <w:sz w:val="21"/>
          <w:szCs w:val="21"/>
          <w:color w:val="auto"/>
        </w:rPr>
        <w:t>. The Company may terminate the Executive’s employment hereunder for Cause. For purposes of this Agreement, “</w:t>
      </w:r>
      <w:r>
        <w:rPr>
          <w:rFonts w:ascii="Times New Roman" w:cs="Times New Roman" w:eastAsia="Times New Roman" w:hAnsi="Times New Roman"/>
          <w:sz w:val="21"/>
          <w:szCs w:val="21"/>
          <w:b w:val="1"/>
          <w:bCs w:val="1"/>
          <w:i w:val="1"/>
          <w:iCs w:val="1"/>
          <w:u w:val="single" w:color="auto"/>
          <w:color w:val="auto"/>
        </w:rPr>
        <w:t>Cause</w:t>
      </w:r>
      <w:r>
        <w:rPr>
          <w:rFonts w:ascii="Times New Roman" w:cs="Times New Roman" w:eastAsia="Times New Roman" w:hAnsi="Times New Roman"/>
          <w:sz w:val="21"/>
          <w:szCs w:val="21"/>
          <w:color w:val="auto"/>
        </w:rPr>
        <w:t>” shall mean any of the following:</w:t>
      </w:r>
    </w:p>
    <w:p>
      <w:pPr>
        <w:spacing w:after="0" w:line="134" w:lineRule="exact"/>
        <w:rPr>
          <w:rFonts w:ascii="Times New Roman" w:cs="Times New Roman" w:eastAsia="Times New Roman" w:hAnsi="Times New Roman"/>
          <w:sz w:val="21"/>
          <w:szCs w:val="21"/>
          <w:color w:val="auto"/>
        </w:rPr>
      </w:pPr>
    </w:p>
    <w:p>
      <w:pPr>
        <w:jc w:val="both"/>
        <w:ind w:left="1020" w:right="140" w:firstLine="754"/>
        <w:spacing w:after="0" w:line="239" w:lineRule="auto"/>
        <w:tabs>
          <w:tab w:leader="none" w:pos="2517"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180" w:lineRule="exact"/>
        <w:rPr>
          <w:rFonts w:ascii="Times New Roman" w:cs="Times New Roman" w:eastAsia="Times New Roman" w:hAnsi="Times New Roman"/>
          <w:sz w:val="22"/>
          <w:szCs w:val="22"/>
          <w:color w:val="auto"/>
        </w:rPr>
      </w:pPr>
    </w:p>
    <w:p>
      <w:pPr>
        <w:ind w:left="1020" w:right="20" w:firstLine="754"/>
        <w:spacing w:after="0" w:line="261" w:lineRule="auto"/>
        <w:tabs>
          <w:tab w:leader="none" w:pos="2517" w:val="left"/>
        </w:tabs>
        <w:numPr>
          <w:ilvl w:val="2"/>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58420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00" w:top="108" w:right="379" w:bottom="1440" w:gutter="0" w:footer="0" w:header="0"/>
        </w:sectPr>
      </w:pPr>
    </w:p>
    <w:bookmarkStart w:id="173" w:name="page174"/>
    <w:bookmarkEnd w:id="173"/>
    <w:p>
      <w:pPr>
        <w:ind w:left="1500" w:firstLine="754"/>
        <w:spacing w:after="0" w:line="236" w:lineRule="auto"/>
        <w:tabs>
          <w:tab w:leader="none" w:pos="299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182" w:lineRule="exact"/>
        <w:rPr>
          <w:rFonts w:ascii="Times New Roman" w:cs="Times New Roman" w:eastAsia="Times New Roman" w:hAnsi="Times New Roman"/>
          <w:sz w:val="22"/>
          <w:szCs w:val="22"/>
          <w:color w:val="auto"/>
        </w:rPr>
      </w:pPr>
    </w:p>
    <w:p>
      <w:pPr>
        <w:ind w:left="1500" w:right="520" w:firstLine="754"/>
        <w:spacing w:after="0" w:line="258" w:lineRule="auto"/>
        <w:tabs>
          <w:tab w:leader="none" w:pos="299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fraud, embezzlement or material misappropriation committed by the Executive against the Company (other than good faith expense account disputes);</w:t>
      </w:r>
    </w:p>
    <w:p>
      <w:pPr>
        <w:spacing w:after="0" w:line="158" w:lineRule="exact"/>
        <w:rPr>
          <w:rFonts w:ascii="Times New Roman" w:cs="Times New Roman" w:eastAsia="Times New Roman" w:hAnsi="Times New Roman"/>
          <w:sz w:val="22"/>
          <w:szCs w:val="22"/>
          <w:color w:val="auto"/>
        </w:rPr>
      </w:pPr>
    </w:p>
    <w:p>
      <w:pPr>
        <w:ind w:left="1500" w:right="80" w:firstLine="754"/>
        <w:spacing w:after="0" w:line="282" w:lineRule="auto"/>
        <w:tabs>
          <w:tab w:leader="none" w:pos="2997"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willful engaging by the Executive in any act that brings the Company into public disrepute or disgrace or causes material harm to the customer relations, operations or business prospects of the Company; or</w:t>
      </w:r>
    </w:p>
    <w:p>
      <w:pPr>
        <w:spacing w:after="0" w:line="134" w:lineRule="exact"/>
        <w:rPr>
          <w:rFonts w:ascii="Times New Roman" w:cs="Times New Roman" w:eastAsia="Times New Roman" w:hAnsi="Times New Roman"/>
          <w:sz w:val="21"/>
          <w:szCs w:val="21"/>
          <w:color w:val="auto"/>
        </w:rPr>
      </w:pPr>
    </w:p>
    <w:p>
      <w:pPr>
        <w:ind w:left="1500" w:right="80" w:firstLine="754"/>
        <w:spacing w:after="0" w:line="238" w:lineRule="auto"/>
        <w:tabs>
          <w:tab w:leader="none" w:pos="299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7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1"/>
          <w:szCs w:val="21"/>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5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4" w:name="page175"/>
    <w:bookmarkEnd w:id="174"/>
    <w:p>
      <w:pPr>
        <w:ind w:left="-440" w:right="200" w:firstLine="1505"/>
        <w:spacing w:after="0"/>
        <w:tabs>
          <w:tab w:leader="none" w:pos="25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176" w:lineRule="exact"/>
        <w:rPr>
          <w:rFonts w:ascii="Times New Roman" w:cs="Times New Roman" w:eastAsia="Times New Roman" w:hAnsi="Times New Roman"/>
          <w:sz w:val="22"/>
          <w:szCs w:val="22"/>
          <w:color w:val="auto"/>
        </w:rPr>
      </w:pPr>
    </w:p>
    <w:p>
      <w:pPr>
        <w:ind w:left="-440" w:right="60" w:firstLine="1505"/>
        <w:spacing w:after="0" w:line="239" w:lineRule="auto"/>
        <w:tabs>
          <w:tab w:leader="none" w:pos="25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b w:val="1"/>
          <w:bCs w:val="1"/>
          <w:i w:val="1"/>
          <w:iCs w:val="1"/>
          <w:u w:val="single" w:color="auto"/>
          <w:color w:val="auto"/>
        </w:rPr>
        <w:t>Good Reason</w:t>
      </w:r>
      <w:r>
        <w:rPr>
          <w:rFonts w:ascii="Times New Roman" w:cs="Times New Roman" w:eastAsia="Times New Roman" w:hAnsi="Times New Roman"/>
          <w:sz w:val="22"/>
          <w:szCs w:val="22"/>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22"/>
          <w:szCs w:val="22"/>
          <w:b w:val="1"/>
          <w:bCs w:val="1"/>
          <w:i w:val="1"/>
          <w:iCs w:val="1"/>
          <w:u w:val="single" w:color="auto"/>
          <w:color w:val="auto"/>
        </w:rPr>
        <w:t>Good Reason Condition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060" w:right="80" w:firstLine="754"/>
        <w:spacing w:after="0" w:line="282" w:lineRule="auto"/>
        <w:tabs>
          <w:tab w:leader="none" w:pos="2557"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Executive’s title, responsibilities, authority or duties; or a material reduction in the authority, duties, or responsibilities of the CEO to whom the Executive is required to report;</w:t>
      </w:r>
    </w:p>
    <w:p>
      <w:pPr>
        <w:spacing w:after="0" w:line="134" w:lineRule="exact"/>
        <w:rPr>
          <w:rFonts w:ascii="Times New Roman" w:cs="Times New Roman" w:eastAsia="Times New Roman" w:hAnsi="Times New Roman"/>
          <w:sz w:val="21"/>
          <w:szCs w:val="21"/>
          <w:color w:val="auto"/>
        </w:rPr>
      </w:pPr>
    </w:p>
    <w:p>
      <w:pPr>
        <w:ind w:left="1060" w:right="60" w:firstLine="754"/>
        <w:spacing w:after="0" w:line="239" w:lineRule="auto"/>
        <w:tabs>
          <w:tab w:leader="none" w:pos="255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following which either: (A) there is a material reduction in the budget over which the Executive retains authority or (B) the Executive is not Chief Legal Officer of the Company or, if the Company becomes a subsidiary of one or more entities following the Change in Control, the post-consummation ultimate parent entity of the Company; or</w:t>
      </w:r>
    </w:p>
    <w:p>
      <w:pPr>
        <w:spacing w:after="0" w:line="180" w:lineRule="exact"/>
        <w:rPr>
          <w:rFonts w:ascii="Times New Roman" w:cs="Times New Roman" w:eastAsia="Times New Roman" w:hAnsi="Times New Roman"/>
          <w:sz w:val="22"/>
          <w:szCs w:val="22"/>
          <w:color w:val="auto"/>
        </w:rPr>
      </w:pPr>
    </w:p>
    <w:p>
      <w:pPr>
        <w:ind w:left="1060" w:firstLine="754"/>
        <w:spacing w:after="0" w:line="235" w:lineRule="auto"/>
        <w:tabs>
          <w:tab w:leader="none" w:pos="261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177" w:lineRule="exact"/>
        <w:rPr>
          <w:sz w:val="20"/>
          <w:szCs w:val="20"/>
          <w:color w:val="auto"/>
        </w:rPr>
      </w:pPr>
    </w:p>
    <w:p>
      <w:pPr>
        <w:ind w:left="1060"/>
        <w:spacing w:after="0"/>
        <w:tabs>
          <w:tab w:leader="none" w:pos="25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12" w:lineRule="exact"/>
        <w:rPr>
          <w:sz w:val="20"/>
          <w:szCs w:val="20"/>
          <w:color w:val="auto"/>
        </w:rPr>
      </w:pPr>
    </w:p>
    <w:p>
      <w:pPr>
        <w:ind w:left="2560" w:hanging="746"/>
        <w:spacing w:after="0"/>
        <w:tabs>
          <w:tab w:leader="none" w:pos="25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reasonably determines in good faith that a Good Reason Condition has occurred;</w:t>
      </w:r>
    </w:p>
    <w:p>
      <w:pPr>
        <w:spacing w:after="0" w:line="217" w:lineRule="exact"/>
        <w:rPr>
          <w:rFonts w:ascii="Times New Roman" w:cs="Times New Roman" w:eastAsia="Times New Roman" w:hAnsi="Times New Roman"/>
          <w:sz w:val="21"/>
          <w:szCs w:val="21"/>
          <w:color w:val="auto"/>
        </w:rPr>
      </w:pPr>
    </w:p>
    <w:p>
      <w:pPr>
        <w:ind w:left="1060" w:right="460" w:firstLine="754"/>
        <w:spacing w:after="0" w:line="258" w:lineRule="auto"/>
        <w:tabs>
          <w:tab w:leader="none" w:pos="261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notifies the Company in writing of the first occurrence of the Good Reason Condition within sixty (60) days of the first occurrence of such condition;</w:t>
      </w:r>
    </w:p>
    <w:p>
      <w:pPr>
        <w:spacing w:after="0" w:line="158" w:lineRule="exact"/>
        <w:rPr>
          <w:rFonts w:ascii="Times New Roman" w:cs="Times New Roman" w:eastAsia="Times New Roman" w:hAnsi="Times New Roman"/>
          <w:sz w:val="22"/>
          <w:szCs w:val="22"/>
          <w:color w:val="auto"/>
        </w:rPr>
      </w:pPr>
    </w:p>
    <w:p>
      <w:pPr>
        <w:ind w:left="1060" w:right="20" w:firstLine="754"/>
        <w:spacing w:after="0" w:line="258" w:lineRule="auto"/>
        <w:tabs>
          <w:tab w:leader="none" w:pos="255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cooperates in good faith with the Company’s efforts, for a period of not less than thirty (30) days following such notice (the “</w:t>
      </w:r>
      <w:r>
        <w:rPr>
          <w:rFonts w:ascii="Times New Roman" w:cs="Times New Roman" w:eastAsia="Times New Roman" w:hAnsi="Times New Roman"/>
          <w:sz w:val="22"/>
          <w:szCs w:val="22"/>
          <w:b w:val="1"/>
          <w:bCs w:val="1"/>
          <w:i w:val="1"/>
          <w:iCs w:val="1"/>
          <w:u w:val="single" w:color="auto"/>
          <w:color w:val="auto"/>
        </w:rPr>
        <w:t>Cure Period</w:t>
      </w:r>
      <w:r>
        <w:rPr>
          <w:rFonts w:ascii="Times New Roman" w:cs="Times New Roman" w:eastAsia="Times New Roman" w:hAnsi="Times New Roman"/>
          <w:sz w:val="22"/>
          <w:szCs w:val="22"/>
          <w:color w:val="auto"/>
        </w:rPr>
        <w:t>”), to remedy the Good Reason Condition;</w:t>
      </w:r>
    </w:p>
    <w:p>
      <w:pPr>
        <w:spacing w:after="0" w:line="158" w:lineRule="exact"/>
        <w:rPr>
          <w:rFonts w:ascii="Times New Roman" w:cs="Times New Roman" w:eastAsia="Times New Roman" w:hAnsi="Times New Roman"/>
          <w:sz w:val="22"/>
          <w:szCs w:val="22"/>
          <w:color w:val="auto"/>
        </w:rPr>
      </w:pPr>
    </w:p>
    <w:p>
      <w:pPr>
        <w:ind w:left="2560" w:hanging="746"/>
        <w:spacing w:after="0"/>
        <w:tabs>
          <w:tab w:leader="none" w:pos="2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at the end of the</w:t>
      </w:r>
    </w:p>
    <w:p>
      <w:pPr>
        <w:spacing w:after="0" w:line="14"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Period; and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58420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12" w:right="339" w:bottom="1440" w:gutter="0" w:footer="0" w:header="0"/>
        </w:sectPr>
      </w:pPr>
    </w:p>
    <w:bookmarkStart w:id="175" w:name="page176"/>
    <w:bookmarkEnd w:id="175"/>
    <w:p>
      <w:pPr>
        <w:ind w:left="3000" w:hanging="746"/>
        <w:spacing w:after="0"/>
        <w:tabs>
          <w:tab w:leader="none" w:pos="30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terminates employment within sixty (60) days after the end of the Cure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206" w:lineRule="exact"/>
        <w:rPr>
          <w:sz w:val="20"/>
          <w:szCs w:val="20"/>
          <w:color w:val="auto"/>
        </w:rPr>
      </w:pPr>
    </w:p>
    <w:p>
      <w:pPr>
        <w:ind w:left="1500" w:hanging="743"/>
        <w:spacing w:after="0"/>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40" w:firstLine="1505"/>
        <w:spacing w:after="0" w:line="239" w:lineRule="auto"/>
        <w:tabs>
          <w:tab w:leader="none" w:pos="299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22"/>
          <w:szCs w:val="22"/>
          <w:b w:val="1"/>
          <w:bCs w:val="1"/>
          <w:i w:val="1"/>
          <w:iCs w:val="1"/>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4" w:lineRule="exact"/>
        <w:rPr>
          <w:rFonts w:ascii="Times New Roman" w:cs="Times New Roman" w:eastAsia="Times New Roman" w:hAnsi="Times New Roman"/>
          <w:sz w:val="22"/>
          <w:szCs w:val="22"/>
          <w:color w:val="auto"/>
        </w:rPr>
      </w:pPr>
    </w:p>
    <w:p>
      <w:pPr>
        <w:ind w:firstLine="1505"/>
        <w:spacing w:after="0" w:line="234" w:lineRule="auto"/>
        <w:tabs>
          <w:tab w:leader="none" w:pos="299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thirty (30) days after the date on which a Notice of Termination is given or a later date otherwise specified by the Company in the Notice of Termination; (iv) if the Executive’s employment is terminated by the Executive under Section 3(e) other than for Good Reason, thirty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1" w:lineRule="exact"/>
        <w:rPr>
          <w:rFonts w:ascii="Times New Roman" w:cs="Times New Roman" w:eastAsia="Times New Roman" w:hAnsi="Times New Roman"/>
          <w:sz w:val="22"/>
          <w:szCs w:val="22"/>
          <w:color w:val="auto"/>
        </w:rPr>
      </w:pPr>
    </w:p>
    <w:p>
      <w:pPr>
        <w:ind w:right="20" w:firstLine="1505"/>
        <w:spacing w:after="0" w:line="234" w:lineRule="auto"/>
        <w:tabs>
          <w:tab w:leader="none" w:pos="299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22"/>
          <w:szCs w:val="22"/>
          <w:b w:val="1"/>
          <w:bCs w:val="1"/>
          <w:i w:val="1"/>
          <w:iCs w:val="1"/>
          <w:u w:val="single" w:color="auto"/>
          <w:color w:val="auto"/>
        </w:rPr>
        <w:t>Accrued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1505"/>
        <w:spacing w:after="0" w:line="244" w:lineRule="auto"/>
        <w:tabs>
          <w:tab w:leader="none" w:pos="299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the Executive shall be deemed to have resigned from all officer and board member positions that the Executive holds with the Company or any of its respective subsidiaries and affiliates upon the termination</w:t>
      </w:r>
    </w:p>
    <w:p>
      <w:pPr>
        <w:spacing w:after="0" w:line="16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76" w:name="page177"/>
    <w:bookmarkEnd w:id="176"/>
    <w:p>
      <w:pPr>
        <w:ind w:right="700"/>
        <w:spacing w:after="0" w:line="259" w:lineRule="auto"/>
        <w:rPr>
          <w:sz w:val="20"/>
          <w:szCs w:val="20"/>
          <w:color w:val="auto"/>
        </w:rPr>
      </w:pPr>
      <w:r>
        <w:rPr>
          <w:rFonts w:ascii="Times New Roman" w:cs="Times New Roman" w:eastAsia="Times New Roman" w:hAnsi="Times New Roman"/>
          <w:sz w:val="22"/>
          <w:szCs w:val="22"/>
          <w:color w:val="auto"/>
        </w:rPr>
        <w:t>of the Executive’s employment for any reason. The Executive shall execute any documents in reasonable form as may be requested to confirm or effectuate any such resignations.</w:t>
      </w:r>
    </w:p>
    <w:p>
      <w:pPr>
        <w:spacing w:after="0" w:line="157" w:lineRule="exact"/>
        <w:rPr>
          <w:sz w:val="20"/>
          <w:szCs w:val="20"/>
          <w:color w:val="auto"/>
        </w:rPr>
      </w:pPr>
    </w:p>
    <w:p>
      <w:pPr>
        <w:ind w:firstLine="757"/>
        <w:spacing w:after="0" w:line="248" w:lineRule="auto"/>
        <w:tabs>
          <w:tab w:leader="none" w:pos="1498"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 and Benefits Upon Termination by the Company without Cause or by the Executive for Good Reason</w:t>
      </w:r>
      <w:r>
        <w:rPr>
          <w:rFonts w:ascii="Times New Roman" w:cs="Times New Roman" w:eastAsia="Times New Roman" w:hAnsi="Times New Roman"/>
          <w:sz w:val="21"/>
          <w:szCs w:val="21"/>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u w:val="single" w:color="auto"/>
          <w:color w:val="auto"/>
        </w:rPr>
        <w:t>Separation Agreement</w:t>
      </w:r>
      <w:r>
        <w:rPr>
          <w:rFonts w:ascii="Times New Roman" w:cs="Times New Roman" w:eastAsia="Times New Roman" w:hAnsi="Times New Roman"/>
          <w:sz w:val="21"/>
          <w:szCs w:val="21"/>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70" w:lineRule="exact"/>
        <w:rPr>
          <w:rFonts w:ascii="Times New Roman" w:cs="Times New Roman" w:eastAsia="Times New Roman" w:hAnsi="Times New Roman"/>
          <w:sz w:val="21"/>
          <w:szCs w:val="21"/>
          <w:color w:val="auto"/>
        </w:rPr>
      </w:pPr>
    </w:p>
    <w:p>
      <w:pPr>
        <w:ind w:right="20" w:firstLine="1505"/>
        <w:spacing w:after="0" w:line="236" w:lineRule="auto"/>
        <w:tabs>
          <w:tab w:leader="none" w:pos="29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the Executive an amount equal to nine (9) months’ of the Executive’s Base Salary (the “</w:t>
      </w:r>
      <w:r>
        <w:rPr>
          <w:rFonts w:ascii="Times New Roman" w:cs="Times New Roman" w:eastAsia="Times New Roman" w:hAnsi="Times New Roman"/>
          <w:sz w:val="22"/>
          <w:szCs w:val="22"/>
          <w:b w:val="1"/>
          <w:bCs w:val="1"/>
          <w:i w:val="1"/>
          <w:iCs w:val="1"/>
          <w:u w:val="single" w:color="auto"/>
          <w:color w:val="auto"/>
        </w:rPr>
        <w:t>Severance Amount</w:t>
      </w:r>
      <w:r>
        <w:rPr>
          <w:rFonts w:ascii="Times New Roman" w:cs="Times New Roman" w:eastAsia="Times New Roman" w:hAnsi="Times New Roman"/>
          <w:sz w:val="22"/>
          <w:szCs w:val="22"/>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22"/>
          <w:szCs w:val="22"/>
          <w:b w:val="1"/>
          <w:bCs w:val="1"/>
          <w:i w:val="1"/>
          <w:iCs w:val="1"/>
          <w:u w:val="single" w:color="auto"/>
          <w:color w:val="auto"/>
        </w:rPr>
        <w:t>Earned Bonus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1505"/>
        <w:spacing w:after="0" w:line="233" w:lineRule="auto"/>
        <w:tabs>
          <w:tab w:leader="none" w:pos="29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22"/>
          <w:szCs w:val="22"/>
          <w:b w:val="1"/>
          <w:bCs w:val="1"/>
          <w:i w:val="1"/>
          <w:iCs w:val="1"/>
          <w:u w:val="single" w:color="auto"/>
          <w:color w:val="auto"/>
        </w:rPr>
        <w:t>COBRA</w:t>
      </w:r>
      <w:r>
        <w:rPr>
          <w:rFonts w:ascii="Times New Roman" w:cs="Times New Roman" w:eastAsia="Times New Roman" w:hAnsi="Times New Roman"/>
          <w:sz w:val="22"/>
          <w:szCs w:val="22"/>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4" w:lineRule="exact"/>
        <w:rPr>
          <w:rFonts w:ascii="Times New Roman" w:cs="Times New Roman" w:eastAsia="Times New Roman" w:hAnsi="Times New Roman"/>
          <w:sz w:val="22"/>
          <w:szCs w:val="22"/>
          <w:color w:val="auto"/>
        </w:rPr>
      </w:pPr>
    </w:p>
    <w:p>
      <w:pPr>
        <w:ind w:right="120" w:firstLine="1505"/>
        <w:spacing w:after="0" w:line="236" w:lineRule="auto"/>
        <w:tabs>
          <w:tab w:leader="none" w:pos="29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Forfeiture of Time-Based Equity Awards</w:t>
      </w:r>
      <w:r>
        <w:rPr>
          <w:rFonts w:ascii="Times New Roman" w:cs="Times New Roman" w:eastAsia="Times New Roman" w:hAnsi="Times New Roman"/>
          <w:sz w:val="22"/>
          <w:szCs w:val="22"/>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cs="Times New Roman" w:eastAsia="Times New Roman" w:hAnsi="Times New Roman"/>
          <w:sz w:val="22"/>
          <w:szCs w:val="22"/>
          <w:b w:val="1"/>
          <w:bCs w:val="1"/>
          <w:i w:val="1"/>
          <w:iCs w:val="1"/>
          <w:u w:val="single" w:color="auto"/>
          <w:color w:val="auto"/>
        </w:rPr>
        <w:t>Pre-CIC Protection Period</w:t>
      </w:r>
      <w:r>
        <w:rPr>
          <w:rFonts w:ascii="Times New Roman" w:cs="Times New Roman" w:eastAsia="Times New Roman" w:hAnsi="Times New Roman"/>
          <w:sz w:val="22"/>
          <w:szCs w:val="22"/>
          <w:color w:val="auto"/>
        </w:rPr>
        <w:t>”). If the Company has not, prior to the end of the Pre-CIC Protection Period, entered into a definitive agreement that, if closed, would result in a Change in Control (a “</w:t>
      </w:r>
      <w:r>
        <w:rPr>
          <w:rFonts w:ascii="Times New Roman" w:cs="Times New Roman" w:eastAsia="Times New Roman" w:hAnsi="Times New Roman"/>
          <w:sz w:val="22"/>
          <w:szCs w:val="22"/>
          <w:b w:val="1"/>
          <w:bCs w:val="1"/>
          <w:i w:val="1"/>
          <w:iCs w:val="1"/>
          <w:u w:val="single" w:color="auto"/>
          <w:color w:val="auto"/>
        </w:rPr>
        <w:t>P&amp;S Agreement</w:t>
      </w:r>
      <w:r>
        <w:rPr>
          <w:rFonts w:ascii="Times New Roman" w:cs="Times New Roman" w:eastAsia="Times New Roman" w:hAnsi="Times New Roman"/>
          <w:sz w:val="22"/>
          <w:szCs w:val="22"/>
          <w:color w:val="auto"/>
        </w:rPr>
        <w:t>”), then the unvested portion of the</w:t>
      </w:r>
    </w:p>
    <w:p>
      <w:pPr>
        <w:spacing w:after="0" w:line="16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7" w:name="page178"/>
    <w:bookmarkEnd w:id="177"/>
    <w:p>
      <w:pPr>
        <w:ind w:right="100"/>
        <w:spacing w:after="0" w:line="235" w:lineRule="auto"/>
        <w:rPr>
          <w:sz w:val="20"/>
          <w:szCs w:val="20"/>
          <w:color w:val="auto"/>
        </w:rPr>
      </w:pPr>
      <w:r>
        <w:rPr>
          <w:rFonts w:ascii="Times New Roman" w:cs="Times New Roman" w:eastAsia="Times New Roman" w:hAnsi="Times New Roman"/>
          <w:sz w:val="22"/>
          <w:szCs w:val="22"/>
          <w:color w:val="auto"/>
        </w:rPr>
        <w:t>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179" w:lineRule="exact"/>
        <w:rPr>
          <w:sz w:val="20"/>
          <w:szCs w:val="20"/>
          <w:color w:val="auto"/>
        </w:rPr>
      </w:pPr>
    </w:p>
    <w:p>
      <w:pPr>
        <w:ind w:firstLine="1505"/>
        <w:spacing w:after="0" w:line="234" w:lineRule="auto"/>
        <w:tabs>
          <w:tab w:leader="none" w:pos="2995"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 Timing</w:t>
      </w:r>
      <w:r>
        <w:rPr>
          <w:rFonts w:ascii="Times New Roman" w:cs="Times New Roman" w:eastAsia="Times New Roman" w:hAnsi="Times New Roman"/>
          <w:sz w:val="22"/>
          <w:szCs w:val="22"/>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b w:val="1"/>
          <w:bCs w:val="1"/>
          <w:i w:val="1"/>
          <w:iCs w:val="1"/>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83" w:lineRule="exact"/>
        <w:rPr>
          <w:rFonts w:ascii="Times New Roman" w:cs="Times New Roman" w:eastAsia="Times New Roman" w:hAnsi="Times New Roman"/>
          <w:sz w:val="22"/>
          <w:szCs w:val="22"/>
          <w:color w:val="auto"/>
        </w:rPr>
      </w:pPr>
    </w:p>
    <w:p>
      <w:pPr>
        <w:ind w:right="20" w:firstLine="757"/>
        <w:spacing w:after="0" w:line="246" w:lineRule="auto"/>
        <w:tabs>
          <w:tab w:leader="none" w:pos="1498"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21"/>
          <w:szCs w:val="21"/>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Times New Roman" w:cs="Times New Roman" w:eastAsia="Times New Roman" w:hAnsi="Times New Roman"/>
          <w:sz w:val="21"/>
          <w:szCs w:val="21"/>
          <w:b w:val="1"/>
          <w:bCs w:val="1"/>
          <w:i w:val="1"/>
          <w:iCs w:val="1"/>
          <w:u w:val="single" w:color="auto"/>
          <w:color w:val="auto"/>
        </w:rPr>
        <w:t>Change in Control Period</w:t>
      </w:r>
      <w:r>
        <w:rPr>
          <w:rFonts w:ascii="Times New Roman" w:cs="Times New Roman" w:eastAsia="Times New Roman" w:hAnsi="Times New Roman"/>
          <w:sz w:val="21"/>
          <w:szCs w:val="21"/>
          <w:color w:val="auto"/>
        </w:rPr>
        <w:t>” shall begin on the earlier of (a) the signing of a P&amp;S Agreement and</w:t>
      </w:r>
    </w:p>
    <w:p>
      <w:pPr>
        <w:spacing w:after="0" w:line="1" w:lineRule="exact"/>
        <w:rPr>
          <w:rFonts w:ascii="Times New Roman" w:cs="Times New Roman" w:eastAsia="Times New Roman" w:hAnsi="Times New Roman"/>
          <w:sz w:val="21"/>
          <w:szCs w:val="21"/>
          <w:color w:val="auto"/>
        </w:rPr>
      </w:pPr>
    </w:p>
    <w:p>
      <w:pPr>
        <w:ind w:right="80" w:firstLine="8"/>
        <w:spacing w:after="0" w:line="232" w:lineRule="auto"/>
        <w:tabs>
          <w:tab w:leader="none" w:pos="30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8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w:t>
      </w:r>
    </w:p>
    <w:p>
      <w:pPr>
        <w:spacing w:after="0" w:line="16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frame set forth in the Separation Agreement but in no event more than sixty (60) days after the Date of Termination:</w:t>
      </w:r>
    </w:p>
    <w:p>
      <w:pPr>
        <w:spacing w:after="0" w:line="207" w:lineRule="exact"/>
        <w:rPr>
          <w:sz w:val="20"/>
          <w:szCs w:val="20"/>
          <w:color w:val="auto"/>
        </w:rPr>
      </w:pPr>
    </w:p>
    <w:p>
      <w:pPr>
        <w:ind w:right="60" w:firstLine="1505"/>
        <w:spacing w:after="0" w:line="238" w:lineRule="auto"/>
        <w:tabs>
          <w:tab w:leader="none" w:pos="29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Times New Roman" w:cs="Times New Roman" w:eastAsia="Times New Roman" w:hAnsi="Times New Roman"/>
          <w:sz w:val="22"/>
          <w:szCs w:val="22"/>
          <w:b w:val="1"/>
          <w:bCs w:val="1"/>
          <w:i w:val="1"/>
          <w:iCs w:val="1"/>
          <w:u w:val="single" w:color="auto"/>
          <w:color w:val="auto"/>
        </w:rPr>
        <w:t>Change in Control Payment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1505"/>
        <w:spacing w:after="0" w:line="233" w:lineRule="auto"/>
        <w:tabs>
          <w:tab w:leader="none" w:pos="29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7" w:lineRule="exact"/>
        <w:rPr>
          <w:rFonts w:ascii="Times New Roman" w:cs="Times New Roman" w:eastAsia="Times New Roman" w:hAnsi="Times New Roman"/>
          <w:sz w:val="22"/>
          <w:szCs w:val="22"/>
          <w:color w:val="auto"/>
        </w:rPr>
      </w:pPr>
    </w:p>
    <w:p>
      <w:pPr>
        <w:ind w:firstLine="1505"/>
        <w:spacing w:after="0" w:line="233" w:lineRule="auto"/>
        <w:tabs>
          <w:tab w:leader="none" w:pos="29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Accelerated Vesting of Equity Awards</w:t>
      </w:r>
      <w:r>
        <w:rPr>
          <w:rFonts w:ascii="Times New Roman" w:cs="Times New Roman" w:eastAsia="Times New Roman" w:hAnsi="Times New Roman"/>
          <w:sz w:val="22"/>
          <w:szCs w:val="22"/>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22"/>
          <w:szCs w:val="22"/>
          <w:b w:val="1"/>
          <w:bCs w:val="1"/>
          <w:i w:val="1"/>
          <w:iCs w:val="1"/>
          <w:u w:val="single" w:color="auto"/>
          <w:color w:val="auto"/>
        </w:rPr>
        <w:t>Accelerated Vesting Date</w:t>
      </w:r>
      <w:r>
        <w:rPr>
          <w:rFonts w:ascii="Times New Roman" w:cs="Times New Roman" w:eastAsia="Times New Roman" w:hAnsi="Times New Roman"/>
          <w:sz w:val="22"/>
          <w:szCs w:val="22"/>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87" w:lineRule="exact"/>
        <w:rPr>
          <w:rFonts w:ascii="Times New Roman" w:cs="Times New Roman" w:eastAsia="Times New Roman" w:hAnsi="Times New Roman"/>
          <w:sz w:val="22"/>
          <w:szCs w:val="22"/>
          <w:color w:val="auto"/>
        </w:rPr>
      </w:pPr>
    </w:p>
    <w:p>
      <w:pPr>
        <w:ind w:right="160" w:firstLine="1505"/>
        <w:spacing w:after="0" w:line="239" w:lineRule="auto"/>
        <w:tabs>
          <w:tab w:leader="none" w:pos="29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Payment Timing</w:t>
      </w:r>
      <w:r>
        <w:rPr>
          <w:rFonts w:ascii="Times New Roman" w:cs="Times New Roman" w:eastAsia="Times New Roman" w:hAnsi="Times New Roman"/>
          <w:sz w:val="22"/>
          <w:szCs w:val="22"/>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w:t>
      </w:r>
    </w:p>
    <w:p>
      <w:pPr>
        <w:spacing w:after="0" w:line="16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409A of the Code, shall be paid or commence to be paid in the second calendar year by the last day of such 60-day period.</w:t>
      </w:r>
    </w:p>
    <w:p>
      <w:pPr>
        <w:spacing w:after="0" w:line="207" w:lineRule="exact"/>
        <w:rPr>
          <w:sz w:val="20"/>
          <w:szCs w:val="20"/>
          <w:color w:val="auto"/>
        </w:rPr>
      </w:pPr>
    </w:p>
    <w:p>
      <w:pPr>
        <w:ind w:left="1500" w:hanging="743"/>
        <w:spacing w:after="0"/>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 Limitation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505"/>
        <w:spacing w:after="0" w:line="233" w:lineRule="auto"/>
        <w:tabs>
          <w:tab w:leader="none" w:pos="299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u w:val="single" w:color="auto"/>
          <w:color w:val="auto"/>
        </w:rPr>
        <w:t>Aggregate Payments</w:t>
      </w:r>
      <w:r>
        <w:rPr>
          <w:rFonts w:ascii="Times New Roman" w:cs="Times New Roman" w:eastAsia="Times New Roman" w:hAnsi="Times New Roman"/>
          <w:sz w:val="22"/>
          <w:szCs w:val="22"/>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1" w:lineRule="exact"/>
        <w:rPr>
          <w:rFonts w:ascii="Times New Roman" w:cs="Times New Roman" w:eastAsia="Times New Roman" w:hAnsi="Times New Roman"/>
          <w:sz w:val="22"/>
          <w:szCs w:val="22"/>
          <w:color w:val="auto"/>
        </w:rPr>
      </w:pPr>
    </w:p>
    <w:p>
      <w:pPr>
        <w:ind w:right="260" w:firstLine="1505"/>
        <w:spacing w:after="0" w:line="236" w:lineRule="auto"/>
        <w:tabs>
          <w:tab w:leader="none" w:pos="299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7, the “</w:t>
      </w:r>
      <w:r>
        <w:rPr>
          <w:rFonts w:ascii="Times New Roman" w:cs="Times New Roman" w:eastAsia="Times New Roman" w:hAnsi="Times New Roman"/>
          <w:sz w:val="22"/>
          <w:szCs w:val="22"/>
          <w:b w:val="1"/>
          <w:bCs w:val="1"/>
          <w:i w:val="1"/>
          <w:iCs w:val="1"/>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1" w:lineRule="exact"/>
        <w:rPr>
          <w:rFonts w:ascii="Times New Roman" w:cs="Times New Roman" w:eastAsia="Times New Roman" w:hAnsi="Times New Roman"/>
          <w:sz w:val="22"/>
          <w:szCs w:val="22"/>
          <w:color w:val="auto"/>
        </w:rPr>
      </w:pPr>
    </w:p>
    <w:p>
      <w:pPr>
        <w:ind w:firstLine="1505"/>
        <w:spacing w:after="0" w:line="234" w:lineRule="auto"/>
        <w:tabs>
          <w:tab w:leader="none" w:pos="299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22"/>
          <w:szCs w:val="22"/>
          <w:b w:val="1"/>
          <w:bCs w:val="1"/>
          <w:i w:val="1"/>
          <w:iCs w:val="1"/>
          <w:color w:val="auto"/>
        </w:rPr>
        <w:t>Independent Advisors</w:t>
      </w:r>
      <w:r>
        <w:rPr>
          <w:rFonts w:ascii="Times New Roman" w:cs="Times New Roman" w:eastAsia="Times New Roman" w:hAnsi="Times New Roman"/>
          <w:sz w:val="22"/>
          <w:szCs w:val="22"/>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w:t>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0" w:name="page181"/>
    <w:bookmarkEnd w:id="180"/>
    <w:p>
      <w:pPr>
        <w:spacing w:after="0" w:line="235" w:lineRule="auto"/>
        <w:rPr>
          <w:sz w:val="20"/>
          <w:szCs w:val="20"/>
          <w:color w:val="auto"/>
        </w:rPr>
      </w:pPr>
      <w:r>
        <w:rPr>
          <w:rFonts w:ascii="Times New Roman" w:cs="Times New Roman" w:eastAsia="Times New Roman" w:hAnsi="Times New Roman"/>
          <w:sz w:val="22"/>
          <w:szCs w:val="22"/>
          <w:color w:val="auto"/>
        </w:rPr>
        <w:t>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184" w:lineRule="exact"/>
        <w:rPr>
          <w:sz w:val="20"/>
          <w:szCs w:val="20"/>
          <w:color w:val="auto"/>
        </w:rPr>
      </w:pPr>
    </w:p>
    <w:p>
      <w:pPr>
        <w:ind w:left="1500" w:hanging="743"/>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505"/>
        <w:spacing w:after="0" w:line="233" w:lineRule="auto"/>
        <w:tabs>
          <w:tab w:leader="none" w:pos="299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87" w:lineRule="exact"/>
        <w:rPr>
          <w:rFonts w:ascii="Times New Roman" w:cs="Times New Roman" w:eastAsia="Times New Roman" w:hAnsi="Times New Roman"/>
          <w:sz w:val="22"/>
          <w:szCs w:val="22"/>
          <w:color w:val="auto"/>
        </w:rPr>
      </w:pPr>
    </w:p>
    <w:p>
      <w:pPr>
        <w:ind w:right="120" w:firstLine="1505"/>
        <w:spacing w:after="0" w:line="248" w:lineRule="auto"/>
        <w:tabs>
          <w:tab w:leader="none" w:pos="2995"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0" w:lineRule="exact"/>
        <w:rPr>
          <w:rFonts w:ascii="Times New Roman" w:cs="Times New Roman" w:eastAsia="Times New Roman" w:hAnsi="Times New Roman"/>
          <w:sz w:val="21"/>
          <w:szCs w:val="21"/>
          <w:color w:val="auto"/>
        </w:rPr>
      </w:pPr>
    </w:p>
    <w:p>
      <w:pPr>
        <w:ind w:right="20" w:firstLine="1505"/>
        <w:spacing w:after="0" w:line="256" w:lineRule="exact"/>
        <w:tabs>
          <w:tab w:leader="none" w:pos="299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55" w:lineRule="exact"/>
        <w:rPr>
          <w:rFonts w:ascii="Times New Roman" w:cs="Times New Roman" w:eastAsia="Times New Roman" w:hAnsi="Times New Roman"/>
          <w:sz w:val="22"/>
          <w:szCs w:val="22"/>
          <w:color w:val="auto"/>
        </w:rPr>
      </w:pPr>
    </w:p>
    <w:p>
      <w:pPr>
        <w:ind w:right="20" w:firstLine="1505"/>
        <w:spacing w:after="0" w:line="258" w:lineRule="auto"/>
        <w:tabs>
          <w:tab w:leader="none" w:pos="299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 manner not intended to violate Section 409A of the Code. To the extent that any provision of this</w:t>
      </w:r>
    </w:p>
    <w:p>
      <w:pPr>
        <w:spacing w:after="0" w:line="14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1" w:name="page182"/>
    <w:bookmarkEnd w:id="181"/>
    <w:p>
      <w:pPr>
        <w:spacing w:after="0" w:line="248" w:lineRule="exact"/>
        <w:rPr>
          <w:sz w:val="20"/>
          <w:szCs w:val="20"/>
          <w:color w:val="auto"/>
        </w:rPr>
      </w:pPr>
      <w:r>
        <w:rPr>
          <w:rFonts w:ascii="Times New Roman" w:cs="Times New Roman" w:eastAsia="Times New Roman" w:hAnsi="Times New Roman"/>
          <w:sz w:val="22"/>
          <w:szCs w:val="22"/>
          <w:color w:val="auto"/>
        </w:rPr>
        <w:t>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9" w:lineRule="exact"/>
        <w:rPr>
          <w:sz w:val="20"/>
          <w:szCs w:val="20"/>
          <w:color w:val="auto"/>
        </w:rPr>
      </w:pPr>
    </w:p>
    <w:p>
      <w:pPr>
        <w:ind w:right="20" w:firstLine="1505"/>
        <w:spacing w:after="0" w:line="244" w:lineRule="auto"/>
        <w:tabs>
          <w:tab w:leader="none" w:pos="299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20" w:firstLine="1505"/>
        <w:spacing w:after="0" w:line="236" w:lineRule="auto"/>
        <w:tabs>
          <w:tab w:leader="none" w:pos="29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As a condition of entering into this Agreement, Executive agrees to the terms of the Employee Proprietary Information and Inventions Assignment Agreement, dated September 22, 2021, between the Company and the Executive (the “</w:t>
      </w:r>
      <w:r>
        <w:rPr>
          <w:rFonts w:ascii="Times New Roman" w:cs="Times New Roman" w:eastAsia="Times New Roman" w:hAnsi="Times New Roman"/>
          <w:sz w:val="22"/>
          <w:szCs w:val="22"/>
          <w:b w:val="1"/>
          <w:bCs w:val="1"/>
          <w:i w:val="1"/>
          <w:iCs w:val="1"/>
          <w:u w:val="single" w:color="auto"/>
          <w:color w:val="auto"/>
        </w:rPr>
        <w:t>Restrictive Covenants Agreement</w:t>
      </w:r>
      <w:r>
        <w:rPr>
          <w:rFonts w:ascii="Times New Roman" w:cs="Times New Roman" w:eastAsia="Times New Roman" w:hAnsi="Times New Roman"/>
          <w:sz w:val="22"/>
          <w:szCs w:val="22"/>
          <w:color w:val="auto"/>
        </w:rPr>
        <w:t>”). For purposes of this Agreement, the obligations in this Section 9 and those that arise in the Restrictive Covenants Agreement and any other agreement relating to confidentiality, assignment of inventions, or other restrictive covenants that may later be agreed to by the Executive shall collectively be referred to as the “</w:t>
      </w:r>
      <w:r>
        <w:rPr>
          <w:rFonts w:ascii="Times New Roman" w:cs="Times New Roman" w:eastAsia="Times New Roman" w:hAnsi="Times New Roman"/>
          <w:sz w:val="22"/>
          <w:szCs w:val="22"/>
          <w:b w:val="1"/>
          <w:bCs w:val="1"/>
          <w:i w:val="1"/>
          <w:iCs w:val="1"/>
          <w:u w:val="single" w:color="auto"/>
          <w:color w:val="auto"/>
        </w:rPr>
        <w:t>Continuing Obligations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1505"/>
        <w:spacing w:after="0" w:line="234" w:lineRule="auto"/>
        <w:tabs>
          <w:tab w:leader="none" w:pos="29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83" w:lineRule="exact"/>
        <w:rPr>
          <w:rFonts w:ascii="Times New Roman" w:cs="Times New Roman" w:eastAsia="Times New Roman" w:hAnsi="Times New Roman"/>
          <w:sz w:val="22"/>
          <w:szCs w:val="22"/>
          <w:color w:val="auto"/>
        </w:rPr>
      </w:pPr>
    </w:p>
    <w:p>
      <w:pPr>
        <w:ind w:right="100" w:firstLine="1505"/>
        <w:spacing w:after="0" w:line="238" w:lineRule="auto"/>
        <w:tabs>
          <w:tab w:leader="none" w:pos="29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-3529965</wp:posOffset>
            </wp:positionV>
            <wp:extent cx="342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82" w:name="page183"/>
    <w:bookmarkEnd w:id="182"/>
    <w:p>
      <w:pPr>
        <w:spacing w:after="0" w:line="248" w:lineRule="exact"/>
        <w:rPr>
          <w:sz w:val="20"/>
          <w:szCs w:val="20"/>
          <w:color w:val="auto"/>
        </w:rPr>
      </w:pPr>
      <w:r>
        <w:rPr>
          <w:rFonts w:ascii="Times New Roman" w:cs="Times New Roman" w:eastAsia="Times New Roman" w:hAnsi="Times New Roman"/>
          <w:sz w:val="22"/>
          <w:szCs w:val="22"/>
          <w:color w:val="auto"/>
        </w:rPr>
        <w:t>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the Executive’s performance of obligations pursuant to this Section 9(c), which shall be in addition to its obligations to provide indemnification to the Executive.</w:t>
      </w:r>
    </w:p>
    <w:p>
      <w:pPr>
        <w:spacing w:after="0" w:line="179" w:lineRule="exact"/>
        <w:rPr>
          <w:sz w:val="20"/>
          <w:szCs w:val="20"/>
          <w:color w:val="auto"/>
        </w:rPr>
      </w:pPr>
    </w:p>
    <w:p>
      <w:pPr>
        <w:ind w:right="40" w:firstLine="1505"/>
        <w:spacing w:after="0" w:line="236" w:lineRule="auto"/>
        <w:tabs>
          <w:tab w:leader="none" w:pos="299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22"/>
          <w:szCs w:val="22"/>
          <w:color w:val="auto"/>
        </w:rPr>
      </w:pPr>
    </w:p>
    <w:p>
      <w:pPr>
        <w:jc w:val="both"/>
        <w:ind w:right="180" w:firstLine="757"/>
        <w:spacing w:after="0" w:line="239" w:lineRule="auto"/>
        <w:tabs>
          <w:tab w:leader="none" w:pos="149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New Jersey.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80" w:lineRule="exact"/>
        <w:rPr>
          <w:rFonts w:ascii="Times New Roman" w:cs="Times New Roman" w:eastAsia="Times New Roman" w:hAnsi="Times New Roman"/>
          <w:sz w:val="22"/>
          <w:szCs w:val="22"/>
          <w:color w:val="auto"/>
        </w:rPr>
      </w:pPr>
    </w:p>
    <w:p>
      <w:pPr>
        <w:ind w:right="120" w:firstLine="757"/>
        <w:spacing w:after="0" w:line="239" w:lineRule="auto"/>
        <w:tabs>
          <w:tab w:leader="none" w:pos="149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including the Prior Agreement, provided that the Restrictive Covenants Agreement and the agreements governing any Equity Awards remain in full force and effect.</w:t>
      </w:r>
    </w:p>
    <w:p>
      <w:pPr>
        <w:spacing w:after="0" w:line="180" w:lineRule="exact"/>
        <w:rPr>
          <w:rFonts w:ascii="Times New Roman" w:cs="Times New Roman" w:eastAsia="Times New Roman" w:hAnsi="Times New Roman"/>
          <w:sz w:val="22"/>
          <w:szCs w:val="22"/>
          <w:color w:val="auto"/>
        </w:rPr>
      </w:pPr>
    </w:p>
    <w:p>
      <w:pPr>
        <w:jc w:val="both"/>
        <w:ind w:right="200" w:firstLine="757"/>
        <w:spacing w:after="0" w:line="239" w:lineRule="auto"/>
        <w:tabs>
          <w:tab w:leader="none" w:pos="149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80" w:lineRule="exact"/>
        <w:rPr>
          <w:rFonts w:ascii="Times New Roman" w:cs="Times New Roman" w:eastAsia="Times New Roman" w:hAnsi="Times New Roman"/>
          <w:sz w:val="22"/>
          <w:szCs w:val="22"/>
          <w:color w:val="auto"/>
        </w:rPr>
      </w:pPr>
    </w:p>
    <w:p>
      <w:pPr>
        <w:ind w:right="160" w:firstLine="757"/>
        <w:spacing w:after="0" w:line="236" w:lineRule="auto"/>
        <w:tabs>
          <w:tab w:leader="none" w:pos="149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w:t>
      </w:r>
    </w:p>
    <w:p>
      <w:pPr>
        <w:spacing w:after="0" w:line="16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3" w:name="page184"/>
    <w:bookmarkEnd w:id="183"/>
    <w:p>
      <w:pPr>
        <w:spacing w:after="0" w:line="233" w:lineRule="auto"/>
        <w:rPr>
          <w:sz w:val="20"/>
          <w:szCs w:val="20"/>
          <w:color w:val="auto"/>
        </w:rPr>
      </w:pPr>
      <w:r>
        <w:rPr>
          <w:rFonts w:ascii="Times New Roman" w:cs="Times New Roman" w:eastAsia="Times New Roman" w:hAnsi="Times New Roman"/>
          <w:sz w:val="22"/>
          <w:szCs w:val="22"/>
          <w:color w:val="auto"/>
        </w:rPr>
        <w:t>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8" w:lineRule="exact"/>
        <w:rPr>
          <w:sz w:val="20"/>
          <w:szCs w:val="20"/>
          <w:color w:val="auto"/>
        </w:rPr>
      </w:pPr>
    </w:p>
    <w:p>
      <w:pPr>
        <w:ind w:right="300" w:firstLine="757"/>
        <w:spacing w:after="0" w:line="238" w:lineRule="auto"/>
        <w:tabs>
          <w:tab w:leader="none" w:pos="149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22"/>
          <w:szCs w:val="22"/>
          <w:color w:val="auto"/>
        </w:rPr>
      </w:pPr>
    </w:p>
    <w:p>
      <w:pPr>
        <w:ind w:right="240" w:firstLine="757"/>
        <w:spacing w:after="0" w:line="239" w:lineRule="auto"/>
        <w:tabs>
          <w:tab w:leader="none" w:pos="149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80" w:lineRule="exact"/>
        <w:rPr>
          <w:rFonts w:ascii="Times New Roman" w:cs="Times New Roman" w:eastAsia="Times New Roman" w:hAnsi="Times New Roman"/>
          <w:sz w:val="22"/>
          <w:szCs w:val="22"/>
          <w:color w:val="auto"/>
        </w:rPr>
      </w:pPr>
    </w:p>
    <w:p>
      <w:pPr>
        <w:ind w:right="20" w:firstLine="757"/>
        <w:spacing w:after="0" w:line="239" w:lineRule="auto"/>
        <w:tabs>
          <w:tab w:leader="none" w:pos="149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rFonts w:ascii="Times New Roman" w:cs="Times New Roman" w:eastAsia="Times New Roman" w:hAnsi="Times New Roman"/>
          <w:sz w:val="22"/>
          <w:szCs w:val="22"/>
          <w:color w:val="auto"/>
        </w:rPr>
      </w:pPr>
    </w:p>
    <w:p>
      <w:pPr>
        <w:ind w:right="40" w:firstLine="757"/>
        <w:spacing w:after="0" w:line="251" w:lineRule="auto"/>
        <w:tabs>
          <w:tab w:leader="none" w:pos="149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15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4" w:name="page185"/>
    <w:bookmarkEnd w:id="184"/>
    <w:p>
      <w:pPr>
        <w:ind w:left="-440" w:right="820" w:firstLine="757"/>
        <w:spacing w:after="0" w:line="259" w:lineRule="auto"/>
        <w:tabs>
          <w:tab w:leader="none" w:pos="105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6" w:lineRule="exact"/>
        <w:rPr>
          <w:rFonts w:ascii="Times New Roman" w:cs="Times New Roman" w:eastAsia="Times New Roman" w:hAnsi="Times New Roman"/>
          <w:sz w:val="22"/>
          <w:szCs w:val="22"/>
          <w:color w:val="auto"/>
        </w:rPr>
      </w:pPr>
    </w:p>
    <w:p>
      <w:pPr>
        <w:ind w:left="-440" w:firstLine="757"/>
        <w:spacing w:after="0" w:line="244" w:lineRule="auto"/>
        <w:tabs>
          <w:tab w:leader="none" w:pos="105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80" w:lineRule="exact"/>
        <w:rPr>
          <w:rFonts w:ascii="Times New Roman" w:cs="Times New Roman" w:eastAsia="Times New Roman" w:hAnsi="Times New Roman"/>
          <w:sz w:val="21"/>
          <w:szCs w:val="21"/>
          <w:color w:val="auto"/>
        </w:rPr>
      </w:pPr>
    </w:p>
    <w:p>
      <w:pPr>
        <w:ind w:left="-440" w:right="80" w:firstLine="757"/>
        <w:spacing w:after="0" w:line="238" w:lineRule="auto"/>
        <w:tabs>
          <w:tab w:leader="none" w:pos="105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 Offset</w:t>
      </w:r>
      <w:r>
        <w:rPr>
          <w:rFonts w:ascii="Times New Roman" w:cs="Times New Roman" w:eastAsia="Times New Roman" w:hAnsi="Times New Roman"/>
          <w:sz w:val="22"/>
          <w:szCs w:val="22"/>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76" w:lineRule="exact"/>
        <w:rPr>
          <w:rFonts w:ascii="Times New Roman" w:cs="Times New Roman" w:eastAsia="Times New Roman" w:hAnsi="Times New Roman"/>
          <w:sz w:val="22"/>
          <w:szCs w:val="22"/>
          <w:color w:val="auto"/>
        </w:rPr>
      </w:pPr>
    </w:p>
    <w:p>
      <w:pPr>
        <w:ind w:left="-440" w:right="160" w:firstLine="757"/>
        <w:spacing w:after="0" w:line="246" w:lineRule="auto"/>
        <w:tabs>
          <w:tab w:leader="none" w:pos="105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on Other Plans and Agreements</w:t>
      </w:r>
      <w:r>
        <w:rPr>
          <w:rFonts w:ascii="Times New Roman" w:cs="Times New Roman" w:eastAsia="Times New Roman" w:hAnsi="Times New Roman"/>
          <w:sz w:val="21"/>
          <w:szCs w:val="21"/>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70" w:lineRule="exact"/>
        <w:rPr>
          <w:rFonts w:ascii="Times New Roman" w:cs="Times New Roman" w:eastAsia="Times New Roman" w:hAnsi="Times New Roman"/>
          <w:sz w:val="21"/>
          <w:szCs w:val="21"/>
          <w:color w:val="auto"/>
        </w:rPr>
      </w:pPr>
    </w:p>
    <w:p>
      <w:pPr>
        <w:ind w:left="1060" w:hanging="743"/>
        <w:spacing w:after="0"/>
        <w:tabs>
          <w:tab w:leader="none" w:pos="10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and Enforcement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58420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12" w:right="339" w:bottom="1440" w:gutter="0" w:footer="0" w:header="0"/>
        </w:sectPr>
      </w:pPr>
    </w:p>
    <w:bookmarkStart w:id="185" w:name="page186"/>
    <w:bookmarkEnd w:id="185"/>
    <w:p>
      <w:pPr>
        <w:ind w:left="-460" w:right="60" w:firstLine="1505"/>
        <w:spacing w:after="0" w:line="238" w:lineRule="auto"/>
        <w:tabs>
          <w:tab w:leader="none" w:pos="253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governed by and construed in accordance with applicable federal laws and, to the extent not inconsistent therewith or preempted thereby, with the laws of New Jersey, including any applicable statutes of limitation, without regard to any otherwise applicable principles of conflicts of laws or choice of law rules (whether of New Jersey or any other jurisdiction) that would result in the application of the substantive or procedural rules or law of any other jurisdiction.</w:t>
      </w:r>
    </w:p>
    <w:p>
      <w:pPr>
        <w:spacing w:after="0" w:line="177" w:lineRule="exact"/>
        <w:rPr>
          <w:rFonts w:ascii="Times New Roman" w:cs="Times New Roman" w:eastAsia="Times New Roman" w:hAnsi="Times New Roman"/>
          <w:sz w:val="22"/>
          <w:szCs w:val="22"/>
          <w:color w:val="auto"/>
        </w:rPr>
      </w:pPr>
    </w:p>
    <w:p>
      <w:pPr>
        <w:ind w:left="-460" w:right="60" w:firstLine="1505"/>
        <w:spacing w:after="0" w:line="236" w:lineRule="auto"/>
        <w:tabs>
          <w:tab w:leader="none" w:pos="253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any controversy or claim arising out of or relating to this Agreement or the alleged breach hereof shall be instituted in the United States District Court for the District of New Jersey, or if that court does not have or will not accept jurisdiction, in any court of general jurisdiction in the District of New Jersey,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81" w:lineRule="exact"/>
        <w:rPr>
          <w:rFonts w:ascii="Times New Roman" w:cs="Times New Roman" w:eastAsia="Times New Roman" w:hAnsi="Times New Roman"/>
          <w:sz w:val="22"/>
          <w:szCs w:val="22"/>
          <w:color w:val="auto"/>
        </w:rPr>
      </w:pPr>
    </w:p>
    <w:p>
      <w:pPr>
        <w:ind w:left="-460" w:firstLine="1505"/>
        <w:spacing w:after="0" w:line="238" w:lineRule="auto"/>
        <w:tabs>
          <w:tab w:leader="none" w:pos="253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76" w:lineRule="exact"/>
        <w:rPr>
          <w:rFonts w:ascii="Times New Roman" w:cs="Times New Roman" w:eastAsia="Times New Roman" w:hAnsi="Times New Roman"/>
          <w:sz w:val="22"/>
          <w:szCs w:val="22"/>
          <w:color w:val="auto"/>
        </w:rPr>
      </w:pPr>
    </w:p>
    <w:p>
      <w:pPr>
        <w:ind w:left="-460" w:right="60" w:firstLine="1505"/>
        <w:spacing w:after="0" w:line="233" w:lineRule="auto"/>
        <w:tabs>
          <w:tab w:leader="none" w:pos="253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84" w:lineRule="exact"/>
        <w:rPr>
          <w:rFonts w:ascii="Times New Roman" w:cs="Times New Roman" w:eastAsia="Times New Roman" w:hAnsi="Times New Roman"/>
          <w:sz w:val="22"/>
          <w:szCs w:val="22"/>
          <w:color w:val="auto"/>
        </w:rPr>
      </w:pPr>
    </w:p>
    <w:p>
      <w:pPr>
        <w:ind w:left="-460" w:right="20" w:firstLine="757"/>
        <w:spacing w:after="0" w:line="236" w:lineRule="auto"/>
        <w:tabs>
          <w:tab w:leader="none" w:pos="103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cs="Times New Roman" w:eastAsia="Times New Roman" w:hAnsi="Times New Roman"/>
          <w:sz w:val="22"/>
          <w:szCs w:val="22"/>
          <w:b w:val="1"/>
          <w:bCs w:val="1"/>
          <w:i w:val="1"/>
          <w:iCs w:val="1"/>
          <w:color w:val="auto"/>
        </w:rPr>
        <w:t>Recoupment Policy</w:t>
      </w:r>
      <w:r>
        <w:rPr>
          <w:rFonts w:ascii="Times New Roman" w:cs="Times New Roman" w:eastAsia="Times New Roman" w:hAnsi="Times New Roman"/>
          <w:sz w:val="22"/>
          <w:szCs w:val="22"/>
          <w:color w:val="auto"/>
        </w:rPr>
        <w:t>”). Where the result of a performance measure was a factor in determining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58420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80" w:top="112" w:right="359" w:bottom="1440" w:gutter="0" w:footer="0" w:header="0"/>
        </w:sectPr>
      </w:pPr>
    </w:p>
    <w:bookmarkStart w:id="186" w:name="page187"/>
    <w:bookmarkEnd w:id="186"/>
    <w:p>
      <w:pPr>
        <w:spacing w:after="0" w:line="234" w:lineRule="auto"/>
        <w:rPr>
          <w:sz w:val="20"/>
          <w:szCs w:val="20"/>
          <w:color w:val="auto"/>
        </w:rPr>
      </w:pPr>
      <w:r>
        <w:rPr>
          <w:rFonts w:ascii="Times New Roman" w:cs="Times New Roman" w:eastAsia="Times New Roman" w:hAnsi="Times New Roman"/>
          <w:sz w:val="22"/>
          <w:szCs w:val="22"/>
          <w:color w:val="auto"/>
        </w:rPr>
        <w:t>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84" w:lineRule="exact"/>
        <w:rPr>
          <w:sz w:val="20"/>
          <w:szCs w:val="20"/>
          <w:color w:val="auto"/>
        </w:rPr>
      </w:pPr>
    </w:p>
    <w:p>
      <w:pPr>
        <w:ind w:right="800" w:firstLine="757"/>
        <w:spacing w:after="0" w:line="244" w:lineRule="auto"/>
        <w:tabs>
          <w:tab w:leader="none" w:pos="149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ADAGIO THERAPEUTICS,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Tillman Gerngross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4478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Jill Andersen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7" w:name="page188"/>
    <w:bookmarkEnd w:id="187"/>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Outside Activities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 Girl Scouts of Northern New Jersey, Board of Directors (2020-Present)</w:t>
      </w:r>
    </w:p>
    <w:p>
      <w:pPr>
        <w:spacing w:after="0" w:line="19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SEPARATION AGREEMENT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06" w:lineRule="exact"/>
        <w:rPr>
          <w:sz w:val="20"/>
          <w:szCs w:val="20"/>
          <w:color w:val="auto"/>
        </w:rPr>
      </w:pPr>
    </w:p>
    <w:p>
      <w:pPr>
        <w:ind w:right="900"/>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Adagio Therapeutics, Inc. (the “Company”) is offering to you to aid in your employment transition.</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1.Separation. </w:t>
      </w:r>
      <w:r>
        <w:rPr>
          <w:rFonts w:ascii="Times New Roman" w:cs="Times New Roman" w:eastAsia="Times New Roman" w:hAnsi="Times New Roman"/>
          <w:sz w:val="22"/>
          <w:szCs w:val="22"/>
          <w:color w:val="auto"/>
        </w:rPr>
        <w:t>Your last day of work with the Company and your employment termination date will be [Date] (the “Separation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2.Accrued Salary. </w:t>
      </w:r>
      <w:r>
        <w:rPr>
          <w:rFonts w:ascii="Times New Roman" w:cs="Times New Roman" w:eastAsia="Times New Roman" w:hAnsi="Times New Roman"/>
          <w:sz w:val="22"/>
          <w:szCs w:val="22"/>
          <w:color w:val="auto"/>
        </w:rPr>
        <w:t>On the Separation Date,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3.Severance Benefits. </w:t>
      </w:r>
      <w:r>
        <w:rPr>
          <w:rFonts w:ascii="Times New Roman" w:cs="Times New Roman" w:eastAsia="Times New Roman" w:hAnsi="Times New Roman"/>
          <w:sz w:val="22"/>
          <w:szCs w:val="22"/>
          <w:color w:val="auto"/>
        </w:rPr>
        <w:t>If you execute and do not revoke this Agreement, the Company will provide you with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Benefits pursuant to the terms of your [month, date, year] Employment Agreement.</w:t>
      </w:r>
    </w:p>
    <w:p>
      <w:pPr>
        <w:spacing w:after="0" w:line="154"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4.Benefit Plans.</w:t>
      </w:r>
    </w:p>
    <w:p>
      <w:pPr>
        <w:spacing w:after="0" w:line="21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16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9" w:name="page190"/>
    <w:bookmarkEnd w:id="189"/>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 The Massachusetts Department of Unemployment Assistance, not the Company, will determine your eligibility for such benefits.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5.Stock Options. </w:t>
      </w:r>
      <w:r>
        <w:rPr>
          <w:rFonts w:ascii="Times New Roman" w:cs="Times New Roman" w:eastAsia="Times New Roman" w:hAnsi="Times New Roman"/>
          <w:sz w:val="22"/>
          <w:szCs w:val="22"/>
          <w:color w:val="auto"/>
        </w:rPr>
        <w:t>You were granted an option to purchase ________ shares of the Company’s common stock, pursuant to the</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Company’s [correct name of Stock or incentive plan] (the “Plan”). Under the terms of the Plan and your stock option grant, vesting will cease as of the Separation Date.</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6.Other Compensation or Benefits. </w:t>
      </w:r>
      <w:r>
        <w:rPr>
          <w:rFonts w:ascii="Times New Roman" w:cs="Times New Roman" w:eastAsia="Times New Roman" w:hAnsi="Times New Roman"/>
          <w:sz w:val="22"/>
          <w:szCs w:val="22"/>
          <w:color w:val="auto"/>
        </w:rPr>
        <w:t>You acknowledge that, except as expressly provided in this Agreement, you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any additional compensation, severance or benefits after the Separation Date.</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8.Return of Company Property. </w:t>
      </w:r>
      <w:r>
        <w:rPr>
          <w:rFonts w:ascii="Times New Roman" w:cs="Times New Roman" w:eastAsia="Times New Roman" w:hAnsi="Times New Roman"/>
          <w:sz w:val="22"/>
          <w:szCs w:val="22"/>
          <w:color w:val="auto"/>
        </w:rPr>
        <w:t>By the Separation Date, you agree to return to the Company all Company documents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Times New Roman" w:cs="Times New Roman" w:eastAsia="Times New Roman" w:hAnsi="Times New Roman"/>
          <w:sz w:val="22"/>
          <w:szCs w:val="22"/>
          <w:b w:val="1"/>
          <w:bCs w:val="1"/>
          <w:color w:val="auto"/>
        </w:rPr>
        <w:t>Receipt of the severance benefits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described in Section 3 of this Agreement is expressly conditioned upon return of all Company Property.</w:t>
      </w:r>
    </w:p>
    <w:p>
      <w:pPr>
        <w:spacing w:after="0" w:line="17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9.Confidential Information and Post-Termination Obligations. </w:t>
      </w:r>
      <w:r>
        <w:rPr>
          <w:rFonts w:ascii="Times New Roman" w:cs="Times New Roman" w:eastAsia="Times New Roman" w:hAnsi="Times New Roman"/>
          <w:sz w:val="22"/>
          <w:szCs w:val="22"/>
          <w:color w:val="auto"/>
        </w:rPr>
        <w:t>Both during and after your employment you acknowledge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continuing 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w:t>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jc w:val="both"/>
        <w:spacing w:after="0" w:line="244" w:lineRule="auto"/>
        <w:rPr>
          <w:sz w:val="20"/>
          <w:szCs w:val="20"/>
          <w:color w:val="auto"/>
        </w:rPr>
      </w:pPr>
      <w:r>
        <w:rPr>
          <w:rFonts w:ascii="Times New Roman" w:cs="Times New Roman" w:eastAsia="Times New Roman" w:hAnsi="Times New Roman"/>
          <w:sz w:val="22"/>
          <w:szCs w:val="22"/>
          <w:color w:val="auto"/>
        </w:rPr>
        <w:t>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10.Non-Compete. </w:t>
      </w:r>
      <w:r>
        <w:rPr>
          <w:rFonts w:ascii="Times New Roman" w:cs="Times New Roman" w:eastAsia="Times New Roman" w:hAnsi="Times New Roman"/>
          <w:sz w:val="22"/>
          <w:szCs w:val="22"/>
          <w:color w:val="auto"/>
        </w:rPr>
        <w:t>In exchange for the payments and other consideration under this Agreement, to which you would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83" w:lineRule="exact"/>
        <w:rPr>
          <w:sz w:val="20"/>
          <w:szCs w:val="20"/>
          <w:color w:val="auto"/>
        </w:rPr>
      </w:pPr>
    </w:p>
    <w:p>
      <w:pPr>
        <w:jc w:val="both"/>
        <w:ind w:firstLine="757"/>
        <w:spacing w:after="0" w:line="244" w:lineRule="auto"/>
        <w:tabs>
          <w:tab w:leader="none" w:pos="1498"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498"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6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11.Confidentiality. </w:t>
      </w:r>
      <w:r>
        <w:rPr>
          <w:rFonts w:ascii="Times New Roman" w:cs="Times New Roman" w:eastAsia="Times New Roman" w:hAnsi="Times New Roman"/>
          <w:sz w:val="22"/>
          <w:szCs w:val="22"/>
          <w:color w:val="auto"/>
        </w:rPr>
        <w:t>The provisions of this Agreement will be held in strictest confidence by you and will not be publicized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12.Non-Disparagement. </w:t>
      </w:r>
      <w:r>
        <w:rPr>
          <w:rFonts w:ascii="Times New Roman" w:cs="Times New Roman" w:eastAsia="Times New Roman" w:hAnsi="Times New Roman"/>
          <w:sz w:val="21"/>
          <w:szCs w:val="21"/>
          <w:color w:val="auto"/>
        </w:rPr>
        <w:t>You agree not to disparage the Company, and the Company’s attorneys, directors, managers, partners,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w:t>
      </w:r>
    </w:p>
    <w:p>
      <w:pPr>
        <w:spacing w:after="0" w:line="15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1" w:name="page192"/>
    <w:bookmarkEnd w:id="191"/>
    <w:p>
      <w:pPr>
        <w:jc w:val="both"/>
        <w:spacing w:after="0" w:line="238" w:lineRule="auto"/>
        <w:rPr>
          <w:sz w:val="20"/>
          <w:szCs w:val="20"/>
          <w:color w:val="auto"/>
        </w:rPr>
      </w:pPr>
      <w:r>
        <w:rPr>
          <w:rFonts w:ascii="Times New Roman" w:cs="Times New Roman" w:eastAsia="Times New Roman" w:hAnsi="Times New Roman"/>
          <w:sz w:val="22"/>
          <w:szCs w:val="22"/>
          <w:color w:val="auto"/>
        </w:rPr>
        <w:t>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13.Cooperation after Termination. </w:t>
      </w:r>
      <w:r>
        <w:rPr>
          <w:rFonts w:ascii="Times New Roman" w:cs="Times New Roman" w:eastAsia="Times New Roman" w:hAnsi="Times New Roman"/>
          <w:sz w:val="22"/>
          <w:szCs w:val="22"/>
          <w:color w:val="auto"/>
        </w:rPr>
        <w:t>You agree to cooperate fully with the Company in all matters relating to the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14.Release. </w:t>
      </w:r>
      <w:r>
        <w:rPr>
          <w:rFonts w:ascii="Times New Roman" w:cs="Times New Roman" w:eastAsia="Times New Roman" w:hAnsi="Times New Roman"/>
          <w:sz w:val="22"/>
          <w:szCs w:val="22"/>
          <w:color w:val="auto"/>
        </w:rPr>
        <w:t>In exchange for the payments and other consideration under this Agreement, to which you would not otherwise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178" w:lineRule="exact"/>
        <w:rPr>
          <w:sz w:val="20"/>
          <w:szCs w:val="20"/>
          <w:color w:val="auto"/>
        </w:rPr>
      </w:pPr>
    </w:p>
    <w:p>
      <w:pPr>
        <w:ind w:left="1500" w:right="680" w:hanging="690"/>
        <w:spacing w:after="0" w:line="258" w:lineRule="auto"/>
        <w:tabs>
          <w:tab w:leader="none" w:pos="123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its personnel policies, handbooks, contracts of employment, or covenants of good faith and fair dealing;</w:t>
      </w:r>
    </w:p>
    <w:p>
      <w:pPr>
        <w:spacing w:after="0" w:line="158" w:lineRule="exact"/>
        <w:rPr>
          <w:rFonts w:ascii="Times New Roman" w:cs="Times New Roman" w:eastAsia="Times New Roman" w:hAnsi="Times New Roman"/>
          <w:sz w:val="22"/>
          <w:szCs w:val="22"/>
          <w:color w:val="auto"/>
        </w:rPr>
      </w:pPr>
    </w:p>
    <w:p>
      <w:pPr>
        <w:ind w:left="1500" w:right="80" w:hanging="690"/>
        <w:spacing w:after="0" w:line="235" w:lineRule="auto"/>
        <w:tabs>
          <w:tab w:leader="none" w:pos="123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w:t>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2" w:name="page193"/>
    <w:bookmarkEnd w:id="192"/>
    <w:p>
      <w:pPr>
        <w:ind w:left="1500" w:right="240"/>
        <w:spacing w:after="0" w:line="234" w:lineRule="auto"/>
        <w:rPr>
          <w:sz w:val="20"/>
          <w:szCs w:val="20"/>
          <w:color w:val="auto"/>
        </w:rPr>
      </w:pPr>
      <w:r>
        <w:rPr>
          <w:rFonts w:ascii="Times New Roman" w:cs="Times New Roman" w:eastAsia="Times New Roman" w:hAnsi="Times New Roman"/>
          <w:sz w:val="22"/>
          <w:szCs w:val="22"/>
          <w:color w:val="auto"/>
        </w:rPr>
        <w:t>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184" w:lineRule="exact"/>
        <w:rPr>
          <w:sz w:val="20"/>
          <w:szCs w:val="20"/>
          <w:color w:val="auto"/>
        </w:rPr>
      </w:pPr>
    </w:p>
    <w:p>
      <w:pPr>
        <w:ind w:left="1500" w:hanging="690"/>
        <w:spacing w:after="0" w:line="246" w:lineRule="auto"/>
        <w:tabs>
          <w:tab w:leader="none" w:pos="1237"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70" w:lineRule="exact"/>
        <w:rPr>
          <w:rFonts w:ascii="Times New Roman" w:cs="Times New Roman" w:eastAsia="Times New Roman" w:hAnsi="Times New Roman"/>
          <w:sz w:val="21"/>
          <w:szCs w:val="21"/>
          <w:color w:val="auto"/>
        </w:rPr>
      </w:pPr>
    </w:p>
    <w:p>
      <w:pPr>
        <w:ind w:left="1500" w:right="100" w:hanging="690"/>
        <w:spacing w:after="0" w:line="234" w:lineRule="auto"/>
        <w:tabs>
          <w:tab w:leader="none" w:pos="123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16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93" w:name="page194"/>
    <w:bookmarkEnd w:id="193"/>
    <w:p>
      <w:pPr>
        <w:ind w:right="40"/>
        <w:spacing w:after="0" w:line="244" w:lineRule="auto"/>
        <w:rPr>
          <w:sz w:val="20"/>
          <w:szCs w:val="20"/>
          <w:color w:val="auto"/>
        </w:rPr>
      </w:pPr>
      <w:r>
        <w:rPr>
          <w:rFonts w:ascii="Times New Roman" w:cs="Times New Roman" w:eastAsia="Times New Roman" w:hAnsi="Times New Roman"/>
          <w:sz w:val="21"/>
          <w:szCs w:val="21"/>
          <w:color w:val="auto"/>
        </w:rPr>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15.Your Acknowledgments and Affirmations/ Effective Date of Agreement. </w:t>
      </w:r>
      <w:r>
        <w:rPr>
          <w:rFonts w:ascii="Times New Roman" w:cs="Times New Roman" w:eastAsia="Times New Roman" w:hAnsi="Times New Roman"/>
          <w:sz w:val="21"/>
          <w:szCs w:val="21"/>
          <w:color w:val="auto"/>
        </w:rPr>
        <w:t>You acknowledge that you are knowingly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w:t>
      </w:r>
    </w:p>
    <w:p>
      <w:pPr>
        <w:spacing w:after="0" w:line="16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4" w:name="page195"/>
    <w:bookmarkEnd w:id="194"/>
    <w:p>
      <w:pPr>
        <w:jc w:val="both"/>
        <w:spacing w:after="0" w:line="259" w:lineRule="auto"/>
        <w:rPr>
          <w:sz w:val="20"/>
          <w:szCs w:val="20"/>
          <w:color w:val="auto"/>
        </w:rPr>
      </w:pPr>
      <w:r>
        <w:rPr>
          <w:rFonts w:ascii="Times New Roman" w:cs="Times New Roman" w:eastAsia="Times New Roman" w:hAnsi="Times New Roman"/>
          <w:sz w:val="22"/>
          <w:szCs w:val="22"/>
          <w:color w:val="auto"/>
        </w:rPr>
        <w:t>shall not be effective until the date upon which the revocation period has expired unexercised (the "Effective Date"), which shall be the eighth business day after this Agreement is executed by you.</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16.No Admission. </w:t>
      </w:r>
      <w:r>
        <w:rPr>
          <w:rFonts w:ascii="Times New Roman" w:cs="Times New Roman" w:eastAsia="Times New Roman" w:hAnsi="Times New Roman"/>
          <w:sz w:val="22"/>
          <w:szCs w:val="22"/>
          <w:color w:val="auto"/>
        </w:rPr>
        <w:t>This Agreement does not constitute an admission by the Company of any wrongful action or violation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or local statute, or common law rights, including those relating to the provisions of any law or statute concerning employment actions, or of any other possible or claimed violation of law or rights.</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17.Breach.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18.Miscellaneous. </w:t>
      </w:r>
      <w:r>
        <w:rPr>
          <w:rFonts w:ascii="Times New Roman" w:cs="Times New Roman" w:eastAsia="Times New Roman" w:hAnsi="Times New Roman"/>
          <w:sz w:val="21"/>
          <w:szCs w:val="21"/>
          <w:color w:val="auto"/>
        </w:rPr>
        <w:t>This Agreement, including any exhibits, constitutes the complete, final and exclusive embodiment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color w:val="auto"/>
        </w:rPr>
        <w:t>To ensure the rapid and economical resolution of disputes that may arise in connection with your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Times New Roman" w:cs="Times New Roman" w:eastAsia="Times New Roman" w:hAnsi="Times New Roman"/>
          <w:sz w:val="19"/>
          <w:szCs w:val="19"/>
          <w:color w:val="auto"/>
        </w:rPr>
        <w:t>http://www.jamsadr.com/rules-employment-arbitration/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b w:val="1"/>
          <w:bCs w:val="1"/>
          <w:color w:val="auto"/>
        </w:rPr>
        <w:t>You acknowledge that by agreeing to this arbitration procedure, both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b w:val="1"/>
          <w:bCs w:val="1"/>
          <w:color w:val="auto"/>
        </w:rPr>
        <w:t xml:space="preserve">you and the Company waive the right to resolve any such dispute through a trial by jury or judge or administrative proceeding. </w:t>
      </w:r>
      <w:r>
        <w:rPr>
          <w:rFonts w:ascii="Times New Roman" w:cs="Times New Roman" w:eastAsia="Times New Roman" w:hAnsi="Times New Roman"/>
          <w:sz w:val="21"/>
          <w:szCs w:val="21"/>
          <w:color w:val="auto"/>
        </w:rPr>
        <w:t>You</w:t>
      </w:r>
    </w:p>
    <w:p>
      <w:pPr>
        <w:spacing w:after="0" w:line="17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5" w:name="page196"/>
    <w:bookmarkEnd w:id="195"/>
    <w:p>
      <w:pPr>
        <w:spacing w:after="0" w:line="253" w:lineRule="auto"/>
        <w:rPr>
          <w:sz w:val="20"/>
          <w:szCs w:val="20"/>
          <w:color w:val="auto"/>
        </w:rPr>
      </w:pPr>
      <w:r>
        <w:rPr>
          <w:rFonts w:ascii="Times New Roman" w:cs="Times New Roman" w:eastAsia="Times New Roman" w:hAnsi="Times New Roman"/>
          <w:sz w:val="21"/>
          <w:szCs w:val="21"/>
          <w:color w:val="auto"/>
        </w:rPr>
        <w:t>will have the right to be represented by legal counsel at any arbitration proceeding. The arbitrator shall: (a) have the authority to compel adequate discovery for the resolution of the dispute and to award such relief as would otherwise be permitted by law; and</w:t>
      </w:r>
    </w:p>
    <w:p>
      <w:pPr>
        <w:spacing w:after="0" w:line="1" w:lineRule="exact"/>
        <w:rPr>
          <w:sz w:val="20"/>
          <w:szCs w:val="20"/>
          <w:color w:val="auto"/>
        </w:rPr>
      </w:pPr>
    </w:p>
    <w:p>
      <w:pPr>
        <w:jc w:val="both"/>
        <w:ind w:firstLine="8"/>
        <w:spacing w:after="0" w:line="232" w:lineRule="auto"/>
        <w:tabs>
          <w:tab w:leader="none" w:pos="3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83"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Adagio Therapeutics,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[Name]</w:t>
      </w:r>
    </w:p>
    <w:p>
      <w:pPr>
        <w:ind w:left="76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Jill Andersen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6" w:name="page197"/>
    <w:bookmarkEnd w:id="196"/>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CONSIDERATION PERIOD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____________________, understand that I have the right to take at least 21 days to consider whether to sign this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which I received on ___________ __, 20__. If I elect to sign this Agreement before 21 days have passed, I understand I am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 and date below this paragraph to confirm that I knowingly and voluntarily agree to waive the 21-day consideration period.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274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 w:right="57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 OF JANE HENDERSON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ESTATED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ANE</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ENDERSON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entered into this 18th day of March 2022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by and between J</w:t>
      </w:r>
      <w:r>
        <w:rPr>
          <w:rFonts w:ascii="Times New Roman" w:cs="Times New Roman" w:eastAsia="Times New Roman" w:hAnsi="Times New Roman"/>
          <w:sz w:val="13"/>
          <w:szCs w:val="13"/>
          <w:color w:val="auto"/>
        </w:rPr>
        <w:t>ANE</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3"/>
          <w:szCs w:val="13"/>
          <w:color w:val="auto"/>
        </w:rPr>
        <w:t>ENDERSON</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DAGIO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the Executive have entered into that certain Amended and Restated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August 5, 2021 (the “</w:t>
      </w:r>
      <w:r>
        <w:rPr>
          <w:rFonts w:ascii="Times New Roman" w:cs="Times New Roman" w:eastAsia="Times New Roman" w:hAnsi="Times New Roman"/>
          <w:sz w:val="22"/>
          <w:szCs w:val="22"/>
          <w:b w:val="1"/>
          <w:bCs w:val="1"/>
          <w:i w:val="1"/>
          <w:iCs w:val="1"/>
          <w:color w:val="auto"/>
        </w:rPr>
        <w:t>Executive 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continue to employ Executive as its Chief Financial Officer, and to also employ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as its Chief Business Officer, and the Executive desires to accept such employment and to perform the duties to the Company on the terms and conditions hereinafter set forth in this Amendment; and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Company and the Executive wish to amend the Executive Agreement as set forth in this Amendment.</w:t>
      </w:r>
    </w:p>
    <w:p>
      <w:pPr>
        <w:spacing w:after="0" w:line="21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06" w:lineRule="exact"/>
        <w:rPr>
          <w:sz w:val="20"/>
          <w:szCs w:val="20"/>
          <w:color w:val="auto"/>
        </w:rPr>
      </w:pPr>
    </w:p>
    <w:p>
      <w:pPr>
        <w:ind w:left="380" w:right="20" w:hanging="372"/>
        <w:spacing w:after="0" w:line="262" w:lineRule="auto"/>
        <w:tabs>
          <w:tab w:leader="none" w:pos="38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to Section 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1(b) of the Executive Agreement is hereby amended by replacing the first paragraph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Section 1(b) in its entirety with the following:</w:t>
      </w:r>
    </w:p>
    <w:p>
      <w:pPr>
        <w:spacing w:after="0" w:line="40" w:lineRule="exact"/>
        <w:rPr>
          <w:sz w:val="20"/>
          <w:szCs w:val="20"/>
          <w:color w:val="auto"/>
        </w:rPr>
      </w:pPr>
    </w:p>
    <w:p>
      <w:pPr>
        <w:jc w:val="both"/>
        <w:ind w:left="760" w:right="740"/>
        <w:spacing w:after="0" w:line="257" w:lineRule="auto"/>
        <w:rPr>
          <w:sz w:val="20"/>
          <w:szCs w:val="20"/>
          <w:color w:val="auto"/>
        </w:rPr>
      </w:pPr>
      <w:r>
        <w:rPr>
          <w:rFonts w:ascii="Times New Roman" w:cs="Times New Roman" w:eastAsia="Times New Roman" w:hAnsi="Times New Roman"/>
          <w:sz w:val="21"/>
          <w:szCs w:val="21"/>
          <w:color w:val="auto"/>
        </w:rPr>
        <w:t>As of March 18, 2022 (the “</w:t>
      </w:r>
      <w:r>
        <w:rPr>
          <w:rFonts w:ascii="Times New Roman" w:cs="Times New Roman" w:eastAsia="Times New Roman" w:hAnsi="Times New Roman"/>
          <w:sz w:val="21"/>
          <w:szCs w:val="21"/>
          <w:b w:val="1"/>
          <w:bCs w:val="1"/>
          <w:i w:val="1"/>
          <w:iCs w:val="1"/>
          <w:color w:val="auto"/>
        </w:rPr>
        <w:t>Amendment Effective Date</w:t>
      </w:r>
      <w:r>
        <w:rPr>
          <w:rFonts w:ascii="Times New Roman" w:cs="Times New Roman" w:eastAsia="Times New Roman" w:hAnsi="Times New Roman"/>
          <w:sz w:val="21"/>
          <w:szCs w:val="21"/>
          <w:color w:val="auto"/>
        </w:rPr>
        <w:t>”), the Executive shall serve as the Chief Financial Officer and Chief Business Officer of the Company and shall have such powers and duties as customarily associated with those roles, and as may from time to time be prescribed by the Chief Executive Officer of the Company (the “</w:t>
      </w:r>
      <w:r>
        <w:rPr>
          <w:rFonts w:ascii="Times New Roman" w:cs="Times New Roman" w:eastAsia="Times New Roman" w:hAnsi="Times New Roman"/>
          <w:sz w:val="21"/>
          <w:szCs w:val="21"/>
          <w:b w:val="1"/>
          <w:bCs w:val="1"/>
          <w:i w:val="1"/>
          <w:iCs w:val="1"/>
          <w:color w:val="auto"/>
        </w:rPr>
        <w:t>CEO</w:t>
      </w:r>
      <w:r>
        <w:rPr>
          <w:rFonts w:ascii="Times New Roman" w:cs="Times New Roman" w:eastAsia="Times New Roman" w:hAnsi="Times New Roman"/>
          <w:sz w:val="21"/>
          <w:szCs w:val="21"/>
          <w:color w:val="auto"/>
        </w:rPr>
        <w:t>”), subject to the direction and control of the CEO. The Executive shall report to the CEO.</w:t>
      </w:r>
    </w:p>
    <w:p>
      <w:pPr>
        <w:spacing w:after="0" w:line="156" w:lineRule="exact"/>
        <w:rPr>
          <w:sz w:val="20"/>
          <w:szCs w:val="20"/>
          <w:color w:val="auto"/>
        </w:rPr>
      </w:pPr>
    </w:p>
    <w:p>
      <w:pPr>
        <w:ind w:left="380" w:hanging="372"/>
        <w:spacing w:after="0"/>
        <w:tabs>
          <w:tab w:leader="none" w:pos="38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to Section 2.</w:t>
      </w:r>
    </w:p>
    <w:p>
      <w:pPr>
        <w:spacing w:after="0" w:line="210" w:lineRule="exact"/>
        <w:rPr>
          <w:sz w:val="20"/>
          <w:szCs w:val="20"/>
          <w:color w:val="auto"/>
        </w:rPr>
      </w:pPr>
    </w:p>
    <w:p>
      <w:pPr>
        <w:ind w:left="2260" w:hanging="755"/>
        <w:spacing w:after="0"/>
        <w:tabs>
          <w:tab w:leader="none" w:pos="22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Section 2(a) is hereby replaced in 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as follows:</w:t>
      </w:r>
    </w:p>
    <w:p>
      <w:pPr>
        <w:spacing w:after="0" w:line="206" w:lineRule="exact"/>
        <w:rPr>
          <w:sz w:val="20"/>
          <w:szCs w:val="20"/>
          <w:color w:val="auto"/>
        </w:rPr>
      </w:pPr>
    </w:p>
    <w:p>
      <w:pPr>
        <w:jc w:val="both"/>
        <w:ind w:left="760" w:right="740"/>
        <w:spacing w:after="0" w:line="236" w:lineRule="auto"/>
        <w:rPr>
          <w:sz w:val="20"/>
          <w:szCs w:val="20"/>
          <w:color w:val="auto"/>
        </w:rPr>
      </w:pPr>
      <w:r>
        <w:rPr>
          <w:rFonts w:ascii="Times New Roman" w:cs="Times New Roman" w:eastAsia="Times New Roman" w:hAnsi="Times New Roman"/>
          <w:sz w:val="22"/>
          <w:szCs w:val="22"/>
          <w:color w:val="auto"/>
        </w:rPr>
        <w:t>Base Salary. As of the Amendment Effective Date, the Company will pay Executive, as compensation for the performance of the Executive’s duties and obligations hereunder, salary at the rate of $510,000 per year, less applicable deductions. The Executive’s salary shall be subject to annual review not later than March 31st of each year for possible increase by the Board or the Compensation Committee of the Board (the “</w:t>
      </w:r>
      <w:r>
        <w:rPr>
          <w:rFonts w:ascii="Times New Roman" w:cs="Times New Roman" w:eastAsia="Times New Roman" w:hAnsi="Times New Roman"/>
          <w:sz w:val="22"/>
          <w:szCs w:val="22"/>
          <w:b w:val="1"/>
          <w:bCs w:val="1"/>
          <w:i w:val="1"/>
          <w:iCs w:val="1"/>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which may be adjusted from time to time. The base salary in effect at any given time is referred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herein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8" w:name="page199"/>
    <w:bookmarkEnd w:id="198"/>
    <w:p>
      <w:pPr>
        <w:ind w:left="760" w:right="760" w:firstLine="68"/>
        <w:spacing w:after="0" w:line="264" w:lineRule="auto"/>
        <w:rPr>
          <w:sz w:val="20"/>
          <w:szCs w:val="20"/>
          <w:color w:val="auto"/>
        </w:rPr>
      </w:pPr>
      <w:r>
        <w:rPr>
          <w:rFonts w:ascii="Times New Roman" w:cs="Times New Roman" w:eastAsia="Times New Roman" w:hAnsi="Times New Roman"/>
          <w:sz w:val="22"/>
          <w:szCs w:val="22"/>
          <w:color w:val="auto"/>
        </w:rPr>
        <w:t>as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47" w:lineRule="exact"/>
        <w:rPr>
          <w:sz w:val="20"/>
          <w:szCs w:val="20"/>
          <w:color w:val="auto"/>
        </w:rPr>
      </w:pPr>
    </w:p>
    <w:p>
      <w:pPr>
        <w:ind w:left="380" w:right="20" w:hanging="372"/>
        <w:spacing w:after="0" w:line="262" w:lineRule="auto"/>
        <w:tabs>
          <w:tab w:leader="none" w:pos="38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to Appendix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A to the Executive Agreement is hereby amended by inserting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underneath “Outside Activities”:</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Member of the Board of Directors of Akero Therapeutics, IVERIC Bio, and Ventus Therapeutics</w:t>
      </w:r>
    </w:p>
    <w:p>
      <w:pPr>
        <w:spacing w:after="0" w:line="98" w:lineRule="exact"/>
        <w:rPr>
          <w:sz w:val="20"/>
          <w:szCs w:val="20"/>
          <w:color w:val="auto"/>
        </w:rPr>
      </w:pPr>
    </w:p>
    <w:p>
      <w:pPr>
        <w:jc w:val="both"/>
        <w:ind w:left="380" w:hanging="372"/>
        <w:spacing w:after="0" w:line="244" w:lineRule="auto"/>
        <w:tabs>
          <w:tab w:leader="none" w:pos="38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and the Executive further agree that this Amendment does not constitute grounds for “Good Reason” pursuant to Section 3(e) of the Executive Agreement, or otherwise constitute any trigger for the Company’s payment of any severance benefits to Executive pursuant to the Executive Agreement.</w:t>
      </w:r>
    </w:p>
    <w:p>
      <w:pPr>
        <w:spacing w:after="0" w:line="200" w:lineRule="exact"/>
        <w:rPr>
          <w:rFonts w:ascii="Times New Roman" w:cs="Times New Roman" w:eastAsia="Times New Roman" w:hAnsi="Times New Roman"/>
          <w:sz w:val="22"/>
          <w:szCs w:val="22"/>
          <w:b w:val="1"/>
          <w:bCs w:val="1"/>
          <w:color w:val="auto"/>
        </w:rPr>
      </w:pPr>
    </w:p>
    <w:p>
      <w:pPr>
        <w:jc w:val="both"/>
        <w:ind w:left="380" w:hanging="372"/>
        <w:spacing w:after="0" w:line="236" w:lineRule="auto"/>
        <w:tabs>
          <w:tab w:leader="none" w:pos="38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 cannot be modified or amended except in writing signed by the Executive and an authorized officer of the Company.</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parties have executed 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ESTATED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ANE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ENDERSON</w:t>
      </w:r>
      <w:r>
        <w:rPr>
          <w:rFonts w:ascii="Times New Roman" w:cs="Times New Roman" w:eastAsia="Times New Roman" w:hAnsi="Times New Roman"/>
          <w:sz w:val="22"/>
          <w:szCs w:val="22"/>
          <w:color w:val="auto"/>
        </w:rPr>
        <w:t xml:space="preserve"> on the day and year first written above.</w:t>
      </w: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DAGIO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David Hering</w:t>
      </w:r>
    </w:p>
    <w:p>
      <w:pPr>
        <w:ind w:left="4500"/>
        <w:spacing w:after="0" w:line="233" w:lineRule="auto"/>
        <w:rPr>
          <w:sz w:val="20"/>
          <w:szCs w:val="20"/>
          <w:color w:val="auto"/>
        </w:rPr>
      </w:pPr>
      <w:r>
        <w:rPr>
          <w:rFonts w:ascii="Times New Roman" w:cs="Times New Roman" w:eastAsia="Times New Roman" w:hAnsi="Times New Roman"/>
          <w:sz w:val="20"/>
          <w:szCs w:val="20"/>
          <w:color w:val="auto"/>
        </w:rPr>
        <w:t>__________________________________</w:t>
      </w:r>
    </w:p>
    <w:p>
      <w:pPr>
        <w:ind w:left="4500"/>
        <w:spacing w:after="0" w:line="226" w:lineRule="auto"/>
        <w:rPr>
          <w:sz w:val="20"/>
          <w:szCs w:val="20"/>
          <w:color w:val="auto"/>
        </w:rPr>
      </w:pPr>
      <w:r>
        <w:rPr>
          <w:rFonts w:ascii="Times New Roman" w:cs="Times New Roman" w:eastAsia="Times New Roman" w:hAnsi="Times New Roman"/>
          <w:sz w:val="20"/>
          <w:szCs w:val="20"/>
          <w:color w:val="auto"/>
        </w:rPr>
        <w:t>David Hering</w:t>
      </w:r>
    </w:p>
    <w:p>
      <w:pPr>
        <w:ind w:left="4500"/>
        <w:spacing w:after="0"/>
        <w:rPr>
          <w:sz w:val="20"/>
          <w:szCs w:val="20"/>
          <w:color w:val="auto"/>
        </w:rPr>
      </w:pPr>
      <w:r>
        <w:rPr>
          <w:rFonts w:ascii="Times New Roman" w:cs="Times New Roman" w:eastAsia="Times New Roman" w:hAnsi="Times New Roman"/>
          <w:sz w:val="20"/>
          <w:szCs w:val="20"/>
          <w:color w:val="auto"/>
        </w:rPr>
        <w:t>Interim CEO and Chief Operating Officer</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XECUTIVE</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Jane Henderson</w:t>
      </w:r>
    </w:p>
    <w:p>
      <w:pPr>
        <w:ind w:left="4500"/>
        <w:spacing w:after="0" w:line="233" w:lineRule="auto"/>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-15240</wp:posOffset>
            </wp:positionV>
            <wp:extent cx="14446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Jane Henderson</w:t>
      </w:r>
    </w:p>
    <w:p>
      <w:pPr>
        <w:spacing w:after="0" w:line="3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 hereby acknowledge and reaffirm my obligations pursuant to the Employee Proprietary Information and Inventions Assignment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Jane Henderson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rPr>
          <w:sz w:val="20"/>
          <w:szCs w:val="20"/>
          <w:color w:val="auto"/>
        </w:rPr>
      </w:pPr>
      <w:r>
        <w:rPr>
          <w:rFonts w:ascii="Times New Roman" w:cs="Times New Roman" w:eastAsia="Times New Roman" w:hAnsi="Times New Roman"/>
          <w:sz w:val="22"/>
          <w:szCs w:val="22"/>
          <w:color w:val="auto"/>
        </w:rPr>
        <w:t>Jane Henderson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3/25/2022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333-259008) of Adagio Therapeutics, Inc. of our report dated March 31, 2022 relating to the financial statements, which appears in this Form 10-K.</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ind w:left="20"/>
        <w:spacing w:after="0" w:line="221" w:lineRule="auto"/>
        <w:rPr>
          <w:sz w:val="20"/>
          <w:szCs w:val="20"/>
          <w:color w:val="auto"/>
        </w:rPr>
      </w:pPr>
      <w:r>
        <w:rPr>
          <w:rFonts w:ascii="Times New Roman" w:cs="Times New Roman" w:eastAsia="Times New Roman" w:hAnsi="Times New Roman"/>
          <w:sz w:val="18"/>
          <w:szCs w:val="18"/>
          <w:color w:val="auto"/>
        </w:rPr>
        <w:t>Boston, Massachusetts</w:t>
      </w:r>
    </w:p>
    <w:p>
      <w:pPr>
        <w:ind w:left="20"/>
        <w:spacing w:after="0"/>
        <w:rPr>
          <w:sz w:val="20"/>
          <w:szCs w:val="20"/>
          <w:color w:val="auto"/>
        </w:rPr>
      </w:pPr>
      <w:r>
        <w:rPr>
          <w:rFonts w:ascii="Times New Roman" w:cs="Times New Roman" w:eastAsia="Times New Roman" w:hAnsi="Times New Roman"/>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Hering, certify that:</w:t>
      </w:r>
    </w:p>
    <w:p>
      <w:pPr>
        <w:spacing w:after="0" w:line="212"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Adagio Therapeutics,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31,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18"/>
                <w:szCs w:val="18"/>
                <w:color w:val="auto"/>
              </w:rPr>
            </w:pPr>
          </w:p>
        </w:tc>
        <w:tc>
          <w:tcPr>
            <w:tcW w:w="352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color w:val="auto"/>
                <w:highlight w:val="white"/>
              </w:rPr>
              <w:t xml:space="preserve">/s/ </w:t>
            </w:r>
            <w:r>
              <w:rPr>
                <w:rFonts w:ascii="Times New Roman" w:cs="Times New Roman" w:eastAsia="Times New Roman" w:hAnsi="Times New Roman"/>
                <w:sz w:val="18"/>
                <w:szCs w:val="18"/>
                <w:color w:val="auto"/>
              </w:rPr>
              <w:t>David Hering, M.B.A.</w:t>
            </w:r>
          </w:p>
        </w:tc>
      </w:tr>
      <w:tr>
        <w:trPr>
          <w:trHeight w:val="20"/>
        </w:trPr>
        <w:tc>
          <w:tcPr>
            <w:tcW w:w="3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147"/>
        </w:trPr>
        <w:tc>
          <w:tcPr>
            <w:tcW w:w="3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20" w:type="dxa"/>
            <w:vAlign w:val="bottom"/>
            <w:gridSpan w:val="2"/>
          </w:tcPr>
          <w:p>
            <w:pPr>
              <w:jc w:val="center"/>
              <w:ind w:right="1680"/>
              <w:spacing w:after="0" w:line="147" w:lineRule="exact"/>
              <w:rPr>
                <w:sz w:val="20"/>
                <w:szCs w:val="20"/>
                <w:color w:val="auto"/>
              </w:rPr>
            </w:pPr>
            <w:r>
              <w:rPr>
                <w:rFonts w:ascii="Times New Roman" w:cs="Times New Roman" w:eastAsia="Times New Roman" w:hAnsi="Times New Roman"/>
                <w:sz w:val="17"/>
                <w:szCs w:val="17"/>
                <w:b w:val="1"/>
                <w:bCs w:val="1"/>
                <w:color w:val="auto"/>
              </w:rPr>
              <w:t>David Hering, M.B.A.</w:t>
            </w:r>
          </w:p>
        </w:tc>
      </w:tr>
      <w:tr>
        <w:trPr>
          <w:trHeight w:val="189"/>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Interim Chief Executive Officer and</w:t>
            </w:r>
          </w:p>
        </w:tc>
      </w:tr>
      <w:tr>
        <w:trPr>
          <w:trHeight w:val="189"/>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Chief Operating Officer</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Executive Officer)</w:t>
            </w:r>
          </w:p>
        </w:tc>
      </w:tr>
      <w:tr>
        <w:trPr>
          <w:trHeight w:val="1128"/>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 Pritchett Henderson</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certify that:</w:t>
      </w:r>
    </w:p>
    <w:p>
      <w:pPr>
        <w:spacing w:after="0" w:line="212"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Adagio Therapeutics,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31,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tcPr>
          <w:p>
            <w:pPr>
              <w:spacing w:after="0"/>
              <w:rPr>
                <w:sz w:val="18"/>
                <w:szCs w:val="18"/>
                <w:color w:val="auto"/>
              </w:rPr>
            </w:pPr>
          </w:p>
        </w:tc>
        <w:tc>
          <w:tcPr>
            <w:tcW w:w="362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highlight w:val="white"/>
              </w:rPr>
              <w:t>/s/ Jane Pritchett Henderson</w:t>
            </w:r>
          </w:p>
        </w:tc>
      </w:tr>
      <w:tr>
        <w:trPr>
          <w:trHeight w:val="147"/>
        </w:trPr>
        <w:tc>
          <w:tcPr>
            <w:tcW w:w="3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0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Jane Pritchett Henderson</w:t>
            </w:r>
          </w:p>
        </w:tc>
        <w:tc>
          <w:tcPr>
            <w:tcW w:w="1600" w:type="dxa"/>
            <w:vAlign w:val="bottom"/>
            <w:tcBorders>
              <w:top w:val="single" w:sz="8" w:color="auto"/>
            </w:tcBorders>
          </w:tcPr>
          <w:p>
            <w:pPr>
              <w:spacing w:after="0"/>
              <w:rPr>
                <w:sz w:val="12"/>
                <w:szCs w:val="12"/>
                <w:color w:val="auto"/>
              </w:rPr>
            </w:pPr>
          </w:p>
        </w:tc>
      </w:tr>
      <w:tr>
        <w:trPr>
          <w:trHeight w:val="189"/>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Chief Financial Officer and</w:t>
            </w:r>
          </w:p>
        </w:tc>
      </w:tr>
      <w:tr>
        <w:trPr>
          <w:trHeight w:val="189"/>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20" w:type="dxa"/>
            <w:vAlign w:val="bottom"/>
            <w:gridSpan w:val="2"/>
          </w:tcPr>
          <w:p>
            <w:pPr>
              <w:jc w:val="center"/>
              <w:ind w:right="15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Chief Business Officer</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Financial Officer)</w:t>
            </w:r>
          </w:p>
        </w:tc>
      </w:tr>
      <w:tr>
        <w:trPr>
          <w:trHeight w:val="1330"/>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Adagio Therapeutics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3"/>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18"/>
                <w:szCs w:val="18"/>
                <w:color w:val="auto"/>
              </w:rPr>
            </w:pPr>
          </w:p>
        </w:tc>
        <w:tc>
          <w:tcPr>
            <w:tcW w:w="352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color w:val="auto"/>
                <w:highlight w:val="white"/>
              </w:rPr>
              <w:t>/s/ David Hering, M.B.A.</w:t>
            </w:r>
          </w:p>
        </w:tc>
      </w:tr>
      <w:tr>
        <w:trPr>
          <w:trHeight w:val="147"/>
        </w:trPr>
        <w:tc>
          <w:tcPr>
            <w:tcW w:w="36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84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highlight w:val="white"/>
              </w:rPr>
              <w:t>David Hering, M.B.A.</w:t>
            </w:r>
          </w:p>
        </w:tc>
        <w:tc>
          <w:tcPr>
            <w:tcW w:w="1680" w:type="dxa"/>
            <w:vAlign w:val="bottom"/>
            <w:tcBorders>
              <w:top w:val="single" w:sz="8" w:color="auto"/>
            </w:tcBorders>
          </w:tcPr>
          <w:p>
            <w:pPr>
              <w:spacing w:after="0"/>
              <w:rPr>
                <w:sz w:val="12"/>
                <w:szCs w:val="12"/>
                <w:color w:val="auto"/>
              </w:rPr>
            </w:pPr>
          </w:p>
        </w:tc>
      </w:tr>
      <w:tr>
        <w:trPr>
          <w:trHeight w:val="189"/>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Interim Chief Executive Officer and</w:t>
            </w:r>
          </w:p>
        </w:tc>
      </w:tr>
      <w:tr>
        <w:trPr>
          <w:trHeight w:val="189"/>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Chief Operating Officer</w:t>
            </w:r>
          </w:p>
        </w:tc>
      </w:t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Executive Officer)</w:t>
            </w:r>
          </w:p>
        </w:tc>
      </w:tr>
    </w:tbl>
    <w:p>
      <w:pPr>
        <w:spacing w:after="0" w:line="171"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Adagio Therapeutics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tcPr>
          <w:p>
            <w:pPr>
              <w:spacing w:after="0"/>
              <w:rPr>
                <w:sz w:val="18"/>
                <w:szCs w:val="18"/>
                <w:color w:val="auto"/>
              </w:rPr>
            </w:pPr>
          </w:p>
        </w:tc>
        <w:tc>
          <w:tcPr>
            <w:tcW w:w="362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highlight w:val="white"/>
              </w:rPr>
              <w:t>/s/ Jane Pritchett Henderson</w:t>
            </w:r>
          </w:p>
        </w:tc>
      </w:tr>
      <w:tr>
        <w:trPr>
          <w:trHeight w:val="147"/>
        </w:trPr>
        <w:tc>
          <w:tcPr>
            <w:tcW w:w="36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0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Jane Pritchett Henderson</w:t>
            </w:r>
          </w:p>
        </w:tc>
        <w:tc>
          <w:tcPr>
            <w:tcW w:w="1600" w:type="dxa"/>
            <w:vAlign w:val="bottom"/>
            <w:tcBorders>
              <w:top w:val="single" w:sz="8" w:color="auto"/>
            </w:tcBorders>
          </w:tcPr>
          <w:p>
            <w:pPr>
              <w:spacing w:after="0"/>
              <w:rPr>
                <w:sz w:val="12"/>
                <w:szCs w:val="12"/>
                <w:color w:val="auto"/>
              </w:rPr>
            </w:pPr>
          </w:p>
        </w:tc>
      </w:tr>
      <w:tr>
        <w:trPr>
          <w:trHeight w:val="189"/>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Chief Financial Officer and</w:t>
            </w:r>
          </w:p>
        </w:tc>
      </w:tr>
      <w:tr>
        <w:trPr>
          <w:trHeight w:val="189"/>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20" w:type="dxa"/>
            <w:vAlign w:val="bottom"/>
            <w:gridSpan w:val="2"/>
          </w:tcPr>
          <w:p>
            <w:pPr>
              <w:jc w:val="center"/>
              <w:ind w:right="15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Chief Business Officer</w:t>
            </w:r>
          </w:p>
        </w:tc>
      </w:t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Financial Officer)</w:t>
            </w:r>
          </w:p>
        </w:tc>
      </w:tr>
    </w:tbl>
    <w:p>
      <w:pPr>
        <w:spacing w:after="0" w:line="171"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4" w:name="page205"/>
    <w:bookmarkEnd w:id="2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lvl w:ilvl="1">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1)"/>
      <w:numFmt w:val="decimal"/>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1)"/>
      <w:numFmt w:val="decimal"/>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lvl w:ilvl="1">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1)"/>
      <w:numFmt w:val="decimal"/>
      <w:start w:val="1"/>
    </w:lvl>
  </w:abstractNum>
  <w:abstractNum w:abstractNumId="80">
    <w:nsid w:val="1D9F6E5F"/>
    <w:multiLevelType w:val="hybridMultilevel"/>
    <w:lvl w:ilvl="0">
      <w:lvlJc w:val="left"/>
      <w:lvlText w:val="%1."/>
      <w:numFmt w:val="decimal"/>
      <w:start w:val="2"/>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1)"/>
      <w:numFmt w:val="decimal"/>
      <w:start w:val="606"/>
    </w:lvl>
  </w:abstractNum>
  <w:abstractNum w:abstractNumId="83">
    <w:nsid w:val="1CA0C5FA"/>
    <w:multiLevelType w:val="hybridMultilevel"/>
    <w:lvl w:ilvl="0">
      <w:lvlJc w:val="left"/>
      <w:lvlText w:val="%1."/>
      <w:numFmt w:val="decimal"/>
      <w:start w:val="11"/>
    </w:lvl>
  </w:abstractNum>
  <w:abstractNum w:abstractNumId="84">
    <w:nsid w:val="53584BCB"/>
    <w:multiLevelType w:val="hybridMultilevel"/>
    <w:lvl w:ilvl="0">
      <w:lvlJc w:val="left"/>
      <w:lvlText w:val="%1."/>
      <w:numFmt w:val="decimal"/>
      <w:start w:val="15"/>
    </w:lvl>
  </w:abstractNum>
  <w:abstractNum w:abstractNumId="85">
    <w:nsid w:val="415E286C"/>
    <w:multiLevelType w:val="hybridMultilevel"/>
    <w:lvl w:ilvl="0">
      <w:lvlJc w:val="left"/>
      <w:lvlText w:val="(%1)"/>
      <w:numFmt w:val="decimal"/>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1."/>
      <w:numFmt w:val="decimal"/>
      <w:start w:val="1"/>
    </w:lvl>
    <w:lvl w:ilvl="1">
      <w:lvlJc w:val="left"/>
      <w:lvlText w:val="%2."/>
      <w:numFmt w:val="lowerLetter"/>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2"/>
    </w:lvl>
  </w:abstractNum>
  <w:abstractNum w:abstractNumId="92">
    <w:nsid w:val="4BD8591A"/>
    <w:multiLevelType w:val="hybridMultilevel"/>
    <w:lvl w:ilvl="0">
      <w:lvlJc w:val="left"/>
      <w:lvlText w:val="%1."/>
      <w:numFmt w:val="decimal"/>
      <w:start w:val="3"/>
    </w:lvl>
  </w:abstractNum>
  <w:abstractNum w:abstractNumId="93">
    <w:nsid w:val="78DF6A55"/>
    <w:multiLevelType w:val="hybridMultilevel"/>
    <w:lvl w:ilvl="0">
      <w:lvlJc w:val="left"/>
      <w:lvlText w:val="%1."/>
      <w:numFmt w:val="lowerLetter"/>
      <w:start w:val="1"/>
    </w:lvl>
  </w:abstractNum>
  <w:abstractNum w:abstractNumId="94">
    <w:nsid w:val="39B7AAA2"/>
    <w:multiLevelType w:val="hybridMultilevel"/>
    <w:lvl w:ilvl="0">
      <w:lvlJc w:val="left"/>
      <w:lvlText w:val="%1."/>
      <w:numFmt w:val="lowerLetter"/>
      <w:start w:val="2"/>
    </w:lvl>
  </w:abstractNum>
  <w:abstractNum w:abstractNumId="95">
    <w:nsid w:val="2B0D8DBE"/>
    <w:multiLevelType w:val="hybridMultilevel"/>
    <w:lvl w:ilvl="0">
      <w:lvlJc w:val="left"/>
      <w:lvlText w:val="%1."/>
      <w:numFmt w:val="decimal"/>
      <w:start w:val="4"/>
    </w:lvl>
  </w:abstractNum>
  <w:abstractNum w:abstractNumId="96">
    <w:nsid w:val="6C80EC70"/>
    <w:multiLevelType w:val="hybridMultilevel"/>
    <w:lvl w:ilvl="0">
      <w:lvlJc w:val="left"/>
      <w:lvlText w:val="%1."/>
      <w:numFmt w:val="decimal"/>
      <w:start w:val="5"/>
    </w:lvl>
  </w:abstractNum>
  <w:abstractNum w:abstractNumId="97">
    <w:nsid w:val="379E21B5"/>
    <w:multiLevelType w:val="hybridMultilevel"/>
    <w:lvl w:ilvl="0">
      <w:lvlJc w:val="left"/>
      <w:lvlText w:val="%1."/>
      <w:numFmt w:val="decimal"/>
      <w:start w:val="1"/>
    </w:lvl>
    <w:lvl w:ilvl="1">
      <w:lvlJc w:val="left"/>
      <w:lvlText w:val="(%2)"/>
      <w:numFmt w:val="lowerLetter"/>
      <w:start w:val="1"/>
    </w:lvl>
  </w:abstractNum>
  <w:abstractNum w:abstractNumId="98">
    <w:nsid w:val="69E373"/>
    <w:multiLevelType w:val="hybridMultilevel"/>
    <w:lvl w:ilvl="0">
      <w:lvlJc w:val="left"/>
      <w:lvlText w:val="(%1)"/>
      <w:numFmt w:val="lowerLetter"/>
      <w:start w:val="3"/>
    </w:lvl>
  </w:abstractNum>
  <w:abstractNum w:abstractNumId="99">
    <w:nsid w:val="2C27173B"/>
    <w:multiLevelType w:val="hybridMultilevel"/>
    <w:lvl w:ilvl="0">
      <w:lvlJc w:val="left"/>
      <w:lvlText w:val="%1."/>
      <w:numFmt w:val="decimal"/>
      <w:start w:val="2"/>
    </w:lvl>
    <w:lvl w:ilvl="1">
      <w:lvlJc w:val="left"/>
      <w:lvlText w:val="(%2)"/>
      <w:numFmt w:val="lowerLetter"/>
      <w:start w:val="1"/>
    </w:lvl>
  </w:abstractNum>
  <w:abstractNum w:abstractNumId="100">
    <w:nsid w:val="4C9B0904"/>
    <w:multiLevelType w:val="hybridMultilevel"/>
    <w:lvl w:ilvl="0">
      <w:lvlJc w:val="left"/>
      <w:lvlText w:val="(%1)"/>
      <w:numFmt w:val="lowerLetter"/>
      <w:start w:val="4"/>
    </w:lvl>
  </w:abstractNum>
  <w:abstractNum w:abstractNumId="101">
    <w:nsid w:val="6AA7B75C"/>
    <w:multiLevelType w:val="hybridMultilevel"/>
    <w:lvl w:ilvl="0">
      <w:lvlJc w:val="left"/>
      <w:lvlText w:val="(%1)"/>
      <w:numFmt w:val="lowerLetter"/>
      <w:start w:val="7"/>
    </w:lvl>
  </w:abstractNum>
  <w:abstractNum w:abstractNumId="102">
    <w:nsid w:val="1DF029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3">
    <w:nsid w:val="5675FF36"/>
    <w:multiLevelType w:val="hybridMultilevel"/>
    <w:lvl w:ilvl="0">
      <w:lvlJc w:val="left"/>
      <w:lvlText w:val="(%1)"/>
      <w:numFmt w:val="lowerRoman"/>
      <w:start w:val="3"/>
    </w:lvl>
  </w:abstractNum>
  <w:abstractNum w:abstractNumId="104">
    <w:nsid w:val="3DD15094"/>
    <w:multiLevelType w:val="hybridMultilevel"/>
    <w:lvl w:ilvl="0">
      <w:lvlJc w:val="left"/>
      <w:lvlText w:val="(%1)"/>
      <w:numFmt w:val="lowerLetter"/>
      <w:start w:val="4"/>
    </w:lvl>
    <w:lvl w:ilvl="1">
      <w:lvlJc w:val="left"/>
      <w:lvlText w:val="(%2)"/>
      <w:numFmt w:val="lowerRoman"/>
      <w:start w:val="1"/>
    </w:lvl>
  </w:abstractNum>
  <w:abstractNum w:abstractNumId="105">
    <w:nsid w:val="3DB012B3"/>
    <w:multiLevelType w:val="hybridMultilevel"/>
    <w:lvl w:ilvl="0">
      <w:lvlJc w:val="left"/>
      <w:lvlText w:val="(%1)"/>
      <w:numFmt w:val="lowerRoman"/>
      <w:start w:val="1"/>
    </w:lvl>
  </w:abstractNum>
  <w:abstractNum w:abstractNumId="106">
    <w:nsid w:val="2708C9AF"/>
    <w:multiLevelType w:val="hybridMultilevel"/>
    <w:lvl w:ilvl="0">
      <w:lvlJc w:val="left"/>
      <w:lvlText w:val="(%1)"/>
      <w:numFmt w:val="lowerRoman"/>
      <w:start w:val="5"/>
    </w:lvl>
  </w:abstractNum>
  <w:abstractNum w:abstractNumId="107">
    <w:nsid w:val="5B25ACE2"/>
    <w:multiLevelType w:val="hybridMultilevel"/>
    <w:lvl w:ilvl="0">
      <w:lvlJc w:val="left"/>
      <w:lvlText w:val="%1."/>
      <w:numFmt w:val="decimal"/>
      <w:start w:val="4"/>
    </w:lvl>
    <w:lvl w:ilvl="1">
      <w:lvlJc w:val="left"/>
      <w:lvlText w:val="(%2)"/>
      <w:numFmt w:val="lowerLetter"/>
      <w:start w:val="1"/>
    </w:lvl>
  </w:abstractNum>
  <w:abstractNum w:abstractNumId="108">
    <w:nsid w:val="175DFCF0"/>
    <w:multiLevelType w:val="hybridMultilevel"/>
    <w:lvl w:ilvl="0">
      <w:lvlJc w:val="left"/>
      <w:lvlText w:val="%1."/>
      <w:numFmt w:val="decimal"/>
      <w:start w:val="5"/>
    </w:lvl>
    <w:lvl w:ilvl="1">
      <w:lvlJc w:val="left"/>
      <w:lvlText w:val="(%2)"/>
      <w:numFmt w:val="lowerLetter"/>
      <w:start w:val="1"/>
    </w:lvl>
  </w:abstractNum>
  <w:abstractNum w:abstractNumId="109">
    <w:nsid w:val="4F97E3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10">
    <w:nsid w:val="53B0A9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11">
    <w:nsid w:val="34FD6B4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decimal"/>
      <w:start w:val="7"/>
    </w:lvl>
    <w:lvl w:ilvl="1">
      <w:lvlJc w:val="left"/>
      <w:lvlText w:val="(%2)"/>
      <w:numFmt w:val="lowerLetter"/>
      <w:start w:val="1"/>
    </w:lvl>
  </w:abstractNum>
  <w:abstractNum w:abstractNumId="114">
    <w:nsid w:val="519E3149"/>
    <w:multiLevelType w:val="hybridMultilevel"/>
    <w:lvl w:ilvl="0">
      <w:lvlJc w:val="left"/>
      <w:lvlText w:val="%1."/>
      <w:numFmt w:val="decimal"/>
      <w:start w:val="8"/>
    </w:lvl>
    <w:lvl w:ilvl="1">
      <w:lvlJc w:val="left"/>
      <w:lvlText w:val="(%2)"/>
      <w:numFmt w:val="lowerLetter"/>
      <w:start w:val="1"/>
    </w:lvl>
  </w:abstractNum>
  <w:abstractNum w:abstractNumId="115">
    <w:nsid w:val="2C6E4AFD"/>
    <w:multiLevelType w:val="hybridMultilevel"/>
    <w:lvl w:ilvl="0">
      <w:lvlJc w:val="left"/>
      <w:lvlText w:val="%1"/>
      <w:numFmt w:val="decimal"/>
      <w:start w:val="1"/>
    </w:lvl>
    <w:lvl w:ilvl="1">
      <w:lvlJc w:val="left"/>
      <w:lvlText w:val="(%2)"/>
      <w:numFmt w:val="lowerLetter"/>
      <w:start w:val="5"/>
    </w:lvl>
  </w:abstractNum>
  <w:abstractNum w:abstractNumId="116">
    <w:nsid w:val="17A1B582"/>
    <w:multiLevelType w:val="hybridMultilevel"/>
    <w:lvl w:ilvl="0">
      <w:lvlJc w:val="left"/>
      <w:lvlText w:val="%1."/>
      <w:numFmt w:val="decimal"/>
      <w:start w:val="9"/>
    </w:lvl>
    <w:lvl w:ilvl="1">
      <w:lvlJc w:val="left"/>
      <w:lvlText w:val="(%2)"/>
      <w:numFmt w:val="lowerLetter"/>
      <w:start w:val="1"/>
    </w:lvl>
  </w:abstractNum>
  <w:abstractNum w:abstractNumId="117">
    <w:nsid w:val="4DF72E4E"/>
    <w:multiLevelType w:val="hybridMultilevel"/>
    <w:lvl w:ilvl="0">
      <w:lvlJc w:val="left"/>
      <w:lvlText w:val="%1"/>
      <w:numFmt w:val="decimal"/>
      <w:start w:val="1"/>
    </w:lvl>
    <w:lvl w:ilvl="1">
      <w:lvlJc w:val="left"/>
      <w:lvlText w:val="(%2)"/>
      <w:numFmt w:val="lowerLetter"/>
      <w:start w:val="4"/>
    </w:lvl>
  </w:abstractNum>
  <w:abstractNum w:abstractNumId="118">
    <w:nsid w:val="5046B5A9"/>
    <w:multiLevelType w:val="hybridMultilevel"/>
    <w:lvl w:ilvl="0">
      <w:lvlJc w:val="left"/>
      <w:lvlText w:val="%1."/>
      <w:numFmt w:val="decimal"/>
      <w:start w:val="10"/>
    </w:lvl>
    <w:lvl w:ilvl="1">
      <w:lvlJc w:val="left"/>
      <w:lvlText w:val="%2"/>
      <w:numFmt w:val="lowerLetter"/>
      <w:start w:val="1"/>
    </w:lvl>
  </w:abstractNum>
  <w:abstractNum w:abstractNumId="119">
    <w:nsid w:val="5D888A08"/>
    <w:multiLevelType w:val="hybridMultilevel"/>
    <w:lvl w:ilvl="0">
      <w:lvlJc w:val="left"/>
      <w:lvlText w:val="%1."/>
      <w:numFmt w:val="decimal"/>
      <w:start w:val="14"/>
    </w:lvl>
  </w:abstractNum>
  <w:abstractNum w:abstractNumId="120">
    <w:nsid w:val="2A082C70"/>
    <w:multiLevelType w:val="hybridMultilevel"/>
    <w:lvl w:ilvl="0">
      <w:lvlJc w:val="left"/>
      <w:lvlText w:val="%1."/>
      <w:numFmt w:val="decimal"/>
      <w:start w:val="18"/>
    </w:lvl>
  </w:abstractNum>
  <w:abstractNum w:abstractNumId="121">
    <w:nsid w:val="5EC6AFD4"/>
    <w:multiLevelType w:val="hybridMultilevel"/>
    <w:lvl w:ilvl="0">
      <w:lvlJc w:val="left"/>
      <w:lvlText w:val="%1"/>
      <w:numFmt w:val="decimal"/>
      <w:start w:val="1"/>
    </w:lvl>
    <w:lvl w:ilvl="1">
      <w:lvlJc w:val="left"/>
      <w:lvlText w:val="(%2)"/>
      <w:numFmt w:val="lowerLetter"/>
      <w:start w:val="1"/>
    </w:lvl>
  </w:abstractNum>
  <w:abstractNum w:abstractNumId="122">
    <w:nsid w:val="19E21BB2"/>
    <w:multiLevelType w:val="hybridMultilevel"/>
    <w:lvl w:ilvl="0">
      <w:lvlJc w:val="left"/>
      <w:lvlText w:val="%1."/>
      <w:numFmt w:val="decimal"/>
      <w:start w:val="23"/>
    </w:lvl>
    <w:lvl w:ilvl="1">
      <w:lvlJc w:val="left"/>
      <w:lvlText w:val="%2"/>
      <w:numFmt w:val="lowerLetter"/>
      <w:start w:val="1"/>
    </w:lvl>
  </w:abstractNum>
  <w:abstractNum w:abstractNumId="123">
    <w:nsid w:val="75E0858A"/>
    <w:multiLevelType w:val="hybridMultilevel"/>
    <w:lvl w:ilvl="0">
      <w:lvlJc w:val="left"/>
      <w:lvlText w:val="%1."/>
      <w:numFmt w:val="decimal"/>
      <w:start w:val="24"/>
    </w:lvl>
  </w:abstractNum>
  <w:abstractNum w:abstractNumId="124">
    <w:nsid w:val="57A61A29"/>
    <w:multiLevelType w:val="hybridMultilevel"/>
    <w:lvl w:ilvl="0">
      <w:lvlJc w:val="left"/>
      <w:lvlText w:val="%1)"/>
      <w:numFmt w:val="lowerLetter"/>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1)"/>
      <w:numFmt w:val="lowerLetter"/>
      <w:start w:val="2"/>
    </w:lvl>
  </w:abstractNum>
  <w:abstractNum w:abstractNumId="128">
    <w:nsid w:val="B37E80A"/>
    <w:multiLevelType w:val="hybridMultilevel"/>
    <w:lvl w:ilvl="0">
      <w:lvlJc w:val="left"/>
      <w:lvlText w:val="%1."/>
      <w:numFmt w:val="decimal"/>
      <w:start w:val="1"/>
    </w:lvl>
  </w:abstractNum>
  <w:abstractNum w:abstractNumId="129">
    <w:nsid w:val="2157F6BC"/>
    <w:multiLevelType w:val="hybridMultilevel"/>
    <w:lvl w:ilvl="0">
      <w:lvlJc w:val="left"/>
      <w:lvlText w:val="%1."/>
      <w:numFmt w:val="decimal"/>
      <w:start w:val="2"/>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decimal"/>
      <w:start w:val="3"/>
    </w:lvl>
  </w:abstractNum>
  <w:abstractNum w:abstractNumId="132">
    <w:nsid w:val="BFFAE18"/>
    <w:multiLevelType w:val="hybridMultilevel"/>
    <w:lvl w:ilvl="0">
      <w:lvlJc w:val="left"/>
      <w:lvlText w:val="%1."/>
      <w:numFmt w:val="decimal"/>
      <w:start w:val="4"/>
    </w:lvl>
  </w:abstractNum>
  <w:abstractNum w:abstractNumId="133">
    <w:nsid w:val="E3E47A8"/>
    <w:multiLevelType w:val="hybridMultilevel"/>
    <w:lvl w:ilvl="0">
      <w:lvlJc w:val="left"/>
      <w:lvlText w:val="%1."/>
      <w:numFmt w:val="decimal"/>
      <w:start w:val="1"/>
    </w:lvl>
    <w:lvl w:ilvl="1">
      <w:lvlJc w:val="left"/>
      <w:lvlText w:val="(%2)"/>
      <w:numFmt w:val="lowerLetter"/>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185" Type="http://schemas.openxmlformats.org/officeDocument/2006/relationships/hyperlink" Target="https://www.sec.gov/Archives/edgar/data/0001832038/000119312521242044/d211424dex31.htm" TargetMode="External"/><Relationship Id="rId186" Type="http://schemas.openxmlformats.org/officeDocument/2006/relationships/hyperlink" Target="https://www.sec.gov/Archives/edgar/data/0001832038/000119312521242044/d211424dex32.htm" TargetMode="External"/><Relationship Id="rId187" Type="http://schemas.openxmlformats.org/officeDocument/2006/relationships/hyperlink" Target="https://www.sec.gov/Archives/edgar/data/0001832038/000119312521217506/d549501dex41.htm" TargetMode="External"/><Relationship Id="rId188" Type="http://schemas.openxmlformats.org/officeDocument/2006/relationships/hyperlink" Target="https://www.sec.gov/Archives/edgar/data/1832038/000119312521217506/d549501dex101.htm" TargetMode="External"/><Relationship Id="rId189" Type="http://schemas.openxmlformats.org/officeDocument/2006/relationships/hyperlink" Target="https://www.sec.gov/Archives/edgar/data/0001832038/000119312521232137/d549501dex102.htm" TargetMode="External"/><Relationship Id="rId190" Type="http://schemas.openxmlformats.org/officeDocument/2006/relationships/hyperlink" Target="https://www.sec.gov/Archives/edgar/data/0001832038/000119312521232137/d549501dex103.htm" TargetMode="External"/><Relationship Id="rId191" Type="http://schemas.openxmlformats.org/officeDocument/2006/relationships/hyperlink" Target="https://www.sec.gov/Archives/edgar/data/0001832038/000119312521232137/d549501dex104.htm" TargetMode="External"/><Relationship Id="rId192" Type="http://schemas.openxmlformats.org/officeDocument/2006/relationships/hyperlink" Target="https://www.sec.gov/Archives/edgar/data/0001832038/000095017021001832/adgi-20210630ex10_5.htm" TargetMode="External"/><Relationship Id="rId193" Type="http://schemas.openxmlformats.org/officeDocument/2006/relationships/hyperlink" Target="https://www.sec.gov/Archives/edgar/data/0001832038/000095017021001832/adgi-20210630ex10_6.htm" TargetMode="External"/><Relationship Id="rId194" Type="http://schemas.openxmlformats.org/officeDocument/2006/relationships/hyperlink" Target="https://www.sec.gov/Archives/edgar/data/0001832038/000095017021001832/adgi-20210630ex10_7.htm" TargetMode="External"/><Relationship Id="rId195" Type="http://schemas.openxmlformats.org/officeDocument/2006/relationships/hyperlink" Target="https://www.sec.gov/Archives/edgar/data/1832038/000119312522079997/d285779dex991.htm" TargetMode="External"/><Relationship Id="rId200" Type="http://schemas.openxmlformats.org/officeDocument/2006/relationships/hyperlink" Target="https://www.sec.gov/Archives/edgar/data/0001832038/000095017021004586/adgi-ex10_1.htm" TargetMode="External"/><Relationship Id="rId201" Type="http://schemas.openxmlformats.org/officeDocument/2006/relationships/hyperlink" Target="https://www.sec.gov/Archives/edgar/data/1832038/000119312521217506/d549501dex105.htm" TargetMode="External"/><Relationship Id="rId202" Type="http://schemas.openxmlformats.org/officeDocument/2006/relationships/hyperlink" Target="https://www.sec.gov/Archives/edgar/data/1832038/000119312521217506/d549501dex106.htm" TargetMode="External"/><Relationship Id="rId203" Type="http://schemas.openxmlformats.org/officeDocument/2006/relationships/hyperlink" Target="https://www.sec.gov/Archives/edgar/data/0001832038/000095017021004586/adgi-ex10_2.htm" TargetMode="External"/><Relationship Id="rId204" Type="http://schemas.openxmlformats.org/officeDocument/2006/relationships/hyperlink" Target="https://www.sec.gov/Archives/edgar/data/1832038/000119312521217506/d549501dex108.htm" TargetMode="External"/><Relationship Id="rId205" Type="http://schemas.openxmlformats.org/officeDocument/2006/relationships/hyperlink" Target="https://www.sec.gov/Archives/edgar/data/0001832038/000119312521217506/d54950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2022-03-31T07:22:50Z</dcterms:created>
  <dcterms:modified xsi:type="dcterms:W3CDTF">2022-03-31T07:22:50Z</dcterms:modified>
</cp:coreProperties>
</file>