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Invivyd,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35"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00534A102</w:t>
      </w:r>
    </w:p>
    <w:p>
      <w:pPr>
        <w:spacing w:after="0" w:line="262"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Ltd.</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Texas</w:t>
      </w:r>
    </w:p>
    <w:p>
      <w:pPr>
        <w:spacing w:after="0" w:line="32"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9,343,949</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0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9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3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60" w:hanging="93"/>
        <w:spacing w:after="0"/>
        <w:tabs>
          <w:tab w:leader="none" w:pos="20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9,343,949</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9,343,949</w:t>
      </w:r>
    </w:p>
    <w:p>
      <w:pPr>
        <w:spacing w:after="0" w:line="36" w:lineRule="exact"/>
        <w:rPr>
          <w:sz w:val="20"/>
          <w:szCs w:val="20"/>
          <w:color w:val="auto"/>
        </w:rPr>
      </w:pPr>
    </w:p>
    <w:p>
      <w:pPr>
        <w:ind w:left="520" w:hanging="367"/>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00534A102</w:t>
      </w:r>
    </w:p>
    <w:p>
      <w:pPr>
        <w:spacing w:after="0" w:line="262" w:lineRule="exact"/>
        <w:rPr>
          <w:sz w:val="20"/>
          <w:szCs w:val="20"/>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Texas</w:t>
      </w:r>
    </w:p>
    <w:p>
      <w:pPr>
        <w:spacing w:after="0" w:line="32"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9,343,949</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0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9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3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60" w:hanging="93"/>
        <w:spacing w:after="0"/>
        <w:tabs>
          <w:tab w:leader="none" w:pos="20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9,343,949</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9,343,949</w:t>
      </w:r>
    </w:p>
    <w:p>
      <w:pPr>
        <w:spacing w:after="0" w:line="36" w:lineRule="exact"/>
        <w:rPr>
          <w:sz w:val="20"/>
          <w:szCs w:val="20"/>
          <w:color w:val="auto"/>
        </w:rPr>
      </w:pPr>
    </w:p>
    <w:p>
      <w:pPr>
        <w:ind w:left="520" w:hanging="367"/>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00534A102</w:t>
      </w:r>
    </w:p>
    <w:p>
      <w:pPr>
        <w:spacing w:after="0" w:line="262" w:lineRule="exact"/>
        <w:rPr>
          <w:sz w:val="20"/>
          <w:szCs w:val="20"/>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S. Ainslie III</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960" w:hanging="317"/>
        <w:spacing w:after="0"/>
        <w:tabs>
          <w:tab w:leader="none" w:pos="19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BENEFICIALLY</w:t>
            </w:r>
          </w:p>
        </w:tc>
        <w:tc>
          <w:tcPr>
            <w:tcW w:w="340" w:type="dxa"/>
            <w:vAlign w:val="bottom"/>
          </w:tcPr>
          <w:p>
            <w:pPr>
              <w:spacing w:after="0"/>
              <w:rPr>
                <w:sz w:val="18"/>
                <w:szCs w:val="18"/>
                <w:color w:val="auto"/>
              </w:rPr>
            </w:pPr>
          </w:p>
        </w:tc>
        <w:tc>
          <w:tcPr>
            <w:tcW w:w="9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9,343,949</w:t>
            </w:r>
          </w:p>
        </w:tc>
        <w:tc>
          <w:tcPr>
            <w:tcW w:w="0" w:type="dxa"/>
            <w:vAlign w:val="bottom"/>
          </w:tcPr>
          <w:p>
            <w:pPr>
              <w:spacing w:after="0"/>
              <w:rPr>
                <w:sz w:val="1"/>
                <w:szCs w:val="1"/>
                <w:color w:val="auto"/>
              </w:rPr>
            </w:pPr>
          </w:p>
        </w:tc>
      </w:tr>
      <w:tr>
        <w:trPr>
          <w:trHeight w:val="23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0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60" w:type="dxa"/>
            <w:vAlign w:val="bottom"/>
            <w:vMerge w:val="continue"/>
          </w:tcPr>
          <w:p>
            <w:pPr>
              <w:spacing w:after="0"/>
              <w:rPr>
                <w:sz w:val="12"/>
                <w:szCs w:val="12"/>
                <w:color w:val="auto"/>
              </w:rPr>
            </w:pP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9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3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60" w:hanging="93"/>
        <w:spacing w:after="0"/>
        <w:tabs>
          <w:tab w:leader="none" w:pos="20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9,343,949</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9,343,949</w:t>
      </w:r>
    </w:p>
    <w:p>
      <w:pPr>
        <w:spacing w:after="0" w:line="36" w:lineRule="exact"/>
        <w:rPr>
          <w:sz w:val="20"/>
          <w:szCs w:val="20"/>
          <w:color w:val="auto"/>
        </w:rPr>
      </w:pPr>
    </w:p>
    <w:p>
      <w:pPr>
        <w:ind w:left="520" w:hanging="367"/>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4" w:name="page5"/>
    <w:bookmarkEnd w:id="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Invivyd, Inc.</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1601 Trapelo Rd. Suite 178</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Schedule 13G (the “Schedule 13G”) is being filed on behalf of each of the following persons (each, a “Reporting Person”):</w:t>
      </w:r>
    </w:p>
    <w:p>
      <w:pPr>
        <w:spacing w:after="0" w:line="131" w:lineRule="exact"/>
        <w:rPr>
          <w:sz w:val="20"/>
          <w:szCs w:val="20"/>
          <w:color w:val="auto"/>
        </w:rPr>
      </w:pPr>
    </w:p>
    <w:p>
      <w:pPr>
        <w:ind w:left="1520" w:hanging="431"/>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Ltd.;</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 and</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S. Ainslie III (“Mr. Ainslie”).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Schedule 13G relates to Shares (as defined herein) held for the accounts of Maverick Capital, Ltd.’s clients.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100"/>
        <w:spacing w:after="0" w:line="312" w:lineRule="auto"/>
        <w:rPr>
          <w:sz w:val="20"/>
          <w:szCs w:val="20"/>
          <w:color w:val="auto"/>
        </w:rPr>
      </w:pPr>
      <w:r>
        <w:rPr>
          <w:rFonts w:ascii="Times New Roman" w:cs="Times New Roman" w:eastAsia="Times New Roman" w:hAnsi="Times New Roman"/>
          <w:sz w:val="17"/>
          <w:szCs w:val="17"/>
          <w:color w:val="auto"/>
        </w:rPr>
        <w:t>The address of the principal business office of (i) Maverick Capital, Ltd. and Maverick Capital Management, LLC is 1900 N. Pearl Street, 20th Floor, Dallas, Texas 75201, and (ii) Mr. Ainslie is 360 South Rosemary Ave., Suite 1440, West Palm Beach, Florida 33401.</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1520" w:hanging="431"/>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Ltd. is a Texas limited partnership;</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 is a Texas limited liability company; and</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Ainslie is a citizen of the United States.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Common Stock, par value $0.0001 per share (the “Shares”).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u w:val="single" w:color="auto"/>
          <w:color w:val="auto"/>
        </w:rPr>
        <w:t>CUSIP Number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00534A102</w:t>
      </w:r>
    </w:p>
    <w:p>
      <w:pPr>
        <w:sectPr>
          <w:pgSz w:w="11900" w:h="16838" w:orient="portrait"/>
          <w:cols w:equalWidth="0" w:num="1">
            <w:col w:w="10840"/>
          </w:cols>
          <w:pgMar w:left="440" w:top="266" w:right="619" w:bottom="1440" w:gutter="0" w:footer="0" w:header="0"/>
        </w:sectPr>
      </w:pPr>
    </w:p>
    <w:bookmarkStart w:id="5" w:name="page6"/>
    <w:bookmarkEnd w:id="5"/>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94" w:lineRule="exact"/>
        <w:rPr>
          <w:sz w:val="20"/>
          <w:szCs w:val="20"/>
          <w:color w:val="auto"/>
        </w:rPr>
      </w:pPr>
    </w:p>
    <w:p>
      <w:pPr>
        <w:ind w:left="344" w:hanging="344"/>
        <w:spacing w:after="0" w:line="207"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advisor in accordance with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704" w:right="140" w:hanging="704"/>
        <w:spacing w:after="0" w:line="245"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200" w:lineRule="exact"/>
        <w:rPr>
          <w:sz w:val="20"/>
          <w:szCs w:val="20"/>
          <w:color w:val="auto"/>
        </w:rPr>
      </w:pPr>
    </w:p>
    <w:p>
      <w:pPr>
        <w:spacing w:after="0" w:line="21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104"/>
        <w:spacing w:after="0" w:line="266" w:lineRule="auto"/>
        <w:rPr>
          <w:sz w:val="20"/>
          <w:szCs w:val="20"/>
          <w:color w:val="auto"/>
        </w:rPr>
      </w:pPr>
      <w:r>
        <w:rPr>
          <w:rFonts w:ascii="Times New Roman" w:cs="Times New Roman" w:eastAsia="Times New Roman" w:hAnsi="Times New Roman"/>
          <w:sz w:val="18"/>
          <w:szCs w:val="18"/>
          <w:color w:val="auto"/>
        </w:rPr>
        <w:t>Ownership as of December 31, 2023 is incorporated by reference to items (5) – (9) and (11) of the cover page of the Reporting Person. The ownership percentages are based on 110,114,960 outstanding Shares as reported in the Issuer’s Quarterly Report on Form 10-Q filed November 9, 2023.</w:t>
      </w:r>
    </w:p>
    <w:p>
      <w:pPr>
        <w:spacing w:after="0" w:line="176" w:lineRule="exact"/>
        <w:rPr>
          <w:sz w:val="20"/>
          <w:szCs w:val="20"/>
          <w:color w:val="auto"/>
        </w:rPr>
      </w:pPr>
    </w:p>
    <w:p>
      <w:pPr>
        <w:ind w:left="1104" w:right="120"/>
        <w:spacing w:after="0" w:line="261" w:lineRule="auto"/>
        <w:rPr>
          <w:sz w:val="20"/>
          <w:szCs w:val="20"/>
          <w:color w:val="auto"/>
        </w:rPr>
      </w:pPr>
      <w:r>
        <w:rPr>
          <w:rFonts w:ascii="Times New Roman" w:cs="Times New Roman" w:eastAsia="Times New Roman" w:hAnsi="Times New Roman"/>
          <w:sz w:val="18"/>
          <w:szCs w:val="18"/>
          <w:color w:val="auto"/>
        </w:rPr>
        <w:t>Maverick Capital, Ltd. is an investment adviser registered under Section 203 of the Investment Advisers Act of 1940 and, as such, may be deemed to have beneficial ownership of the Shares which are the subject of this filing through the investment discretion it exercises over its clients’ accounts. Maverick Capital Management, LLC is the General Partner of Maverick Capital, Ltd. Mr. Ainslie is the manager of Maverick Capital Management, LLC.</w:t>
      </w:r>
    </w:p>
    <w:p>
      <w:pPr>
        <w:spacing w:after="0" w:line="31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10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1"/>
        </w:trPr>
        <w:tc>
          <w:tcPr>
            <w:tcW w:w="1080" w:type="dxa"/>
            <w:vAlign w:val="bottom"/>
          </w:tcPr>
          <w:p>
            <w:pPr>
              <w:spacing w:after="0"/>
              <w:rPr>
                <w:sz w:val="24"/>
                <w:szCs w:val="24"/>
                <w:color w:val="auto"/>
              </w:rPr>
            </w:pPr>
          </w:p>
        </w:tc>
        <w:tc>
          <w:tcPr>
            <w:tcW w:w="9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9"/>
              </w:rPr>
              <w:t>If this statement is being filed to report the fact that as of the date hereof the Reporting Persons have ceased to be the beneficial owner of</w:t>
            </w:r>
          </w:p>
        </w:tc>
      </w:tr>
      <w:tr>
        <w:trPr>
          <w:trHeight w:val="303"/>
        </w:trPr>
        <w:tc>
          <w:tcPr>
            <w:tcW w:w="1080" w:type="dxa"/>
            <w:vAlign w:val="bottom"/>
          </w:tcPr>
          <w:p>
            <w:pPr>
              <w:spacing w:after="0"/>
              <w:rPr>
                <w:sz w:val="24"/>
                <w:szCs w:val="24"/>
                <w:color w:val="auto"/>
              </w:rPr>
            </w:pPr>
          </w:p>
        </w:tc>
        <w:tc>
          <w:tcPr>
            <w:tcW w:w="988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507"/>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5"/>
        </w:trPr>
        <w:tc>
          <w:tcPr>
            <w:tcW w:w="1080" w:type="dxa"/>
            <w:vAlign w:val="bottom"/>
          </w:tcPr>
          <w:p>
            <w:pPr>
              <w:spacing w:after="0"/>
              <w:rPr>
                <w:sz w:val="24"/>
                <w:szCs w:val="24"/>
                <w:color w:val="auto"/>
              </w:rPr>
            </w:pPr>
          </w:p>
        </w:tc>
        <w:tc>
          <w:tcPr>
            <w:tcW w:w="51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4720" w:type="dxa"/>
            <w:vAlign w:val="bottom"/>
            <w:gridSpan w:val="2"/>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c>
          <w:tcPr>
            <w:tcW w:w="5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345"/>
        </w:trPr>
        <w:tc>
          <w:tcPr>
            <w:tcW w:w="1080" w:type="dxa"/>
            <w:vAlign w:val="bottom"/>
          </w:tcPr>
          <w:p>
            <w:pPr>
              <w:spacing w:after="0"/>
              <w:rPr>
                <w:sz w:val="24"/>
                <w:szCs w:val="24"/>
                <w:color w:val="auto"/>
              </w:rPr>
            </w:pPr>
          </w:p>
        </w:tc>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7680" w:type="dxa"/>
            <w:vAlign w:val="bottom"/>
            <w:gridSpan w:val="4"/>
          </w:tcPr>
          <w:p>
            <w:pPr>
              <w:spacing w:after="0"/>
              <w:rPr>
                <w:sz w:val="24"/>
                <w:szCs w:val="24"/>
                <w:color w:val="auto"/>
              </w:rPr>
            </w:pPr>
          </w:p>
        </w:tc>
      </w:tr>
    </w:tbl>
    <w:p>
      <w:pPr>
        <w:sectPr>
          <w:pgSz w:w="11900" w:h="16838" w:orient="portrait"/>
          <w:cols w:equalWidth="0" w:num="1">
            <w:col w:w="10964"/>
          </w:cols>
          <w:pgMar w:left="436" w:top="266" w:right="49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220" w:type="dxa"/>
            <w:vAlign w:val="bottom"/>
          </w:tcPr>
          <w:p>
            <w:pPr>
              <w:spacing w:after="0"/>
              <w:rPr>
                <w:sz w:val="17"/>
                <w:szCs w:val="17"/>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5"/>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5460" w:type="dxa"/>
            <w:vAlign w:val="bottom"/>
          </w:tcPr>
          <w:p>
            <w:pPr>
              <w:spacing w:after="0"/>
              <w:rPr>
                <w:sz w:val="24"/>
                <w:szCs w:val="24"/>
                <w:color w:val="auto"/>
              </w:rPr>
            </w:pPr>
          </w:p>
        </w:tc>
      </w:tr>
      <w:tr>
        <w:trPr>
          <w:trHeight w:val="54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2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4"/>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7580" w:type="dxa"/>
            <w:vAlign w:val="bottom"/>
            <w:gridSpan w:val="2"/>
          </w:tcPr>
          <w:p>
            <w:pPr>
              <w:spacing w:after="0"/>
              <w:rPr>
                <w:sz w:val="24"/>
                <w:szCs w:val="24"/>
                <w:color w:val="auto"/>
              </w:rPr>
            </w:pPr>
          </w:p>
        </w:tc>
      </w:tr>
      <w:tr>
        <w:trPr>
          <w:trHeight w:val="54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2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940" w:type="dxa"/>
            <w:vAlign w:val="bottom"/>
            <w:gridSpan w:val="3"/>
          </w:tcPr>
          <w:p>
            <w:pPr>
              <w:spacing w:after="0" w:line="20" w:lineRule="exact"/>
              <w:rPr>
                <w:sz w:val="1"/>
                <w:szCs w:val="1"/>
                <w:color w:val="auto"/>
              </w:rPr>
            </w:pPr>
          </w:p>
        </w:tc>
      </w:tr>
      <w:tr>
        <w:trPr>
          <w:trHeight w:val="326"/>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By signing below each of the Reporting Persons certifies that, to the best of such person’s knowledge and belief, the securities referred to</w:t>
            </w: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above were acquired and are held in the ordinary course of business and were not acquired and are not held for the purpose of or with the</w:t>
            </w: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effect of changing or influencing the control of the issuer of the securities and were not acquired and are not held in connection with or as</w:t>
            </w:r>
          </w:p>
        </w:tc>
      </w:tr>
      <w:tr>
        <w:trPr>
          <w:trHeight w:val="234"/>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 participant in any transaction having that purpose or effect.</w:t>
            </w:r>
          </w:p>
        </w:tc>
      </w:tr>
    </w:tbl>
    <w:p>
      <w:pPr>
        <w:sectPr>
          <w:pgSz w:w="11900" w:h="16838" w:orient="portrait"/>
          <w:cols w:equalWidth="0" w:num="1">
            <w:col w:w="11000"/>
          </w:cols>
          <w:pgMar w:left="440" w:top="257" w:right="459" w:bottom="1440" w:gutter="0" w:footer="0" w:header="0"/>
        </w:sectPr>
      </w:pPr>
    </w:p>
    <w:bookmarkStart w:id="7" w:name="page8"/>
    <w:bookmarkEnd w:id="7"/>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Management, LLC, its General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AINSLIE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ectPr>
          <w:pgSz w:w="11900" w:h="16838" w:orient="portrait"/>
          <w:cols w:equalWidth="0" w:num="1">
            <w:col w:w="10320"/>
          </w:cols>
          <w:pgMar w:left="440" w:top="270" w:right="1139" w:bottom="1440" w:gutter="0" w:footer="0" w:header="0"/>
        </w:sectPr>
      </w:pPr>
    </w:p>
    <w:bookmarkStart w:id="8" w:name="page9"/>
    <w:bookmarkEnd w:id="8"/>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ind w:left="424" w:hanging="424"/>
        <w:spacing w:after="0" w:line="282"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February 14, 2024, by and among Maverick Capital, Ltd., Maverick Capital Management, LLC and Lee S. Ainslie III.</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Lee S. Ainslie III, dated March 15, 2018.</w:t>
      </w:r>
    </w:p>
    <w:p>
      <w:pPr>
        <w:sectPr>
          <w:pgSz w:w="11900" w:h="16838" w:orient="portrait"/>
          <w:cols w:equalWidth="0" w:num="1">
            <w:col w:w="10884"/>
          </w:cols>
          <w:pgMar w:left="436" w:top="266" w:right="5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Ordinary Shares of Invivyd, Inc., dated as of February 14, 2024, is, and any amendments thereto (including amendments on Schedule 13D) signed by each of the undersigned shall be, filed on behalf of each of us pursuant to and in accordance with the provisions of Rule 13d-1(k) under the Securities Exchange Act of 1934.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Management, LLC, its General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AINSLIE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KNOW ALL MEN BY THESE PRESENTS, that I, Lee S. Ainslie III, hereby make, constitute and appoint Trevor Wiessmann as my agent and attorney-in-fact for the purpose of executing (i) in my personal capacity or (ii) in my capacity as manager or other officer or representative of Maverick Capital Management, LLC, Maverick Capital, Ltd. or any affiliate of either, all documents to be filed with or delivered to any foreign or domestic governmental or regulatory body or other person pursuant to any legal or regulatory requirement relating to the issuance, acquisition, ownership, management or disposition of securities or investments, including without limitation all documents required to be filed with the United States Securities and Exchange Commission pursuant to Section 13 of the Securities Exchange Act of 1934 and any joint filing agreements pursuant to Rule 13d-1(k).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power of attorney shall be valid from the date hereof until revoked by 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executed this instrument as of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March, 2018.</w:t>
      </w:r>
    </w:p>
    <w:p>
      <w:pPr>
        <w:spacing w:after="0" w:line="1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Lee 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Lee S. Ainslie III</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 "/>
      <w:numFmt w:val="bullet"/>
      <w:start w:val="1"/>
    </w:lvl>
    <w:lvl w:ilvl="1">
      <w:lvlJc w:val="left"/>
      <w:lvlText w:val=" "/>
      <w:numFmt w:val="bullet"/>
      <w:start w:val="1"/>
    </w:lvl>
  </w:abstractNum>
  <w:abstractNum w:abstractNumId="3">
    <w:nsid w:val="1190CDE7"/>
    <w:multiLevelType w:val="hybridMultilevel"/>
    <w:lvl w:ilvl="0">
      <w:lvlJc w:val="left"/>
      <w:lvlText w:val=" "/>
      <w:numFmt w:val="bullet"/>
      <w:start w:val="1"/>
    </w:lvl>
  </w:abstractNum>
  <w:abstractNum w:abstractNumId="4">
    <w:nsid w:val="66EF438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140E0F76"/>
    <w:multiLevelType w:val="hybridMultilevel"/>
    <w:lvl w:ilvl="0">
      <w:lvlJc w:val="left"/>
      <w:lvlText w:val="%1"/>
      <w:numFmt w:val="decimal"/>
      <w:start w:val="10"/>
    </w:lvl>
    <w:lvl w:ilvl="1">
      <w:lvlJc w:val="left"/>
      <w:lvlText w:val=" "/>
      <w:numFmt w:val="bullet"/>
      <w:start w:val="1"/>
    </w:lvl>
  </w:abstractNum>
  <w:abstractNum w:abstractNumId="6">
    <w:nsid w:val="3352255A"/>
    <w:multiLevelType w:val="hybridMultilevel"/>
    <w:lvl w:ilvl="0">
      <w:lvlJc w:val="left"/>
      <w:lvlText w:val=" "/>
      <w:numFmt w:val="bullet"/>
      <w:start w:val="1"/>
    </w:lvl>
    <w:lvl w:ilvl="1">
      <w:lvlJc w:val="left"/>
      <w:lvlText w:val=" "/>
      <w:numFmt w:val="bullet"/>
      <w:start w:val="1"/>
    </w:lvl>
  </w:abstractNum>
  <w:abstractNum w:abstractNumId="7">
    <w:nsid w:val="109CF92E"/>
    <w:multiLevelType w:val="hybridMultilevel"/>
    <w:lvl w:ilvl="0">
      <w:lvlJc w:val="left"/>
      <w:lvlText w:val=" "/>
      <w:numFmt w:val="bullet"/>
      <w:start w:val="1"/>
    </w:lvl>
  </w:abstractNum>
  <w:abstractNum w:abstractNumId="8">
    <w:nsid w:val="DED726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7FDCC233"/>
    <w:multiLevelType w:val="hybridMultilevel"/>
    <w:lvl w:ilvl="0">
      <w:lvlJc w:val="left"/>
      <w:lvlText w:val="%1"/>
      <w:numFmt w:val="decimal"/>
      <w:start w:val="10"/>
    </w:lvl>
    <w:lvl w:ilvl="1">
      <w:lvlJc w:val="left"/>
      <w:lvlText w:val=" "/>
      <w:numFmt w:val="bullet"/>
      <w:start w:val="1"/>
    </w:lvl>
  </w:abstractNum>
  <w:abstractNum w:abstractNumId="10">
    <w:nsid w:val="1BEFD79F"/>
    <w:multiLevelType w:val="hybridMultilevel"/>
    <w:lvl w:ilvl="0">
      <w:lvlJc w:val="left"/>
      <w:lvlText w:val=" "/>
      <w:numFmt w:val="bullet"/>
      <w:start w:val="1"/>
    </w:lvl>
    <w:lvl w:ilvl="1">
      <w:lvlJc w:val="left"/>
      <w:lvlText w:val=" "/>
      <w:numFmt w:val="bullet"/>
      <w:start w:val="1"/>
    </w:lvl>
  </w:abstractNum>
  <w:abstractNum w:abstractNumId="11">
    <w:nsid w:val="41A7C4C9"/>
    <w:multiLevelType w:val="hybridMultilevel"/>
    <w:lvl w:ilvl="0">
      <w:lvlJc w:val="left"/>
      <w:lvlText w:val=" "/>
      <w:numFmt w:val="bullet"/>
      <w:start w:val="1"/>
    </w:lvl>
  </w:abstractNum>
  <w:abstractNum w:abstractNumId="12">
    <w:nsid w:val="6B68079A"/>
    <w:multiLevelType w:val="hybridMultilevel"/>
    <w:lvl w:ilvl="0">
      <w:lvlJc w:val="left"/>
      <w:lvlText w:val="5"/>
      <w:numFmt w:val="bullet"/>
      <w:start w:val="1"/>
    </w:lvl>
  </w:abstractNum>
  <w:abstractNum w:abstractNumId="13">
    <w:nsid w:val="4E6AFB6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4">
    <w:nsid w:val="25E45D32"/>
    <w:multiLevelType w:val="hybridMultilevel"/>
    <w:lvl w:ilvl="0">
      <w:lvlJc w:val="left"/>
      <w:lvlText w:val="%1"/>
      <w:numFmt w:val="decimal"/>
      <w:start w:val="10"/>
    </w:lvl>
    <w:lvl w:ilvl="1">
      <w:lvlJc w:val="left"/>
      <w:lvlText w:val=" "/>
      <w:numFmt w:val="bullet"/>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2024-02-14T18:51:09Z</dcterms:created>
  <dcterms:modified xsi:type="dcterms:W3CDTF">2024-02-14T18:51:09Z</dcterms:modified>
</cp:coreProperties>
</file>