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00" w:right="1600" w:hanging="257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tbl>
      <w:tblPr>
        <w:tblLayout w:type="fixed"/>
        <w:tblInd w:w="1680" w:type="dxa"/>
        <w:tblCellMar>
          <w:top w:w="0" w:type="dxa"/>
          <w:left w:w="0" w:type="dxa"/>
          <w:bottom w:w="0" w:type="dxa"/>
          <w:right w:w="0" w:type="dxa"/>
        </w:tblCellMar>
      </w:tblPr>
      <w:tr>
        <w:trPr>
          <w:trHeight w:val="216"/>
        </w:trPr>
        <w:tc>
          <w:tcPr>
            <w:tcW w:w="436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680" w:type="dxa"/>
            <w:vAlign w:val="bottom"/>
          </w:tcPr>
          <w:p>
            <w:pPr>
              <w:spacing w:after="0"/>
              <w:rPr>
                <w:sz w:val="18"/>
                <w:szCs w:val="18"/>
                <w:color w:val="auto"/>
              </w:rPr>
            </w:pPr>
          </w:p>
        </w:tc>
      </w:tr>
      <w:tr>
        <w:trPr>
          <w:trHeight w:val="232"/>
        </w:trPr>
        <w:tc>
          <w:tcPr>
            <w:tcW w:w="436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36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2025, the registrant had 119,961,445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103,744</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authorized and no shares issued and outstanding at March 31, 2025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December 31, 2024</w:t>
            </w:r>
          </w:p>
        </w:tc>
        <w:tc>
          <w:tcPr>
            <w:tcW w:w="2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119,961,445 shares issued and outstanding at March 31, 2025;</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119,835,162 shares issued and outstanding at December 31, 2024</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(918,283)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(901,994)</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-3813810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-2973705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-2956560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$456 and $1,274 as of March 31, 2025 and December 31, 2024, respectively (see Note 15).</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(2)</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w:t>
            </w:r>
          </w:p>
        </w:tc>
        <w:tc>
          <w:tcPr>
            <w:tcW w:w="12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120" w:type="dxa"/>
            <w:vAlign w:val="bottom"/>
          </w:tcPr>
          <w:p>
            <w:pPr>
              <w:spacing w:after="0"/>
              <w:rPr>
                <w:sz w:val="18"/>
                <w:szCs w:val="18"/>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(16,922)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(46,089)</w:t>
            </w:r>
          </w:p>
        </w:tc>
      </w:tr>
      <w:tr>
        <w:trPr>
          <w:trHeight w:val="209"/>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18"/>
                <w:szCs w:val="18"/>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(16,289)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r>
      <w:tr>
        <w:trPr>
          <w:trHeight w:val="209"/>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gain, net of tax</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(43,495)</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(0.38)</w:t>
            </w:r>
          </w:p>
        </w:tc>
      </w:tr>
      <w:tr>
        <w:trPr>
          <w:trHeight w:val="196"/>
        </w:trPr>
        <w:tc>
          <w:tcPr>
            <w:tcW w:w="6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119,883,479</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115,618,209</w:t>
            </w:r>
          </w:p>
        </w:tc>
        <w:tc>
          <w:tcPr>
            <w:tcW w:w="120" w:type="dxa"/>
            <w:vAlign w:val="bottom"/>
            <w:tcBorders>
              <w:top w:val="single" w:sz="8" w:color="CFF0FC"/>
            </w:tcBorders>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-2202180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-2202180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$452 for the three months ended March 31, 2025 and no related-party amounts for the three months ended March 31, 2024 (see Note 15).</w:t>
      </w: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$1,128 and $1,135 for the three months ended March 31, 2025 and 2024, respectively (see Note 15).</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5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78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8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54"/>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8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vMerge w:val="continue"/>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119,835,</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(901,994)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(16,289)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(16,289)</w:t>
            </w:r>
          </w:p>
        </w:tc>
        <w:tc>
          <w:tcPr>
            <w:tcW w:w="0" w:type="dxa"/>
            <w:vAlign w:val="bottom"/>
          </w:tcPr>
          <w:p>
            <w:pPr>
              <w:spacing w:after="0"/>
              <w:rPr>
                <w:sz w:val="1"/>
                <w:szCs w:val="1"/>
                <w:color w:val="auto"/>
              </w:rPr>
            </w:pPr>
          </w:p>
        </w:tc>
      </w:tr>
      <w:tr>
        <w:trPr>
          <w:trHeight w:val="191"/>
        </w:trPr>
        <w:tc>
          <w:tcPr>
            <w:tcW w:w="31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119,961,</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(918,283)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78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8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54"/>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8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110,160,</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(732,069)</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9,000,00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available-for-sale</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 net of tax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119,221,</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(775,565)</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178,498</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-2691130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-2691130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-2691130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-2691130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-2691130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-2691130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-2691130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-2691130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8380" w:type="dxa"/>
            <w:vAlign w:val="bottom"/>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4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8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210"/>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(1,682)</w:t>
            </w: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(6,785)</w:t>
            </w: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(6,964)</w:t>
            </w: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8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(21,129)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(50,214)</w:t>
            </w:r>
          </w:p>
        </w:tc>
      </w:tr>
      <w:tr>
        <w:trPr>
          <w:trHeight w:val="209"/>
        </w:trPr>
        <w:tc>
          <w:tcPr>
            <w:tcW w:w="8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8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8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r>
      <w:tr>
        <w:trPr>
          <w:trHeight w:val="210"/>
        </w:trPr>
        <w:tc>
          <w:tcPr>
            <w:tcW w:w="838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39,101</w:t>
            </w:r>
          </w:p>
        </w:tc>
        <w:tc>
          <w:tcPr>
            <w:tcW w:w="120" w:type="dxa"/>
            <w:vAlign w:val="bottom"/>
            <w:tcBorders>
              <w:top w:val="single" w:sz="8" w:color="CFF0FC"/>
            </w:tcBorders>
          </w:tcPr>
          <w:p>
            <w:pPr>
              <w:spacing w:after="0"/>
              <w:rPr>
                <w:sz w:val="18"/>
                <w:szCs w:val="18"/>
                <w:color w:val="auto"/>
              </w:rPr>
            </w:pPr>
          </w:p>
        </w:tc>
      </w:tr>
      <w:tr>
        <w:trPr>
          <w:trHeight w:val="210"/>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(11,253)</w:t>
            </w:r>
          </w:p>
        </w:tc>
      </w:tr>
      <w:tr>
        <w:trPr>
          <w:trHeight w:val="216"/>
        </w:trPr>
        <w:tc>
          <w:tcPr>
            <w:tcW w:w="8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189,388</w:t>
            </w:r>
          </w:p>
        </w:tc>
        <w:tc>
          <w:tcPr>
            <w:tcW w:w="120" w:type="dxa"/>
            <w:vAlign w:val="bottom"/>
          </w:tcPr>
          <w:p>
            <w:pPr>
              <w:spacing w:after="0"/>
              <w:rPr>
                <w:sz w:val="18"/>
                <w:szCs w:val="18"/>
                <w:color w:val="auto"/>
              </w:rPr>
            </w:pPr>
          </w:p>
        </w:tc>
      </w:tr>
      <w:tr>
        <w:trPr>
          <w:trHeight w:val="20"/>
        </w:trPr>
        <w:tc>
          <w:tcPr>
            <w:tcW w:w="8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-2153920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-2153920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-1871345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-1871345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-1031240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-1031240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-739775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-739775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-456565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-456565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Invivyd, Inc. (the “Company”) is a biopharmaceutical company devoted to delivering protection from serious viral infectious diseases, beginning with SARS-CoV-2. PEMGARDA™ (pemivibart) is the Company’s first monoclonal antibody (“mAb”) to receive regulatory authorization and was designed to keep pace with SARS-CoV-2 viral evolution.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2024, the Company nominated VYD2311, a next generation mAb candidate for COVID-19, as a drug candidate, and in September 2024, the Company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the Company announced completion of recruitment in its Phase 1 clinical trial of VYD2311, as well as positive clinical data for both safety and pharmacokinetics. The Company expects additional data readouts from the Phase 1 clinical trial and VYD2311 program throughout 2025. Like pemivibart, VYD2311 was engineered from adintrevimab, the Company’s investigational mAb that has a robust safety data package and demonstrated clinically meaningful results in global Phase 2/3 clinical trials for both the prevention and treatment of COVID-19.</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Waltham, Massachusetts and remotely. In June 2022, and subsequently amended in September 2022 and August 2024, the Company entered into a lease for dedicated laboratory and office space in Newton, Massachusetts for research and development purposes. In 2022, the Company expanded its research team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pemivibart and VYD2311, all of the Company’s other product candidates, other than adintrevimab, are currently in research development. The Company has initiated discovery efforts to assess pipeline expansion beyond SARS-CoV-2, including potential targets such as respiratory syncytial virus and measles. The Company’s additional product candidates will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 the Company will generate substantial revenue from product sales to be able to fund its operating expenses and capital requirements.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and net proceeds received from shares of common stock sold under the Sales Agreement (as defined below). In February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9,000,000 shares of its common stock under the Sales Agreement at an average price of $4.50 per share for $39.3 million in net proceeds. After receiving EUA in March 2024, the Company has also funded its operations from sales of PEMGARDA.</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its inception, including a net loss of $16.3 million for the three months ended March 31, 2025. As of March 31, 2025, the Company had an accumulated deficit of $918.3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2025, the condensed consolidated statements of operations and comprehensive loss for the three months ended March 31, 2025 and 2024, the condensed consolidated statements of cash flows for the three months ended March 31, 2025 and 2024 and the condensed consolidated statements of stockholders’ equity for the three months ended March 31, 2025 and 2024 are unaudited.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March 31, 2025 and for the three months ended March 31, 2025 and 2024 have been prepared by the Company pursuant to the rules and regulations of the U.S. Securities and Exchange Commission (“SEC”) for interim financial statements. The accompanying condensed consolidated balance sheet as of December 31, 2024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2024, which are included in the Company’s Annual Report on Form 10-K for the year ended December 31, 2024, as filed with the SEC on March 20, 2025 (the “2024 Form 10-K”).</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March 31, 2025 and December 31, 2024, the condensed consolidated results of operations for the three months ended March 31, 2025 and 2024, the condensed consolidated cash flows for the three months ended March 31, 2025 and 2024, and changes in stockholders’ equity for the three months ended March 31, 2025 and 2024 have been made. The Company’s condensed consolidated results of operations for the three months ended March 31, 2025 are not necessarily indicative of the results of operations that may be expected for the year ending December 31, 2025.</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significant accounting policies and estimates, which are detailed in the Company’s 2024 Form 10-K, have not materially changed.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periods. Significant estimates and assumptions reflected in these condensed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the Company for the annual period beginning after December 15, 2024. All entities should apply the guidance prospectively but have the option to apply it retrospectively. The Company is currently evaluating the potential impacts of ASU 2023-09 on its consolidated financial statement disclosures.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1020" w:right="20" w:hanging="553"/>
        <w:spacing w:after="0" w:line="266"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1020" w:right="20" w:hanging="567"/>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68,345</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68,345</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-1104900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-1104900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-1104900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months ended March 31, 2025 or 2024.</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months ended March 31, 2025 or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non-current inventories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2025, $0.4 million of finished goods inventory was classified as a current asset and included within prepaid and other current assets in the condensed consolidated balance sheet. Please refer to Note 5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inventory, current</w:t>
            </w:r>
          </w:p>
        </w:tc>
        <w:tc>
          <w:tcPr>
            <w:tcW w:w="2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2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three months ended March 31, 2025 and 2024, the Company did not recognize any research and development expense with respect to services performed by Adimab on the Company’s behalf under the Adimab Assignment Agreement. Please refer to Note 15 for additional information.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through March 31, 2025;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2023, the Company achieved the first specified milestone for the second product candidate under the Adimab Assignment Agreement upon dosing of the first subject in a Phase 1 clinical trial evaluating pemivibart,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pemivibart,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March 31, 2025.</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did not recognize any in-process research and development (“IPR&amp;D”) expense with respect to contingent consideration payable under the Adimab Assignment Agreement. Except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for milestone payments of $11.1 million incurred through December 31, 2023, no other milestone payments have been paid to or have been earned by Adimab through March 31, 2025.</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the three months ended March 31, 2025, the Company expensed $0.5 million of royalties, while reserving all rights under the Adimab Assignment Agreement and the applicable law. During the three months ended March 31, 2024, the Company did not expense any royalties. In addition, the Company is obligated to pay Adimab royalties of a specified percentage in the range of 45% to 55% of any compulsory sublicense consideration received by the Company in lieu of certain royalty payments.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both the three months ended March 31, 2025 and 2024, the Company recognized $0.6 million of research and development expense related to the quarterly fee.</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both the three months ended March 31, 2025 and 2024, the Company did not recognize any research and development expense with respect to services performed by Adimab on the Company’s behalf under the Adimab Collaboration Agreement. During both the three months ended March 31, 2025 and 2024,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Company did not recognize any IPR&amp;D expense related to drug delivery fees, optimization completion fees or option exercise fees. Please refer to Note 15 for additional information.</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March 31, 2025.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March 31, 2025,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both the three months ended March 31, 2025 and 2024, the Company recognized $0.5 million of research and development expense related to the annual fees.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March 31, 2025.</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in such product in such country. Through March 31, 2025, no royalty payments have been paid to or have been earned by Adimab under the Adimab Platform Transfer Agreement.</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March 31, 2025, no royalties had become due to WuXi Biologics.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both the three months ended March 31, 2025 and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in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2025 and 2024, the Company did not pay any cash compensation to PHP and therefore did not recognize any research and development expense related thereto.</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72" w:lineRule="exact"/>
        <w:rPr>
          <w:sz w:val="20"/>
          <w:szCs w:val="20"/>
          <w:color w:val="auto"/>
        </w:rPr>
      </w:pPr>
    </w:p>
    <w:p>
      <w:pPr>
        <w:ind w:left="1020" w:right="320" w:hanging="445"/>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202"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202"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2021, the Company entered into a five-year noncancelable facilities lease agreement for approximately 9,600 square feet of office space in Waltham, Massachusetts, which provides for monthly rental payments, including base rent charges of $0.4 million per year, subject to periodic rent increases, and the Company’s proportionate share of operating expenses. This lease agreement is scheduled to expire on May 31, 2025.</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the Newton, MA Lease was further amended to extend the lease through November 2025, with an option to further extend the lease for an additional twenty-five months or continue the lease on a month-to-month basis after completion of the term ending in November 2025.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0"/>
        </w:trPr>
        <w:tc>
          <w:tcPr>
            <w:tcW w:w="6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85"/>
        </w:trPr>
        <w:tc>
          <w:tcPr>
            <w:tcW w:w="6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1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-582295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March 31, 2025 was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20" w:type="dxa"/>
            <w:vAlign w:val="bottom"/>
          </w:tcPr>
          <w:p>
            <w:pPr>
              <w:spacing w:after="0"/>
              <w:rPr>
                <w:sz w:val="15"/>
                <w:szCs w:val="15"/>
                <w:color w:val="auto"/>
              </w:rPr>
            </w:pPr>
          </w:p>
        </w:tc>
        <w:tc>
          <w:tcPr>
            <w:tcW w:w="25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52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8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top w:val="single" w:sz="8" w:color="CFF0FC"/>
            </w:tcBorders>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operating leases were measured using a weighted-average incremental borrowing rate of 6.0% over a weighted-average remaining lease term of 0.6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operating leases were measured using a weighted-average incremental borrowing rate of 6.0% over a weighted-average remaining lease term of 1.7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operating liabilities are presented on the Company’s condensed consolidated balance sheet based on maturity dates. $0.9 million is classified under “operating lease liabilities, current” for the portion due within twelve months. There was no operating lease liability classified under “operating lease liabilities, non-current”.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March 31, 2025, the Company committed to noncancelable purchase obligations related to commercial drug substance and drug product manufacturing under the Commercial Manufacturing Agreement. As of March 31, 2025, the total remaining contractually binding commercial drug substance and drug product purchase obligations due to WuXi Biologics was $27.4 million, which is expected to be paid in 2025. As of March 31, 2025, the total remaining purchase obligation, related to the contractually binding commercial drug substance and drug product batches, was included in accounts payable and accrued expenses, which is expected to be paid in 2025.</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March 31, 2025, the Company committed to noncancelable purchase obligations related to the procurement of materials to be used in future drug substance and drug product manufacturing under the Commercial Manufacturing Agreement. As of March 31, 2025, the total remaining contractually binding purchase obligations due to WuXi Biologics was $6.3 million, which is expected to be paid in 2025. As of March 31, 2025, the total remaining purchase obligation, related to the procurement of materials to be used in future drug substance and drug product manufacturing, was included in accounts payable and accrued expenses, which is expected to be paid in 2025.</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March 31, 2025 and December 31, 2024.</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2025, the Company was not a party to any material legal proceedings.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reserved 37,552,075 shares of common stock for the exercise of outstanding stock options and the issuance of awards available for grant under the Company’s 2020 Equity Incentive Plan, 2021 Equity Incentive Plan and 2021 Employee Stock Purchase Plan (see Note 11).</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and an accompanying base prospectus, which was declared effective by the SEC on October 5, 2022, for the offer and sale of up to $400 million of the Company’s securities. As of March 31, 2025, $325 million of the Company’s securities remained available for offer and sale under this shelf registration statement.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at an average price of $4.50 per share for $39.3 million in net proceeds. As of March 31, 2025, $34.5 million remained available for sale under the Sales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520" w:right="8700" w:hanging="512"/>
        <w:spacing w:after="0" w:line="400" w:lineRule="auto"/>
        <w:tabs>
          <w:tab w:leader="none" w:pos="28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there were 1,036,823 shares authorized to be issued upon the exercise of outstanding stock option grants and no shares reserved for future issuance under the 2020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there were an aggregate of 36,796,593 shares authorized to be issued under the 2020 Plan and the 2021 Plan, which included 1,036,823 and 23,677,879 shares authorized to be issued upon the exercise of outstanding stock option and restricted stock unit grants from the 2020 Plan and 2021 Plan, respectively, and 0 and 12,081,891 shares reserved for future issuance under the 2020 Plan and 2021 Plan, respectively.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tbl>
      <w:tblPr>
        <w:tblLayout w:type="fixed"/>
        <w:tblInd w:w="0" w:type="dxa"/>
        <w:tblCellMar>
          <w:top w:w="0" w:type="dxa"/>
          <w:left w:w="0" w:type="dxa"/>
          <w:bottom w:w="0" w:type="dxa"/>
          <w:right w:w="0" w:type="dxa"/>
        </w:tblCellMar>
      </w:tblPr>
      <w:tr>
        <w:trPr>
          <w:trHeight w:val="155"/>
        </w:trPr>
        <w:tc>
          <w:tcPr>
            <w:tcW w:w="8300" w:type="dxa"/>
            <w:vAlign w:val="bottom"/>
          </w:tcPr>
          <w:p>
            <w:pPr>
              <w:spacing w:after="0"/>
              <w:rPr>
                <w:sz w:val="13"/>
                <w:szCs w:val="13"/>
                <w:color w:val="auto"/>
              </w:rPr>
            </w:pPr>
          </w:p>
        </w:tc>
        <w:tc>
          <w:tcPr>
            <w:tcW w:w="15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4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830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83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r>
      <w:tr>
        <w:trPr>
          <w:trHeight w:val="20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14,987,559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9,241,125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(36,111)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(1,177,871)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23,014,702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23,014,702</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March 31,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7,459,455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-299720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-282575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March 31, 2025 and 2024 was $0.93 and $2.53, respectively, per share.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March 31, 2025 and 2024.</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was less than $0.1 million and $0 for the three months ended March 31, 2025 and 2024, respectively.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2025, the Company’s board of directors approved restricted stock unit (“RSU”) grants to the Company’s executive officers under the 2021 Plan. An aggregate of 1,700,000 RSUs were issued at a grant date fair value of $1.61 per share. The RSUs will vest over an eighteen-month period, with one-third of the RSUs vesting every six months following the grant date of February 15, 2025, subject to continuous service as of each vesting date.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since December 31, 2024:</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4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64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right"/>
              <w:ind w:right="94"/>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6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6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5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4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17"/>
        </w:trPr>
        <w:tc>
          <w:tcPr>
            <w:tcW w:w="4020" w:type="dxa"/>
            <w:vAlign w:val="bottom"/>
            <w:tcBorders>
              <w:top w:val="single" w:sz="8" w:color="CFF0FC"/>
            </w:tcBorders>
          </w:tcPr>
          <w:p>
            <w:pPr>
              <w:spacing w:after="0"/>
              <w:rPr>
                <w:sz w:val="24"/>
                <w:szCs w:val="24"/>
                <w:color w:val="auto"/>
              </w:rPr>
            </w:pPr>
          </w:p>
        </w:tc>
        <w:tc>
          <w:tcPr>
            <w:tcW w:w="366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-2103755</wp:posOffset>
            </wp:positionV>
            <wp:extent cx="93980" cy="2311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-1053465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-1036955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RSUs, and the Company’s employee stock purchase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following expense categories of its condensed consolidated statements of operations and comprehensive loss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400" w:type="dxa"/>
            <w:vAlign w:val="bottom"/>
          </w:tcPr>
          <w:p>
            <w:pPr>
              <w:spacing w:after="0"/>
              <w:rPr>
                <w:sz w:val="13"/>
                <w:szCs w:val="13"/>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48"/>
        </w:trPr>
        <w:tc>
          <w:tcPr>
            <w:tcW w:w="7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ind w:right="777"/>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ind w:right="757"/>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r>
      <w:tr>
        <w:trPr>
          <w:trHeight w:val="173"/>
        </w:trPr>
        <w:tc>
          <w:tcPr>
            <w:tcW w:w="70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tcPr>
          <w:p>
            <w:pPr>
              <w:spacing w:after="0"/>
              <w:rPr>
                <w:sz w:val="18"/>
                <w:szCs w:val="18"/>
                <w:color w:val="auto"/>
              </w:rPr>
            </w:pPr>
          </w:p>
        </w:tc>
      </w:tr>
      <w:tr>
        <w:trPr>
          <w:trHeight w:val="230"/>
        </w:trPr>
        <w:tc>
          <w:tcPr>
            <w:tcW w:w="70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shd w:val="clear" w:color="auto" w:fill="CFF0FC"/>
          </w:tcPr>
          <w:p>
            <w:pPr>
              <w:spacing w:after="0"/>
              <w:rPr>
                <w:sz w:val="19"/>
                <w:szCs w:val="19"/>
                <w:color w:val="auto"/>
              </w:rPr>
            </w:pPr>
          </w:p>
        </w:tc>
      </w:tr>
      <w:tr>
        <w:trPr>
          <w:trHeight w:val="20"/>
        </w:trPr>
        <w:tc>
          <w:tcPr>
            <w:tcW w:w="70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stock-based compensation expense related to unvested stock options was $19.0 million, which is expected to be recognized over a weighted-average period of 2.5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stock-based compensation expense related to unvested RSUs was $2.5 million, which is expected to be recognized over a weighted-average period of 1.38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587,291 shares issued under the 2021 ESPP as of March 31, 2025.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The first offering under the 2021 ESPP was June 6, 2022. As of March 31, 2025, 755,482 shares remained available for issuance under the 2021 ESPP. During both the three months ended March 31, 2025 and 2024, the Company recognized less than $0.1 million in related stock-based compensation expense.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9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warrants issued during the three months ended March 31, 2025 and 2024. As of March 31, 2025, there were 6,824,712 warrants outstanding and not yet vested at a weighted-average exercise price of $3.48, with a weighted-average remaining contractual term of 7.63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both the three months ended March 31, 2025 and 2024, the Company contributed $0.2 million to the 401(k) Plan.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tbl>
      <w:tblPr>
        <w:tblLayout w:type="fixed"/>
        <w:tblInd w:w="0" w:type="dxa"/>
        <w:tblCellMar>
          <w:top w:w="0" w:type="dxa"/>
          <w:left w:w="0" w:type="dxa"/>
          <w:bottom w:w="0" w:type="dxa"/>
          <w:right w:w="0" w:type="dxa"/>
        </w:tblCellMar>
      </w:tblPr>
      <w:tr>
        <w:trPr>
          <w:trHeight w:val="155"/>
        </w:trPr>
        <w:tc>
          <w:tcPr>
            <w:tcW w:w="6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5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(43,496)</w:t>
            </w:r>
          </w:p>
        </w:tc>
      </w:tr>
      <w:tr>
        <w:trPr>
          <w:trHeight w:val="20"/>
        </w:trPr>
        <w:tc>
          <w:tcPr>
            <w:tcW w:w="6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119,883,479</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115,618,209</w:t>
            </w:r>
          </w:p>
        </w:tc>
        <w:tc>
          <w:tcPr>
            <w:tcW w:w="10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3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(0.38)</w:t>
            </w: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the three months ended March 31, 2025. There were no shares of unvested restricted common stock for the three months ended March 31, 2024.</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0"/>
        </w:trPr>
        <w:tc>
          <w:tcPr>
            <w:tcW w:w="7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20" w:type="dxa"/>
            <w:vAlign w:val="bottom"/>
          </w:tcPr>
          <w:p>
            <w:pPr>
              <w:spacing w:after="0"/>
              <w:rPr>
                <w:sz w:val="16"/>
                <w:szCs w:val="16"/>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85"/>
        </w:trPr>
        <w:tc>
          <w:tcPr>
            <w:tcW w:w="79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23,014,702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26,364,033</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31,539,414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33,188,745</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an aggregate of $0.5 million and $1.3 million, respectively, was due to Adimab under the Adimab Assignment Agreement, the Adimab Collaboration Agreement, the Adimab Platform Transfer Agreement and the Adimab DNA Sequencing Services Agreement (as defined below) by the Company and was included in accrued expenses. As of March 31, 2025 and December 31, 2024, no amounts were due to the Company from Adimab under the Adimab Assignment Agreement, the Adimab Collaboration Agreement, the Adimab Platform Transfer Agreement or the Adimab DNA Sequencing Services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2025 and 2024, the Company did not recognize any IPR&amp;D expense with respect to contingent consideration payable under the Adimab Assignment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2025 and 2024, the Company did not recognize any research and development expense with respect to services performed by Adimab on the Company’s behalf under the Adimab Assignment Agreement.</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expensed $0.5 million of royalties as costs of product revenue, while reserving all rights under the Adimab Assignment Agreement and the applicable law. During the three months ended March 31, 2024, the Company did not recognize any costs of product revenue with respect to royalties under the Adimab Assignment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2025 and 2024, the Company recognized $0.6 million of research and development expense related to the quarterly fee under the Adimab Collaboration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2025 and 2024, the Company did not recognize any research and development expense with respect to services performed by Adimab on the Company’s behalf under the Adimab Collaboration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2025 and 2024, the Company recognized $0.5 million of research and development expense related to the annual fee under the Adimab Platform Transfer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and January 2025,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March 31, 2025 and 2024, the Company recognized less than $0.1 million of research and development expense with respect to services performed by Adimab on the Company’s behalf under the Adimab DNA Sequencing Services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jc w:val="both"/>
        <w:ind w:firstLine="572"/>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dedicated to the research and development, commercialization, and sale of mAbs in the U.S to deliver protection from serious viral infectious diseases.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determination of a single reportable segment is consistent with the consolidated financial information regularly reviewed by the Chief Operating Decision Maker (the “CODM”) in assessing performance and deciding how to allocate resources on a consolidated basis.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and significant segment expenses as provided to the CODM.</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6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5"/>
        </w:trPr>
        <w:tc>
          <w:tcPr>
            <w:tcW w:w="6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 net</w:t>
            </w:r>
          </w:p>
        </w:tc>
        <w:tc>
          <w:tcPr>
            <w:tcW w:w="15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32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product revenue</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Pemivibart</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VYD2311</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Adintrevimab</w:t>
            </w:r>
          </w:p>
        </w:tc>
        <w:tc>
          <w:tcPr>
            <w:tcW w:w="1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direct, external research and development expenses by program</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Unallocated research and development expenses</w:t>
            </w:r>
            <w:r>
              <w:rPr>
                <w:rFonts w:ascii="Times New Roman" w:cs="Times New Roman" w:eastAsia="Times New Roman" w:hAnsi="Times New Roman"/>
                <w:sz w:val="24"/>
                <w:szCs w:val="24"/>
                <w:color w:val="auto"/>
                <w:vertAlign w:val="superscript"/>
              </w:rPr>
              <w:t>(1)</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2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12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(16,922)</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(46,089)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(3)</w:t>
            </w:r>
          </w:p>
        </w:tc>
        <w:tc>
          <w:tcPr>
            <w:tcW w:w="1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income, net</w:t>
            </w: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18"/>
                <w:szCs w:val="18"/>
                <w:color w:val="auto"/>
              </w:rPr>
            </w:pPr>
          </w:p>
        </w:tc>
      </w:tr>
      <w:tr>
        <w:trPr>
          <w:trHeight w:val="22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(16,289)</w:t>
            </w:r>
          </w:p>
        </w:tc>
        <w:tc>
          <w:tcPr>
            <w:tcW w:w="2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-2262505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-1431290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-1431290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-873760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-316865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center"/>
        <w:ind w:left="5540" w:right="20" w:hanging="5532"/>
        <w:spacing w:after="0" w:line="532" w:lineRule="auto"/>
        <w:tabs>
          <w:tab w:leader="none" w:pos="5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personnel related expenses (excluding research and development stock-based compensation) and external discovery-related and other costs.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commercial, general and administrative personnel related costs (excluding stock-based compensation), professional and consulting fees and other costs.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of $628 and $2,599 for the three months ended March 31, 2025 and 2024,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18, 2025, the Company entered into a Loan and Security Agreement (the “Loan Agreement”) with Silicon Valley Bank, a division of First 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the Company is required to repay the principal of the Term Facility in 24 consecutive equal monthly installments or, in the case of the Interest-Only Period Extension, 12 consecutive equal monthly installments. At maturity, or if earlier prepaid, the Company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 (c) the termination of the Loan Agreement; provided, that such fee will be waived by the Lender in the event that the Company has requested and the Lender has funded any loans under the Term Facility prior to such date.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2024, filed with the Securities and Exchange Commission (“SEC”) on March 20, 2025 (the “2024 Form 10-K”). Unless the context requires otherwise, references in this Quarterly Report on Form 10-Q to “we,” “us,” and “our” refer to Invivyd, Inc. together with its consolidated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 including our expectations about the potential market opportunity;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PEMGARDA to keep pace with SARS-CoV-2 viral evolution;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VYD2311, our next generation monoclonal antibody (“mAb”) candidate for COVID-19, and the potential of VYD2311 to offer the ability to deliver clinically meaningful titer levels through more system- and patient-friendly means;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devotion to delivering protection from serious viral infectious diseases, and our aim to develop mAbs that could be used in prevention or treatment of serious viral diseases, starting with COVID-19 and potentially expanding into other high-need indications;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efforts to assess pipeline expansion beyond SARS-CoV-2, including potential targets such as respiratory syncytial virus and measles;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of establishing streamlined development pathways to efficiently introduce new mAb candidates targeting SARS-CoV-2;</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any submission of filings for regulatory authorization or approval of, and our ability to obtain and maintain regulatory authorizations or approvals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SARS-CoV-2 variant monitoring of antiviral activity as part of our ongoing industrial virology effort;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and our expectations regarding supply and demand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future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sections of the 2024 Form 10-K and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is a biopharmaceutical company devoted to delivering protection from serious viral infectious diseases, beginning with SARS-CoV-2.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PEMGARDA™ (pemivibart) is our first monoclonal antibody (“mAb”) to receive regulatory authorization and was designed to keep pace with SARS-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CoV-2 viral evolution.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2024, we nominated VYD2311, a next generation mAb candidate for COVID-19, as a drug candidate, and in September 2024, we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we announced completion of recruitment in our Phase 1 clinical trial of VYD2311, as well as positive clinical data for both safety and pharmacokinetics. We expect additional data readouts from the Phase 1 clinical trial and VYD2311 program throughout 2025.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five years in the COVID-19 space, we aim to develop mAbs that could be used in prevention or treatment of serious viral diseases, starting with COVID-19 and potentially expanding into other high-need indications.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and March 2025, we announced continued neutralizing activity of PEMGARDA and VYD2311 against dominant SARS-CoV-2 variants XEC and LP.8.1, respectively.</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recent focus has been and will continue to be supporting the commercialization of PEMGARDA, advancing VYD2311 as our next generation mAb candidate for COVID-19, and establishing streamlined development pathways that could enable us to efficiently introduce new mAb candidates targeting SARS-CoV-2, leveraging previously generated safety and efficacy data from our clinical trials of adintrevimab and/or pemivibart. We have also initiated discovery efforts to assess pipeline expansion beyond SARS-CoV-2, including potential targets such as respiratory syncytial virus and measles.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net proceeds of $464.7 million from sales of our preferred stock, with net proceeds of $327.5 million from our initial public offering (“IPO”), and with net proceeds of $39.3 million from sales of our common stock under the Sales Agreement (as defined below). After receiving EUA in March 2024,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$16.3 million for the three months ended March 31, 2025. As of March 31, 2025, we had an accumulated deficit of $918.3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 as well as ongoing SARS-CoV-2 variant monitoring and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22, 2024, we received EUA from the FDA for PEMGARDA, and as such, we will continue to incur significant commercialization expenses related to product manufacturing, marketing, sales and distribution.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we will not have sufficient cash and cash equivalents to fund our operating expenses and capital requirements beyond one year from the issuance date of the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pursue EUA or regulatory approval of our product candidates, and continue to discover and develop additional product candidates.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284" w:lineRule="exact"/>
        <w:rPr>
          <w:sz w:val="20"/>
          <w:szCs w:val="20"/>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jc w:val="both"/>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-854075</wp:posOffset>
            </wp:positionV>
            <wp:extent cx="285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pursuant to the relevant declaration under Section 564 of the FDCA.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Through March 31, 2025,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March 31, 2025,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(20,519)</w:t>
            </w:r>
          </w:p>
        </w:tc>
      </w:tr>
      <w:tr>
        <w:trPr>
          <w:trHeight w:val="216"/>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(17,863)</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(16,922)</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(46,089)</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100" w:type="dxa"/>
            <w:vAlign w:val="bottom"/>
            <w:shd w:val="clear" w:color="auto" w:fill="CFF0FC"/>
          </w:tcPr>
          <w:p>
            <w:pPr>
              <w:spacing w:after="0"/>
              <w:rPr>
                <w:sz w:val="18"/>
                <w:szCs w:val="18"/>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(1,960)</w:t>
            </w:r>
          </w:p>
        </w:tc>
      </w:tr>
      <w:tr>
        <w:trPr>
          <w:trHeight w:val="20"/>
        </w:trPr>
        <w:tc>
          <w:tcPr>
            <w:tcW w:w="50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(1,960)</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(16,289)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(43,496)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-1447800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-316230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-316230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$11.3 million for the three months ended March 31, 2025. There was no product revenue, net for the three months ended March 31, 2024. The $11.3 million increase is the result of product sales following the launch of PEMGARDA in April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$0.8 million for the three months ended March 31, 2025. There was no cost of product revenue for the three months ended March 31, 2024. The $0.8 million increase is the result of PEMGARDA product sales following launch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8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(17,346)</w:t>
            </w:r>
          </w:p>
        </w:tc>
      </w:tr>
      <w:tr>
        <w:trPr>
          <w:trHeight w:val="216"/>
        </w:trPr>
        <w:tc>
          <w:tcPr>
            <w:tcW w:w="71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Adintrevimab</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(2,727)</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7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-156845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-156845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-10795</wp:posOffset>
            </wp:positionV>
            <wp:extent cx="25031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03170" cy="26035"/>
                    </a:xfrm>
                    <a:prstGeom prst="rect">
                      <a:avLst/>
                    </a:prstGeom>
                    <a:noFill/>
                  </pic:spPr>
                </pic:pic>
              </a:graphicData>
            </a:graphic>
          </wp:anchor>
        </w:drawing>
      </w:r>
    </w:p>
    <w:p>
      <w:pPr>
        <w:ind w:left="180" w:hanging="172"/>
        <w:spacing w:after="0" w:line="238" w:lineRule="auto"/>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were $10.6 million for the three months ended March 31, 2025, compared to $31.2 million for the three months ended March 31, 2024. The $20.5 million decrease in research and development expenses was primarily due to the following:</w:t>
      </w:r>
    </w:p>
    <w:p>
      <w:pPr>
        <w:spacing w:after="0" w:line="66" w:lineRule="exact"/>
        <w:rPr>
          <w:sz w:val="20"/>
          <w:szCs w:val="20"/>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pemivibart program resulted from decrease of $11.9 million in contract costs for commercial manufacturing, $4.8 million in contract research costs for our Phase 3 CANOPY clinical trial, $0.4 million in nonclinical expenses, and $0.2 million in other external expenses;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VYD2311 program resulted from decrease of $0.4 million in contract costs for clinical manufacturing and $0.2 million in nonclinical expense, partially offset by increase of $0.2 million in contract research costs for our Phase 1 clinical trial;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$2.7 million in headcount-related costs.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2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6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$16.8 million for the three months ended March 31, 2025, compared to $14.9 million for the three months ended March 31, 2024. The $1.8 million increase in selling, general and administrative expenses was primarily due to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professional and consultant fees resulted from increase of $0.7 million in sales and marketing costs and $0.2 million in professional service fees;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costs primarily resulted from increase of $0.5 million in travel costs and $0.3 million in software licensing costs.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$0.6 million and $2.6 million for the three months ended March 31, 2025 and 2024, respectively, in each case consisting primarily of interest earned on our invested cash balances.</w:t>
      </w:r>
    </w:p>
    <w:p>
      <w:pPr>
        <w:spacing w:after="0" w:line="50"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March 31, 2025, we have incurred significant operating losses and negative cash flows from operations. Although we received an EUA from the FDA for PEMGARDA in March 2024, we may continue to incur significant expenses and potential operating losses for the foreseeable future as we continue to commercialize PEMGARDA and advance the development of our other product candidates. To date, we have financed our operations primarily with net proceeds of $464.7 million from sales of our preferred stock, with aggregate net proceeds from our IPO in August 2021 of $327.5 million, and with net proceeds of $39.3</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million from sales of our common stock under the Sales Agreement (as defined below). After receiving EUA in March 2024, we have also funded our operations from sales of PEMGARDA.</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we had cash and cash equivalents of $48.1 million.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12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In February 2024, we sold 9,000,000 shares of our common stock under the Sales Agreement at an average price of $4.50 per share for $39.3 million in net proceeds. As of March 31, 2025, $34.5 million remained available for sale under the Sales Agreement.</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18, 2025, we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are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w:t>
      </w:r>
    </w:p>
    <w:p>
      <w:pPr>
        <w:spacing w:after="0" w:line="1" w:lineRule="exact"/>
        <w:rPr>
          <w:sz w:val="20"/>
          <w:szCs w:val="20"/>
          <w:color w:val="auto"/>
        </w:rPr>
      </w:pPr>
    </w:p>
    <w:p>
      <w:pPr>
        <w:ind w:firstLine="8"/>
        <w:spacing w:after="0" w:line="260" w:lineRule="auto"/>
        <w:tabs>
          <w:tab w:leader="none" w:pos="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Loan Agreement; provided, that such fee will be waived by the Lender in the event that we have requested and the Lender has funded any loans under the Term Facility prior to such date.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6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0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(21,129)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(50,214)</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39,101</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(21,271)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(11,253)</w:t>
            </w: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$21.1 million of cash, primarily due to our net loss of $16.3 million and changes in our operating assets and liabilities of $8.4 million, partially offset by non-cash charges of $3.6 million. The changes in our operating assets and liabilities primarily consisted of a $10.0 million decrease in accrued expenses, a $1.6 million decrease in accounts payable, and a $0.4 million decrease in operating lease liabilities, partially offset by a $2.3 million decrease in accounts receivable, and a $1.3 million decrease in prepaid expenses and other current assets. The decrease in accrued expenses was primarily due to the timing of vendor invoicing and payments.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$50.2 million of cash, primarily due to our net loss of $43.5 million and changes in our operating assets and liabilities of $12.6 million, partially offset by non-cash charges of $5.9 million. The changes in our operating assets and liabilities primarily consisted of a $7.0 million decrease in accrued expenses, a $6.8 million decrease in accounts payable, a $1.7 million increase in other non-current assets, a $0.7 million decrease in other non-current liabilities, a $0.4 million decrease in operating lease liabilities, and a $0.1 million increase in inventory, partially offset by a $4.0 million decrease in prepaid expenses and other current assets. The decrease in accounts payable and accrued expenses was primarily due to the timing of vendor invoicing and payments. The decrease in prepaid expenses and other current assets was primarily due to the utilization of WuXi Biologics manufacturing prepayments and deposits.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both the three months ended March 31, 2025 and 2024, consisted of $0.1 million in purchases of property and equipment.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consisted of $0.1 million from the exercises of stock options and the issuance of common stock under the employee stock purchase plan, offset by $0.1 million in payments for offering costs related to the Sales Agreement.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2024 consisted of $39.3 million from the issuance of common stock under the Sales Agreement and $0.1 million from the issuance of common stock under the employee stock purchase plan, partially offset by $0.3 million in payments for offering costs related to the Sales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w:t>
      </w:r>
    </w:p>
    <w:p>
      <w:pPr>
        <w:spacing w:after="0" w:line="68" w:lineRule="exact"/>
        <w:rPr>
          <w:sz w:val="20"/>
          <w:szCs w:val="20"/>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 such as VYD2311;</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maintain and expand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 as needed in the future;</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condensed consolidated financial statements. Based on current operating plans and excluding any contribution from future revenues or external financing, we will not have sufficient cash and cash equivalents to fund our operating expenses and capital requirements beyond one year from the issuance of these condensed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March 31, 2025, we committed to noncancelable purchase obligations related to commercial drug substance and drug product manufacturing under the Commercial Manufacturing Services Agreement with WuXi Biologics, which was entered into in December 2020, amended and restated in August 2021 and further amended and restated in September 2023 (as amended and restated, the “Commercial Manufacturing Agreement”). As of March 31, 2025, the total remaining contractually binding commercial drug substance and drug product purchase obligations due to WuXi Biologics was $27.4 million, which is expected to be paid in 2025. As of March 31, 2025, the total remaining purchase obligation, related to the contractually binding commercial drug substance and drug product batches, was included in accounts payable and accrued expenses, which is expected to be paid in 2025.</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March 31, 2025, we committed to noncancelable purchase obligations related to the procurement of materials to be used in future drug substance and drug product manufacturing under the Commercial Manufacturing Agreement. As of March 31, 2025, the total remaining contractually binding purchase obligations due to WuXi Biologics was $6.3 million, which was included in accounts payable and accrued expenses and is expected to be paid in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U.S. The preparation of our financial statements and related disclosures requires us to make estimates, assumptions and judgments that affect the reported amounts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2024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2024 Form 10-K.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March 31, 2025.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2025, our Chief Financial Officer concluded that, as of such date, our disclosure controls and procedures as of such date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March 31, 2025 that have materially affected, or are reasonably likely to materially affect, our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2025, we were not a party to any material legal proceedings.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Information regarding risks and uncertainties related to our business appears in Part I, Item 1A. “Risk Factors” of the 2024 Form 10-K. As of the date of this Quarterly Report on Form 10-Q, there have been no material changes from the risk factors set forth in the 2024 Form 10-K, other than as described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regain or maintain compliance with the continued listing standards of Nasdaq.</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Global Market.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on December 27, 2024, we received a letter from Nasdaq notifying us that, because the closing bid price for our common stock had closed below $1.00 per share for 30 consecutive business days, we no longer complied with the minimum bid price requirement for continued listing on the Nasdaq Global Market pursuant to Nasdaq Listing Rule 5450(a)(1) (the “Minimum Bid Price Requirement”). We then received a letter from Nasdaq on February 21, 2025 notifying us that we had regained compliance with the Minimum Bid Price Requirement, and the matter with respect to that period of non-compliance was closed.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Subsequently, on April 21, 2025, we received a new letter from Nasdaq notifying us that, because the closing bid price for our common stock had again closed below $1.00 per share for 30 consecutive business days, we no longer complied with the Minimum Bid Price Requirement. Nasdaq’s notice has no immediate effect on the listing of our common stock, and, in accordance with Nasdaq Listing Rule 5810(c)(3)(A), we have until October 20, 2025 to regain compliance with the Minimum Bid Price Requirement by maintaining a closing bid price of at least $1.00 per share for a minimum of ten consecutive business days, unless Nasdaq exercises its discretion to extend this ten-day period pursuant to Nasdaq Listing Rule 5810(c)(3)(H). In the event we do not regain compliance by October 20, 2025, we may be eligible for additional time to regain compliance with the Minimum Bid Price Requirement.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we are unable to regain compliance with the Minimum Bid Price Requirement or fail to maintain compliance with Nasdaq’s other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 value and liquidity of our common stock. Delisting also could have other negative results, including the potential loss of employee confidence, the loss of institutional investors or interest in potential business development opportunities.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or other terms of our Loan Agreement, including as a result of events beyond our control, could result in a default under the Loan Agreement that could materially and adversely affect the ongoing viability of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April 18, 2025 (the “Closing Date”), we entered into that certain Loan and Security Agreement (the “Loan Agreement”) with Silicon Valley Bank, a division of First-Citizens Bank &amp; Trust Company, as lender (the “Lender”), that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achievement of certain net product revenue milestones and ending on June 30, 2027 (collectively, the “Term Loans”).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Term Loans (i) are due and payable on March 1, 2029 (the “Maturity Date”) and (ii)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will be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Term Loans advanced under the Term Facility. The Loan Agreement provides for an unused term loan commitment fee equal to 1.00% of the Term Facility upon the earliest to occur of (1) July 1, 2027, (2) the occurrence of an Event of Default and (3) the termination of the Loan Agreement; provided, that such fee will be waived by the Lender in the event that we have requested and the Lender has funded any loans under the Term Facility prior to such date.</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obligations under the Loan Agreement are secured by a pledge of substantially all of our assets, excluding intellectual property. Certain of our future subsidiaries, if any, will be required to become co-borrowers under the Loan Agreement or guarantee our obligations under the Loan Agreement. In addition, such subsidiaries will be required to pledge substantially all of their assets, excluding intellectual property, to secure our obligations under the Loan Agreement. None of our subsidiaries in existence as of the Closing Date were required to be co-borrowers or guarantors or to so pledge their assets.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 Agreement contains affirmative and negative covenants, including limitations on our ability and our subsidiaries’ abilities, among other things, to incur additional debt, grant or permit additional liens, make investments and acquisitions, merge or consolidate with others, dispose of assets, pay dividends and distributions, enter into affiliate transactions and change our line of business, in each case, subject to certain exceptions. In addition, the Loan Agreement contains quarterly financial covenants requiring us to maintain (a) commencing at the end of the quarter following the advance of any loans under the Term Facility, a certain amount of minimum net product revenue and (b) commencing with the quarter ending December 31, 2025 (or, if earlier, commencing at the end of the quarter following the advance of greater than $15 million of loans under the Term Facility), either (i) a certain amount of minimum EBITDA or (ii) minimum unrestricted cash and cash equivalents in an amount equal to or greater than the greater of (x) an amount equal to the sum of our six-month Cash Burn (as defined in the Loan Agreement) and the aggregate amount of loans outstanding under the Term Facility and (y) the aggregate amount of loans outstanding under the Term Facility multiplied by two (the “Minimum Cash Threshold”). In addition, if we no longer maintain active sales of a product in the U.S., we will be required to maintain the Minimum Cash Threshold at all times.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Loan Agreement also includes Events of Default, in certain cases subject to customary periods to cure, following which the Lender may accelerate all amounts outstanding under the Term Facility and stop advancing money or extending credit. For example, the Lender may elect to accelerate the repayment of all unpaid principal of the Term Loans, accrued interest and other amounts owed under the Loan Agreement upon the occurrence of certain Events of Default, including, among other things:</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a payment obligation under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breach of the restrictive covenants or other terms of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 in our business operations or condition (financial or otherwise);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impairment in the perfection or priority of the Lender’s lien in the collateral specified in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judgment defaults and cross-defaults to other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specified change of control transaction;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insolvency and bankruptcy-related events.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draw down any of the Term Loans under the Term Facility, our assets or cash flow may not be sufficient to fully repay our obligations under the Loan Agreement if the obligations thereunder are accelerated upon any Events of Default. Further, if we are unable to repay, refinance or restructure our obligations under the Loan Agreement, the Lender could proceed to protect and enforce their rights under the Loan Agreement by exercising such remedies (including foreclosure on the assets securing our obligations under the Loan Agreement) as are available to the Lender and in respect thereof under applicable law, either by suit in equity or by action at law, or both, whether for specific performance of any covenant or other agreement contained in the Loan Agreement or in aid of the exercise of any power granted in the Loan Agreement. The foregoing would materially and adversely affect the ongoing viability of our business.</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satisfy certain conditions in the Loan Agreement, we will be unable to draw down the amounts of the term loan facility.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color w:val="auto"/>
        </w:rPr>
        <w:t>For our Loan Agreement, we must satisfy certain conditions to be eligible to draw down the Term Loans.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A Loans shall be available to be drawn from and after August 15, 2025 through December 31, 2026 upon compliance with certain financial covenants, provided that we satisfy certain conditions described in the Loan Agreement. The Term B Loans shall be available to be drawn during the period commencing on the date of the achievement of certain net product revenue milestones and ending on June 30, 2027, provided that we satisfy certain conditions described in the Loan Agreement. The Term C Loans shall be available to be drawn during the period commencing on the date of the achievement of certain net product revenue milestones and ending on June 30, 2027, provided that we satisfy certain conditions described in the Loan Agreement.</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satisfy those conditions, we would not be able to draw down the respective Term Loans and may not be able to obtain alternative financing on commercially reasonable terms or at all.</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contains restrictions that limit our flexibility in operating our business.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Loan Agreement contains various covenants that limit our ability to engage in specified types of transactions without the prior consent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including our ability to, among other things:</w:t>
      </w:r>
    </w:p>
    <w:p>
      <w:pPr>
        <w:spacing w:after="0" w:line="9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 sell, lease, transfer, assign, or otherwise dispose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the businesses currently engaged in by us or reasonably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dissolve;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or substantially all of the stock, partnership, membership, or other ownership interest or other equity securities or property of another entity;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certain of our assets;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dividends on, repurchasing or making distributions with respect to our common stock, subject to certain exceptions;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covenants in our Loan Agreement may limit our ability to take certain actions that may be in our long-term best interests. In the event that we breach one or more covenants, the Lender may choose to declare an Event of Default and require that we immediately repay any amounts outstanding under the Loan Agreement, plus fees, terminate the Lender’s commitments to fund any undrawn Term Loans and foreclose on the collateral granted to them to secure the obligations under the Loan Agreement. Such repayment could have a material adverse effect on our business, operating results and financial condition.</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as applicable, we will require a significant amount of cash and our ability to generate cash depends on many factors beyond our control.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make cash payments on our indebtedness, as applicable, will depend on our ability to generate significant operating cash flow in the future. This ability is, to a significant extent, subject to general economic, financial, competitive, legislative, regulatory and other factors, that will be beyond our control. In addition, our business may not generate sufficient cash flow from operations to enable us to pay our indebtedness or to fund our other liquidity needs. In any such circumstance, we may need to refinance all or a portion of our indebtedness, on or before maturity. We may not be able to refinance any indebtedness on commercially reasonable terms or at all. If we cannot service our indebtedness, as applicable, we may have to take actions such as selling assets, seeking additional equity or reducing or delaying capital expenditures, strategic acquisitions and investments. Any such action, if necessary, may not be effected on commercially reasonable terms or at all. The instruments governing our indebtedness may restrict our ability to sell assets and our use of the proceeds from such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three months ended March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three months ended March 31, 2025.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adopted or terminated a “Rule 10b5-1 trading arrangement” or a “non-Rule 10b5-1 trading arrangement,” as each term is defined in Item 408 of Regulation S-K, except as follows: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20, 2025, each of Robert Allen (Chief Scientific Officer), Jill Andersen (Chief Legal Officer), William Duke (Chief Financial Officer), Julie Green (Chief Human Resources Officer) and Timothy Lee (Chief Commercial Officer) entered into a sell-to-cover instruction letter (each, a “Sell-to-Cover Instruction Letter”) that constitutes a “Rule 10b5-1 trading arrangement” intended to satisfy the affirmative defense of Rule 10b5-1(c) of the Securities Exchange Act of 1934, as amended. Each Sell-to-Cover Instruction Letter, which applies to prior and future grants of restricted stock units (“RSUs”) whether vesting is based on the passage of time and/or the achievement of performance criteria, provides for the automatic sale of shares of our common stock as soon as practicable after each settlement date of a covered RSU in an amount sufficient to satisfy the applicable tax withholding obligation, with the proceeds of the sale delivered to us in satisfaction of the applicable tax withholding obligation. The number of shares subject to covered RSUs that will be sold to satisfy the applicable tax withholding obligations upon vesting is unknown as the number will vary based on the extent to which vesting conditions are satisfied, the market price of our common stock at the time of settlement and the potential future grant of additional RSUs subject to the Sell-to-Cover Instruction Letter. The expiration date of each Sell-to-Cover Instruction Letter is the date on which the tax withholding obligation arising from the vesting of all covered RSUs and the related issuance of shares of our common stock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640" w:type="dxa"/>
            <w:vAlign w:val="bottom"/>
            <w:gridSpan w:val="15"/>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664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Amended and Restated Certificate of Incorporation (incorporated by reference to Exhibit 3.1 of the Company’s Current Report on Form 8-</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3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Company’s Current Report on Form 8-K (File No. 001-40703), filed with the Securities and Exchange Commission on September 13,</w:t>
              </w:r>
            </w:hyperlink>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99">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9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9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97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Amended and Restated Bylaws (incorporated by reference to Exhibit 3.2 of the Company’s Current Report on Form 8-K (File No. 001-</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8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No. 1 to the Amended and Restated Bylaws (incorporated by reference to Exhibit 3.2 of the Company’s Current Report on</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Form 8-K (File No. 001-40703), filed with the Securities and Exchange Commission on May 25, 2023).</w:t>
              </w:r>
            </w:hyperlink>
          </w:p>
        </w:tc>
        <w:tc>
          <w:tcPr>
            <w:tcW w:w="2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0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20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0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 Securities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3440" w:type="dxa"/>
            <w:vAlign w:val="bottom"/>
            <w:tcBorders>
              <w:right w:val="single" w:sz="8" w:color="0000EE"/>
            </w:tcBorders>
            <w:gridSpan w:val="2"/>
            <w:shd w:val="clear" w:color="auto" w:fill="0000FF"/>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8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right="540" w:hanging="452"/>
        <w:spacing w:after="0" w:line="255"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INVIVYD, INC.</w:t>
      </w:r>
    </w:p>
    <w:p>
      <w:pPr>
        <w:spacing w:after="0" w:line="225" w:lineRule="exact"/>
        <w:rPr>
          <w:sz w:val="20"/>
          <w:szCs w:val="20"/>
          <w:color w:val="auto"/>
        </w:rPr>
      </w:pPr>
    </w:p>
    <w:p>
      <w:pPr>
        <w:spacing w:after="0"/>
        <w:tabs>
          <w:tab w:leader="none" w:pos="5660" w:val="left"/>
          <w:tab w:leader="none" w:pos="78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March 31,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lvl w:ilvl="1">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2"/>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198" Type="http://schemas.openxmlformats.org/officeDocument/2006/relationships/hyperlink" Target="https://www.sec.gov/Archives/edgar/data/1832038/000119312521242044/d211424dex31.htm" TargetMode="External"/><Relationship Id="rId199" Type="http://schemas.openxmlformats.org/officeDocument/2006/relationships/hyperlink" Target="https://www.sec.gov/Archives/edgar/data/1832038/000119312522243285/d388436dex31.htm" TargetMode="External"/><Relationship Id="rId200" Type="http://schemas.openxmlformats.org/officeDocument/2006/relationships/hyperlink" Target="https://www.sec.gov/Archives/edgar/data/1832038/000119312523154233/d473409dex31.htm" TargetMode="External"/><Relationship Id="rId201" Type="http://schemas.openxmlformats.org/officeDocument/2006/relationships/hyperlink" Target="https://www.sec.gov/Archives/edgar/data/1832038/000119312522243285/d388436dex32.htm" TargetMode="External"/><Relationship Id="rId202" Type="http://schemas.openxmlformats.org/officeDocument/2006/relationships/hyperlink" Target="https://www.sec.gov/Archives/edgar/data/1832038/000119312523154233/d473409dex32.htm" TargetMode="External"/><Relationship Id="rId203" Type="http://schemas.openxmlformats.org/officeDocument/2006/relationships/hyperlink" Target="https://www.sec.gov/Archives/edgar/data/1832038/000119312522253372/d392092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2025-05-15T06:19:58Z</dcterms:created>
  <dcterms:modified xsi:type="dcterms:W3CDTF">2025-05-15T06:19:58Z</dcterms:modified>
</cp:coreProperties>
</file>