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473409d8k.htm"/>
      <w:bookmarkStart w:id="1" w:name="ksd473409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May 23,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Invivyd,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001-40703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85-1403134</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1601 Trapelo Road, Suite 178</w:t>
            </w:r>
          </w:p>
          <w:p>
            <w:pPr>
              <w:pStyle w:val="TableContents"/>
              <w:bidi w:val="0"/>
              <w:spacing w:before="0" w:after="20"/>
              <w:jc w:val="center"/>
              <w:rPr>
                <w:rFonts w:ascii="Times New Roman" w:hAnsi="Times New Roman"/>
                <w:b/>
                <w:sz w:val="20"/>
              </w:rPr>
            </w:pPr>
            <w:r>
              <w:rPr>
                <w:rFonts w:ascii="Times New Roman" w:hAnsi="Times New Roman"/>
                <w:b/>
                <w:sz w:val="20"/>
              </w:rPr>
              <w:t>Waltham, MA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02451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(781) 819-0080</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30" w:type="dxa"/>
        <w:jc w:val="left"/>
        <w:tblInd w:w="0" w:type="dxa"/>
        <w:tblLayout w:type="fixed"/>
        <w:tblCellMar>
          <w:top w:w="0" w:type="dxa"/>
          <w:left w:w="0" w:type="dxa"/>
          <w:bottom w:w="0" w:type="dxa"/>
          <w:right w:w="0" w:type="dxa"/>
        </w:tblCellMar>
      </w:tblPr>
      <w:tblGrid>
        <w:gridCol w:w="4220"/>
        <w:gridCol w:w="60"/>
        <w:gridCol w:w="740"/>
        <w:gridCol w:w="60"/>
        <w:gridCol w:w="3050"/>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2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IVVD</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7510" w:type="dxa"/>
        <w:jc w:val="left"/>
        <w:tblInd w:w="0" w:type="dxa"/>
        <w:tblLayout w:type="fixed"/>
        <w:tblCellMar>
          <w:top w:w="0" w:type="dxa"/>
          <w:left w:w="0" w:type="dxa"/>
          <w:bottom w:w="0" w:type="dxa"/>
          <w:right w:w="0" w:type="dxa"/>
        </w:tblCellMar>
      </w:tblPr>
      <w:tblGrid>
        <w:gridCol w:w="1040"/>
        <w:gridCol w:w="6470"/>
      </w:tblGrid>
      <w:tr>
        <w:trPr/>
        <w:tc>
          <w:tcPr>
            <w:tcW w:w="1040" w:type="dxa"/>
            <w:tcBorders/>
            <w:vAlign w:val="center"/>
          </w:tcPr>
          <w:p>
            <w:pPr>
              <w:pStyle w:val="TableContents"/>
              <w:bidi w:val="0"/>
              <w:spacing w:before="0" w:after="283"/>
              <w:jc w:val="left"/>
              <w:rPr>
                <w:b/>
              </w:rPr>
            </w:pPr>
            <w:r>
              <w:rPr>
                <w:b/>
              </w:rPr>
              <w:t>Item 5.03.</w:t>
            </w:r>
          </w:p>
        </w:tc>
        <w:tc>
          <w:tcPr>
            <w:tcW w:w="6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described in Item 5.07 below, at the Annual Meeting of Stockholders of Invivyd, Inc. (the “Company”) held on May 23, 2023 (the “Annual Meeting”), the Company’s stockholders approved an amendment to the Company’s Amended and Restated Certificate of Incorporation (as amended, the “Certificate of Incorporation”) to (i) declassify the Board of Directors of the Company (the “Board”), with each elected director serving for a one-year term until the next year’s annual meeting, and (ii) provide that directors of the Company may be removed with or without cause by the affirmative vote of the holders of at least a majority of the voting power of all then-outstanding shares of capital stock of the Company entitled to vote generally at an election of directors (the “Declassification Amendment”). Subsequent to such approval, on May 23, 2023, the Company filed with the Secretary of State of the State of Delaware a Certificate of Amendment to the Certificate of Incorporation (the “Certificate of Amendment”), giving effect to the Declassification Amendment. The foregoing summary of the Certificate of Amendment is qualified in its entirety by reference to the full text of the Certificate of Amendment, which is filed as Exhibit 3.1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On May 23, 2023, an amendment to the Company’s Amended and Restated Bylaws (the “Bylaws Amendment”) became effective upon the filing and effectiveness of the Certificate of Amendment. The Bylaws Amendment removes references to the classified Board structure and conforms the director removal provisions of the Company’s Amended and Restated Bylaws with the Certificate of Amendment. The foregoing summary of the Bylaws Amendment is qualified in its entirety by reference to the full text of the Bylaws Amendment, which is filed as Exhibit 3.2 to this Current Report on Form 8-K and is incorporated herein by reference. </w:t>
      </w:r>
    </w:p>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1040"/>
        <w:gridCol w:w="4475"/>
      </w:tblGrid>
      <w:tr>
        <w:trPr/>
        <w:tc>
          <w:tcPr>
            <w:tcW w:w="1040"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23, 2023, the Company held the Annual Meeting. The following is a summary of the matters voted on at the Annual Meeting and the final voting results as certified by the Company’s independent inspector of election in connection with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Proposal 1: The stockholders of the Company approved the Declassification Amendment, with votes cast as follows: </w:t>
      </w:r>
    </w:p>
    <w:p>
      <w:pPr>
        <w:pStyle w:val="TextBody"/>
        <w:bidi w:val="0"/>
        <w:spacing w:before="0" w:after="0"/>
        <w:jc w:val="left"/>
        <w:rPr/>
      </w:pPr>
      <w:r>
        <w:rPr/>
        <w:t> </w:t>
      </w:r>
    </w:p>
    <w:tbl>
      <w:tblPr>
        <w:tblW w:w="4025" w:type="dxa"/>
        <w:jc w:val="left"/>
        <w:tblInd w:w="0" w:type="dxa"/>
        <w:tblLayout w:type="fixed"/>
        <w:tblCellMar>
          <w:top w:w="0" w:type="dxa"/>
          <w:left w:w="0" w:type="dxa"/>
          <w:bottom w:w="0" w:type="dxa"/>
          <w:right w:w="0" w:type="dxa"/>
        </w:tblCellMar>
      </w:tblPr>
      <w:tblGrid>
        <w:gridCol w:w="1235"/>
        <w:gridCol w:w="60"/>
        <w:gridCol w:w="680"/>
        <w:gridCol w:w="60"/>
        <w:gridCol w:w="575"/>
        <w:gridCol w:w="60"/>
        <w:gridCol w:w="1355"/>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235" w:type="dxa"/>
            <w:tcBorders/>
            <w:shd w:fill="CCEEFF" w:val="clear"/>
            <w:vAlign w:val="center"/>
          </w:tcPr>
          <w:p>
            <w:pPr>
              <w:pStyle w:val="TableContents"/>
              <w:bidi w:val="0"/>
              <w:spacing w:before="0" w:after="283"/>
              <w:jc w:val="center"/>
              <w:rPr/>
            </w:pPr>
            <w:r>
              <w:rPr/>
              <w:t>100,169,285</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pPr>
            <w:r>
              <w:rPr/>
              <w:t>91,225</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799</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3,810,812</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Proposal 2: The stockholders of the Company elected Christine Lindenboom and Terrance McGuire as directors for a three-year term expiring at the 2026 Annual Meeting of Stockholders and until his or her successor is duly elected and qualified or until his or her earlier death, resignation or removal (provided, that due to the fact that the Declassification Amendment was approved and implemented, the terms of such directors will expire at the 2024 Annual Meeting of Stockholders). The votes were cast as follows: </w:t>
      </w:r>
    </w:p>
    <w:p>
      <w:pPr>
        <w:pStyle w:val="TextBody"/>
        <w:bidi w:val="0"/>
        <w:spacing w:before="0" w:after="0"/>
        <w:jc w:val="left"/>
        <w:rPr/>
      </w:pPr>
      <w:r>
        <w:rPr/>
        <w:t> </w:t>
      </w:r>
    </w:p>
    <w:tbl>
      <w:tblPr>
        <w:tblW w:w="5615" w:type="dxa"/>
        <w:jc w:val="left"/>
        <w:tblInd w:w="0" w:type="dxa"/>
        <w:tblLayout w:type="fixed"/>
        <w:tblCellMar>
          <w:top w:w="0" w:type="dxa"/>
          <w:left w:w="0" w:type="dxa"/>
          <w:bottom w:w="0" w:type="dxa"/>
          <w:right w:w="0" w:type="dxa"/>
        </w:tblCellMar>
      </w:tblPr>
      <w:tblGrid>
        <w:gridCol w:w="1880"/>
        <w:gridCol w:w="60"/>
        <w:gridCol w:w="1100"/>
        <w:gridCol w:w="60"/>
        <w:gridCol w:w="1100"/>
        <w:gridCol w:w="60"/>
        <w:gridCol w:w="1355"/>
      </w:tblGrid>
      <w:tr>
        <w:trPr/>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Nominee</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Withheld</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8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Christine Lindenboom</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87,097,935</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13,163,374</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3,810,812</w:t>
            </w:r>
          </w:p>
        </w:tc>
      </w:tr>
      <w:tr>
        <w:trPr/>
        <w:tc>
          <w:tcPr>
            <w:tcW w:w="1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Terrance McGuire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75,368,953</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24,892,356</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3,810,812</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Proposal 3: The stockholders of the Company ratified the appointment of PricewaterhouseCoopers LLP as the Company’s independent registered public accounting firm for the fiscal year ending December 31, 2023, with votes cast as follows: </w:t>
      </w:r>
    </w:p>
    <w:p>
      <w:pPr>
        <w:pStyle w:val="TextBody"/>
        <w:bidi w:val="0"/>
        <w:spacing w:before="0" w:after="0"/>
        <w:jc w:val="left"/>
        <w:rPr/>
      </w:pPr>
      <w:r>
        <w:rPr/>
        <w:t> </w:t>
      </w:r>
    </w:p>
    <w:tbl>
      <w:tblPr>
        <w:tblW w:w="4025" w:type="dxa"/>
        <w:jc w:val="left"/>
        <w:tblInd w:w="0" w:type="dxa"/>
        <w:tblLayout w:type="fixed"/>
        <w:tblCellMar>
          <w:top w:w="0" w:type="dxa"/>
          <w:left w:w="0" w:type="dxa"/>
          <w:bottom w:w="0" w:type="dxa"/>
          <w:right w:w="0" w:type="dxa"/>
        </w:tblCellMar>
      </w:tblPr>
      <w:tblGrid>
        <w:gridCol w:w="1235"/>
        <w:gridCol w:w="60"/>
        <w:gridCol w:w="680"/>
        <w:gridCol w:w="60"/>
        <w:gridCol w:w="575"/>
        <w:gridCol w:w="60"/>
        <w:gridCol w:w="1355"/>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Non-Votes</w:t>
            </w:r>
          </w:p>
        </w:tc>
      </w:tr>
      <w:tr>
        <w:trPr/>
        <w:tc>
          <w:tcPr>
            <w:tcW w:w="1235" w:type="dxa"/>
            <w:tcBorders/>
            <w:shd w:fill="CCEEFF" w:val="clear"/>
            <w:vAlign w:val="center"/>
          </w:tcPr>
          <w:p>
            <w:pPr>
              <w:pStyle w:val="TableContents"/>
              <w:bidi w:val="0"/>
              <w:spacing w:before="0" w:after="283"/>
              <w:jc w:val="center"/>
              <w:rPr/>
            </w:pPr>
            <w:r>
              <w:rPr/>
              <w:t>103,977,497</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pPr>
            <w:r>
              <w:rPr/>
              <w:t>87,436</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7,188</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w:t>
            </w:r>
          </w:p>
        </w:tc>
      </w:tr>
    </w:tbl>
    <w:p>
      <w:pPr>
        <w:pStyle w:val="HorizontalLine"/>
        <w:bidi w:val="0"/>
        <w:jc w:val="left"/>
        <w:rPr/>
      </w:pPr>
      <w:r>
        <w:br w:type="page"/>
      </w:r>
      <w:r>
        <w:rPr/>
      </w:r>
    </w:p>
    <w:tbl>
      <w:tblPr>
        <w:tblW w:w="4135" w:type="dxa"/>
        <w:jc w:val="left"/>
        <w:tblInd w:w="0" w:type="dxa"/>
        <w:tblLayout w:type="fixed"/>
        <w:tblCellMar>
          <w:top w:w="0" w:type="dxa"/>
          <w:left w:w="0" w:type="dxa"/>
          <w:bottom w:w="0" w:type="dxa"/>
          <w:right w:w="0" w:type="dxa"/>
        </w:tblCellMar>
      </w:tblPr>
      <w:tblGrid>
        <w:gridCol w:w="1985"/>
        <w:gridCol w:w="2150"/>
      </w:tblGrid>
      <w:tr>
        <w:trPr/>
        <w:tc>
          <w:tcPr>
            <w:tcW w:w="1985" w:type="dxa"/>
            <w:tcBorders/>
            <w:vAlign w:val="center"/>
          </w:tcPr>
          <w:p>
            <w:pPr>
              <w:pStyle w:val="TableContents"/>
              <w:bidi w:val="0"/>
              <w:spacing w:before="0" w:after="283"/>
              <w:jc w:val="left"/>
              <w:rPr>
                <w:b/>
              </w:rPr>
            </w:pPr>
            <w:r>
              <w:rPr>
                <w:b/>
              </w:rPr>
              <w:t>Item 9.01.Financial</w:t>
            </w:r>
          </w:p>
        </w:tc>
        <w:tc>
          <w:tcPr>
            <w:tcW w:w="21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10"/>
        <w:gridCol w:w="120"/>
        <w:gridCol w:w="9375"/>
      </w:tblGrid>
      <w:tr>
        <w:trPr/>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75" w:type="dxa"/>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pPr>
            <w:r>
              <w:rPr/>
              <w:t>    </w:t>
            </w:r>
            <w:r>
              <w:rPr>
                <w:rFonts w:ascii="Times New Roman" w:hAnsi="Times New Roman"/>
                <w:b/>
                <w:sz w:val="16"/>
              </w:rPr>
              <w:t>No.    </w:t>
            </w:r>
          </w:p>
        </w:tc>
        <w:tc>
          <w:tcPr>
            <w:tcW w:w="120" w:type="dxa"/>
            <w:tcBorders/>
            <w:vAlign w:val="center"/>
          </w:tcPr>
          <w:p>
            <w:pPr>
              <w:pStyle w:val="TableContents"/>
              <w:bidi w:val="0"/>
              <w:spacing w:before="0" w:after="283"/>
              <w:jc w:val="left"/>
              <w:rPr/>
            </w:pPr>
            <w:r>
              <w:rPr/>
              <w:t>  </w:t>
            </w:r>
          </w:p>
        </w:tc>
        <w:tc>
          <w:tcPr>
            <w:tcW w:w="937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710" w:type="dxa"/>
            <w:tcBorders/>
            <w:vAlign w:val="center"/>
          </w:tcPr>
          <w:p>
            <w:pPr>
              <w:pStyle w:val="TableContents"/>
              <w:bidi w:val="0"/>
              <w:spacing w:before="0" w:after="283"/>
              <w:jc w:val="left"/>
              <w:rPr>
                <w:sz w:val="4"/>
                <w:szCs w:val="4"/>
              </w:rPr>
            </w:pPr>
            <w:r>
              <w:rPr>
                <w:sz w:val="4"/>
                <w:szCs w:val="4"/>
              </w:rPr>
            </w:r>
          </w:p>
        </w:tc>
        <w:tc>
          <w:tcPr>
            <w:tcW w:w="9495"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pPr>
            <w:r>
              <w:rPr/>
              <w:t>3.1</w:t>
            </w:r>
          </w:p>
        </w:tc>
        <w:tc>
          <w:tcPr>
            <w:tcW w:w="120" w:type="dxa"/>
            <w:tcBorders/>
            <w:vAlign w:val="center"/>
          </w:tcPr>
          <w:p>
            <w:pPr>
              <w:pStyle w:val="TableContents"/>
              <w:bidi w:val="0"/>
              <w:spacing w:before="0" w:after="283"/>
              <w:jc w:val="left"/>
              <w:rPr/>
            </w:pPr>
            <w:r>
              <w:rPr/>
              <w:t>  </w:t>
            </w:r>
          </w:p>
        </w:tc>
        <w:tc>
          <w:tcPr>
            <w:tcW w:w="9375" w:type="dxa"/>
            <w:tcBorders/>
            <w:vAlign w:val="center"/>
          </w:tcPr>
          <w:p>
            <w:pPr>
              <w:pStyle w:val="TableContents"/>
              <w:bidi w:val="0"/>
              <w:spacing w:before="0" w:after="283"/>
              <w:jc w:val="left"/>
              <w:rPr/>
            </w:pPr>
            <w:hyperlink w:anchor="d473409dex31.htm">
              <w:r>
                <w:rPr>
                  <w:rStyle w:val="InternetLink"/>
                </w:rPr>
                <w:t xml:space="preserve">Certificate of Amendment to the Amended and Restated Certificate of Incorporation of Invivyd, Inc. </w:t>
              </w:r>
            </w:hyperlink>
          </w:p>
        </w:tc>
      </w:tr>
      <w:tr>
        <w:trPr/>
        <w:tc>
          <w:tcPr>
            <w:tcW w:w="710" w:type="dxa"/>
            <w:tcBorders/>
            <w:vAlign w:val="center"/>
          </w:tcPr>
          <w:p>
            <w:pPr>
              <w:pStyle w:val="TableContents"/>
              <w:bidi w:val="0"/>
              <w:spacing w:before="0" w:after="283"/>
              <w:jc w:val="left"/>
              <w:rPr>
                <w:sz w:val="4"/>
                <w:szCs w:val="4"/>
              </w:rPr>
            </w:pPr>
            <w:r>
              <w:rPr>
                <w:sz w:val="4"/>
                <w:szCs w:val="4"/>
              </w:rPr>
            </w:r>
          </w:p>
        </w:tc>
        <w:tc>
          <w:tcPr>
            <w:tcW w:w="9495"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pPr>
            <w:r>
              <w:rPr/>
              <w:t>3.2</w:t>
            </w:r>
          </w:p>
        </w:tc>
        <w:tc>
          <w:tcPr>
            <w:tcW w:w="120" w:type="dxa"/>
            <w:tcBorders/>
            <w:vAlign w:val="center"/>
          </w:tcPr>
          <w:p>
            <w:pPr>
              <w:pStyle w:val="TableContents"/>
              <w:bidi w:val="0"/>
              <w:spacing w:before="0" w:after="283"/>
              <w:jc w:val="left"/>
              <w:rPr/>
            </w:pPr>
            <w:r>
              <w:rPr/>
              <w:t>  </w:t>
            </w:r>
          </w:p>
        </w:tc>
        <w:tc>
          <w:tcPr>
            <w:tcW w:w="9375" w:type="dxa"/>
            <w:tcBorders/>
            <w:vAlign w:val="center"/>
          </w:tcPr>
          <w:p>
            <w:pPr>
              <w:pStyle w:val="TableContents"/>
              <w:bidi w:val="0"/>
              <w:spacing w:before="0" w:after="283"/>
              <w:jc w:val="left"/>
              <w:rPr/>
            </w:pPr>
            <w:hyperlink w:anchor="d473409dex32.htm">
              <w:r>
                <w:rPr>
                  <w:rStyle w:val="InternetLink"/>
                </w:rPr>
                <w:t xml:space="preserve">Amendment No. 1 to the Amended and Restated Bylaws of Invivyd, Inc. </w:t>
              </w:r>
            </w:hyperlink>
          </w:p>
        </w:tc>
      </w:tr>
      <w:tr>
        <w:trPr/>
        <w:tc>
          <w:tcPr>
            <w:tcW w:w="710" w:type="dxa"/>
            <w:tcBorders/>
            <w:vAlign w:val="center"/>
          </w:tcPr>
          <w:p>
            <w:pPr>
              <w:pStyle w:val="TableContents"/>
              <w:bidi w:val="0"/>
              <w:spacing w:before="0" w:after="283"/>
              <w:jc w:val="left"/>
              <w:rPr>
                <w:sz w:val="4"/>
                <w:szCs w:val="4"/>
              </w:rPr>
            </w:pPr>
            <w:r>
              <w:rPr>
                <w:sz w:val="4"/>
                <w:szCs w:val="4"/>
              </w:rPr>
            </w:r>
          </w:p>
        </w:tc>
        <w:tc>
          <w:tcPr>
            <w:tcW w:w="9495" w:type="dxa"/>
            <w:gridSpan w:val="2"/>
            <w:tcBorders/>
            <w:vAlign w:val="center"/>
          </w:tcPr>
          <w:p>
            <w:pPr>
              <w:pStyle w:val="TableContents"/>
              <w:bidi w:val="0"/>
              <w:spacing w:before="0" w:after="283"/>
              <w:jc w:val="left"/>
              <w:rPr>
                <w:sz w:val="4"/>
                <w:szCs w:val="4"/>
              </w:rPr>
            </w:pPr>
            <w:r>
              <w:rPr>
                <w:sz w:val="4"/>
                <w:szCs w:val="4"/>
              </w:rPr>
            </w:r>
          </w:p>
        </w:tc>
      </w:tr>
      <w:tr>
        <w:trPr/>
        <w:tc>
          <w:tcPr>
            <w:tcW w:w="71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7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758" w:type="dxa"/>
        <w:jc w:val="left"/>
        <w:tblInd w:w="0" w:type="dxa"/>
        <w:tblLayout w:type="fixed"/>
        <w:tblCellMar>
          <w:top w:w="0" w:type="dxa"/>
          <w:left w:w="0" w:type="dxa"/>
          <w:bottom w:w="0" w:type="dxa"/>
          <w:right w:w="0" w:type="dxa"/>
        </w:tblCellMar>
      </w:tblPr>
      <w:tblGrid>
        <w:gridCol w:w="1940"/>
        <w:gridCol w:w="60"/>
        <w:gridCol w:w="23"/>
        <w:gridCol w:w="60"/>
        <w:gridCol w:w="365"/>
        <w:gridCol w:w="60"/>
        <w:gridCol w:w="4250"/>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0" w:type="dxa"/>
            <w:tcBorders/>
            <w:vAlign w:val="center"/>
          </w:tcPr>
          <w:p>
            <w:pPr>
              <w:pStyle w:val="TableContents"/>
              <w:bidi w:val="0"/>
              <w:spacing w:before="0" w:after="283"/>
              <w:jc w:val="left"/>
              <w:rPr>
                <w:sz w:val="4"/>
                <w:szCs w:val="4"/>
              </w:rPr>
            </w:pPr>
            <w:r>
              <w:rPr>
                <w:sz w:val="4"/>
                <w:szCs w:val="4"/>
              </w:rPr>
            </w:r>
          </w:p>
        </w:tc>
      </w:tr>
      <w:tr>
        <w:trPr/>
        <w:tc>
          <w:tcPr>
            <w:tcW w:w="2023" w:type="dxa"/>
            <w:gridSpan w:val="3"/>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75" w:type="dxa"/>
            <w:gridSpan w:val="3"/>
            <w:tcBorders/>
            <w:vAlign w:val="center"/>
          </w:tcPr>
          <w:p>
            <w:pPr>
              <w:pStyle w:val="TableContents"/>
              <w:bidi w:val="0"/>
              <w:spacing w:before="0" w:after="283"/>
              <w:jc w:val="left"/>
              <w:rPr>
                <w:b/>
              </w:rPr>
            </w:pPr>
            <w:r>
              <w:rPr>
                <w:b/>
              </w:rPr>
              <w:t>INVIVYD,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May 25,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Jill Andersen</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Jill Andersen</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Chief Legal Officer and Corporate Secretary</w:t>
            </w:r>
          </w:p>
        </w:tc>
      </w:tr>
    </w:tbl>
    <w:p>
      <w:pPr>
        <w:pStyle w:val="TextBody"/>
        <w:bidi w:val="0"/>
        <w:spacing w:before="0" w:after="0"/>
        <w:jc w:val="right"/>
        <w:rPr>
          <w:rFonts w:ascii="Times New Roman" w:hAnsi="Times New Roman"/>
          <w:b/>
          <w:sz w:val="20"/>
        </w:rPr>
      </w:pPr>
      <w:bookmarkStart w:id="2" w:name="d473409dex31.htm"/>
      <w:bookmarkStart w:id="3" w:name="ksd473409dex31"/>
      <w:bookmarkEnd w:id="2"/>
      <w:bookmarkEnd w:id="3"/>
      <w:r>
        <w:rPr>
          <w:rFonts w:ascii="Times New Roman" w:hAnsi="Times New Roman"/>
          <w:b/>
          <w:sz w:val="20"/>
        </w:rPr>
        <w:t xml:space="preserve">Exhibit 3.1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STATE OF DELAWARE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TO THE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INVIVYD, INC. </w:t>
      </w:r>
    </w:p>
    <w:p>
      <w:pPr>
        <w:pStyle w:val="TextBody"/>
        <w:bidi w:val="0"/>
        <w:spacing w:before="240" w:after="0"/>
        <w:jc w:val="left"/>
        <w:rPr>
          <w:rFonts w:ascii="Times New Roman" w:hAnsi="Times New Roman"/>
          <w:sz w:val="20"/>
        </w:rPr>
      </w:pPr>
      <w:r>
        <w:rPr>
          <w:rFonts w:ascii="Times New Roman" w:hAnsi="Times New Roman"/>
          <w:sz w:val="20"/>
        </w:rPr>
        <w:t>Invivyd, Inc., a corporation organized and existing under the laws of the State of Delaware (the </w:t>
      </w:r>
      <w:r>
        <w:rPr>
          <w:rFonts w:ascii="Times New Roman" w:hAnsi="Times New Roman"/>
          <w:sz w:val="20"/>
          <w:u w:val="single"/>
        </w:rPr>
        <w:t>Corporation</w:t>
      </w:r>
      <w:r>
        <w:rPr>
          <w:rFonts w:ascii="Times New Roman" w:hAnsi="Times New Roman"/>
          <w:sz w:val="20"/>
        </w:rPr>
        <w:t xml:space="preserve">), hereby certifies as follows: </w:t>
      </w:r>
    </w:p>
    <w:p>
      <w:pPr>
        <w:pStyle w:val="TextBody"/>
        <w:bidi w:val="0"/>
        <w:spacing w:before="240" w:after="0"/>
        <w:jc w:val="left"/>
        <w:rPr>
          <w:rFonts w:ascii="Times New Roman" w:hAnsi="Times New Roman"/>
          <w:sz w:val="20"/>
        </w:rPr>
      </w:pPr>
      <w:r>
        <w:rPr>
          <w:rFonts w:ascii="Times New Roman" w:hAnsi="Times New Roman"/>
          <w:b/>
          <w:sz w:val="20"/>
        </w:rPr>
        <w:t>FIRST</w:t>
      </w:r>
      <w:r>
        <w:rPr>
          <w:rFonts w:ascii="Times New Roman" w:hAnsi="Times New Roman"/>
          <w:sz w:val="20"/>
        </w:rPr>
        <w:t>: Article V, Section B, Subsections 2 and 3 of the Amended and Restated Certificate of Incorporation of the Corporation (as amended, the </w:t>
      </w:r>
      <w:r>
        <w:rPr>
          <w:rFonts w:ascii="Times New Roman" w:hAnsi="Times New Roman"/>
          <w:sz w:val="20"/>
          <w:u w:val="single"/>
        </w:rPr>
        <w:t>Certificate of Incorporation</w:t>
      </w:r>
      <w:r>
        <w:rPr>
          <w:rFonts w:ascii="Times New Roman" w:hAnsi="Times New Roman"/>
          <w:sz w:val="20"/>
        </w:rPr>
        <w:t xml:space="preserve">) are amended and restated to read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w:t>
      </w:r>
      <w:r>
        <w:rPr>
          <w:rFonts w:ascii="Times New Roman" w:hAnsi="Times New Roman"/>
          <w:b/>
          <w:sz w:val="20"/>
        </w:rPr>
        <w:t>BOARD</w:t>
      </w:r>
      <w:r>
        <w:rPr>
          <w:rFonts w:ascii="Times New Roman" w:hAnsi="Times New Roman"/>
          <w:sz w:val="20"/>
        </w:rPr>
        <w:t> </w:t>
      </w:r>
      <w:r>
        <w:rPr>
          <w:rFonts w:ascii="Times New Roman" w:hAnsi="Times New Roman"/>
          <w:b/>
          <w:sz w:val="20"/>
        </w:rPr>
        <w:t>OF</w:t>
      </w:r>
      <w:r>
        <w:rPr>
          <w:rFonts w:ascii="Times New Roman" w:hAnsi="Times New Roman"/>
          <w:sz w:val="20"/>
        </w:rPr>
        <w:t> </w:t>
      </w:r>
      <w:r>
        <w:rPr>
          <w:rFonts w:ascii="Times New Roman" w:hAnsi="Times New Roman"/>
          <w:b/>
          <w:sz w:val="20"/>
        </w:rPr>
        <w:t>DIRECTORS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2.</w:t>
      </w:r>
      <w:r>
        <w:rPr>
          <w:rFonts w:ascii="Times New Roman" w:hAnsi="Times New Roman"/>
          <w:sz w:val="20"/>
        </w:rPr>
        <w:t> </w:t>
      </w:r>
      <w:r>
        <w:rPr>
          <w:rFonts w:ascii="Times New Roman" w:hAnsi="Times New Roman"/>
          <w:b/>
          <w:sz w:val="20"/>
        </w:rPr>
        <w:t>Term</w:t>
      </w:r>
      <w:r>
        <w:rPr>
          <w:rFonts w:ascii="Times New Roman" w:hAnsi="Times New Roman"/>
          <w:sz w:val="20"/>
        </w:rPr>
        <w:t xml:space="preserve">. Commencing with the filing and effectiveness of this Certificate of Amendment to the Certificate of Incorporation, the Board shall be immediately declassified and all directors shall be elected at each annual meeting of stockholders for terms expiring at the next succeeding annual meeting of stockholders and until his or her successor is duly elected and qualified or until his or her earlier death, resignation or removal. The term of each director serving as of and immediately prior to the filing and effectiveness of this Certificate of Amendment to the Certificate of Incorporation shall expire at the 2024 annual meeting of stockholders, notwithstanding that such director may have been elected for a term extending beyond the 2024 annual meeting of stockholders. </w:t>
      </w:r>
    </w:p>
    <w:p>
      <w:pPr>
        <w:pStyle w:val="TextBody"/>
        <w:bidi w:val="0"/>
        <w:spacing w:before="120" w:after="0"/>
        <w:jc w:val="left"/>
        <w:rPr>
          <w:rFonts w:ascii="Times New Roman" w:hAnsi="Times New Roman"/>
          <w:sz w:val="20"/>
        </w:rPr>
      </w:pPr>
      <w:r>
        <w:rPr>
          <w:rFonts w:ascii="Times New Roman" w:hAnsi="Times New Roman"/>
          <w:b/>
          <w:sz w:val="20"/>
        </w:rPr>
        <w:t>3. Removal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[Reserved]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Subject to any limitation imposed by law and immediately upon the filing and effectiveness of this Certificate of Amendment to the Certificate of Incorporation, any individual director or directors may be removed with or without cause by the affirmative vote of the holders of at least a majority of the voting power of all then-outstanding shares of capital stock of the Company entitled to vote generally at an election of directors. </w:t>
      </w:r>
    </w:p>
    <w:p>
      <w:pPr>
        <w:pStyle w:val="TextBody"/>
        <w:bidi w:val="0"/>
        <w:spacing w:before="240" w:after="0"/>
        <w:jc w:val="left"/>
        <w:rPr>
          <w:rFonts w:ascii="Times New Roman" w:hAnsi="Times New Roman"/>
          <w:sz w:val="20"/>
        </w:rPr>
      </w:pPr>
      <w:r>
        <w:rPr>
          <w:rFonts w:ascii="Times New Roman" w:hAnsi="Times New Roman"/>
          <w:b/>
          <w:sz w:val="20"/>
        </w:rPr>
        <w:t>SECOND</w:t>
      </w:r>
      <w:r>
        <w:rPr>
          <w:rFonts w:ascii="Times New Roman" w:hAnsi="Times New Roman"/>
          <w:sz w:val="20"/>
        </w:rPr>
        <w:t xml:space="preserve">: This Certificate of Amendment to the Certificate of Incorporation has been duly adopted in accordance with the provisions of Section 242 of the Delaware General Corporation Law. </w:t>
      </w:r>
    </w:p>
    <w:p>
      <w:pPr>
        <w:pStyle w:val="TextBody"/>
        <w:bidi w:val="0"/>
        <w:spacing w:before="24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That except as amended hereby, the provisions of the Certificate of Incorporation shall remain in full force and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FOURTH</w:t>
      </w:r>
      <w:r>
        <w:rPr>
          <w:rFonts w:ascii="Times New Roman" w:hAnsi="Times New Roman"/>
          <w:sz w:val="20"/>
        </w:rPr>
        <w:t xml:space="preserve">: This Certificate of Amendment to the Certificate of Incorporation shall be effective upon filing with the Secretary of State of the State of Delaware. </w:t>
      </w:r>
    </w:p>
    <w:p>
      <w:pPr>
        <w:pStyle w:val="TextBody"/>
        <w:bidi w:val="0"/>
        <w:spacing w:before="240" w:after="0"/>
        <w:jc w:val="center"/>
        <w:rPr>
          <w:rFonts w:ascii="Times New Roman" w:hAnsi="Times New Roman"/>
          <w:sz w:val="20"/>
        </w:rPr>
      </w:pPr>
      <w:r>
        <w:rPr>
          <w:rFonts w:ascii="Times New Roman" w:hAnsi="Times New Roman"/>
          <w:sz w:val="20"/>
        </w:rPr>
        <w:t xml:space="preserve">*    *    *    *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Corporation has caused this Certificate of Amendment to the Amended and Restated Certificate of Incorporation, as amended, to be signed by a duly authorized officer of the Corporation this 23rd day of May,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0"/>
        <w:gridCol w:w="60"/>
        <w:gridCol w:w="3642"/>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INVIVYD, INC.</w:t>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Jill Andersen</w:t>
            </w:r>
          </w:p>
        </w:tc>
      </w:tr>
      <w:tr>
        <w:trPr/>
        <w:tc>
          <w:tcPr>
            <w:tcW w:w="4082" w:type="dxa"/>
            <w:gridSpan w:val="3"/>
            <w:tcBorders/>
          </w:tcPr>
          <w:p>
            <w:pPr>
              <w:pStyle w:val="TableContents"/>
              <w:bidi w:val="0"/>
              <w:spacing w:before="0" w:after="283"/>
              <w:jc w:val="left"/>
              <w:rPr/>
            </w:pPr>
            <w:r>
              <w:rPr/>
              <w:t>Name: Jill Andersen</w:t>
            </w:r>
          </w:p>
        </w:tc>
      </w:tr>
      <w:tr>
        <w:trPr/>
        <w:tc>
          <w:tcPr>
            <w:tcW w:w="4082" w:type="dxa"/>
            <w:gridSpan w:val="3"/>
            <w:tcBorders/>
          </w:tcPr>
          <w:p>
            <w:pPr>
              <w:pStyle w:val="TableContents"/>
              <w:bidi w:val="0"/>
              <w:spacing w:before="0" w:after="283"/>
              <w:jc w:val="left"/>
              <w:rPr/>
            </w:pPr>
            <w:r>
              <w:rPr/>
              <w:t>Title: Chief Legal Officer and Corporate Secretary</w:t>
            </w:r>
          </w:p>
        </w:tc>
      </w:tr>
    </w:tbl>
    <w:p>
      <w:pPr>
        <w:pStyle w:val="TextBody"/>
        <w:bidi w:val="0"/>
        <w:spacing w:before="0" w:after="0"/>
        <w:jc w:val="right"/>
        <w:rPr>
          <w:rFonts w:ascii="Times New Roman" w:hAnsi="Times New Roman"/>
          <w:b/>
          <w:sz w:val="20"/>
        </w:rPr>
      </w:pPr>
      <w:bookmarkStart w:id="4" w:name="d473409dex32.htm"/>
      <w:bookmarkStart w:id="5" w:name="ksd473409dex32"/>
      <w:bookmarkEnd w:id="4"/>
      <w:bookmarkEnd w:id="5"/>
      <w:r>
        <w:rPr>
          <w:rFonts w:ascii="Times New Roman" w:hAnsi="Times New Roman"/>
          <w:b/>
          <w:sz w:val="20"/>
        </w:rPr>
        <w:t xml:space="preserve">Exhibit 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AMENDMENT NO. 1 </w:t>
      </w:r>
    </w:p>
    <w:p>
      <w:pPr>
        <w:pStyle w:val="TextBody"/>
        <w:bidi w:val="0"/>
        <w:spacing w:before="240" w:after="0"/>
        <w:jc w:val="center"/>
        <w:rPr>
          <w:rFonts w:ascii="Times New Roman" w:hAnsi="Times New Roman"/>
          <w:b/>
          <w:sz w:val="20"/>
        </w:rPr>
      </w:pPr>
      <w:r>
        <w:rPr>
          <w:rFonts w:ascii="Times New Roman" w:hAnsi="Times New Roman"/>
          <w:b/>
          <w:sz w:val="20"/>
        </w:rPr>
        <w:t xml:space="preserve">TO THE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BYLAWS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INVIVYD, INC. </w:t>
      </w:r>
    </w:p>
    <w:p>
      <w:pPr>
        <w:pStyle w:val="TextBody"/>
        <w:bidi w:val="0"/>
        <w:spacing w:before="0" w:after="0"/>
        <w:jc w:val="center"/>
        <w:rPr>
          <w:rFonts w:ascii="Times New Roman" w:hAnsi="Times New Roman"/>
          <w:b/>
          <w:sz w:val="20"/>
        </w:rPr>
      </w:pPr>
      <w:r>
        <w:rPr>
          <w:rFonts w:ascii="Times New Roman" w:hAnsi="Times New Roman"/>
          <w:b/>
          <w:sz w:val="20"/>
        </w:rPr>
        <w:t xml:space="preserve">(A DELAWARE CORPORATION) </w:t>
      </w:r>
    </w:p>
    <w:p>
      <w:pPr>
        <w:pStyle w:val="TextBody"/>
        <w:bidi w:val="0"/>
        <w:spacing w:before="240" w:after="0"/>
        <w:jc w:val="left"/>
        <w:rPr>
          <w:rFonts w:ascii="Times New Roman" w:hAnsi="Times New Roman"/>
          <w:sz w:val="20"/>
        </w:rPr>
      </w:pPr>
      <w:r>
        <w:rPr>
          <w:rFonts w:ascii="Times New Roman" w:hAnsi="Times New Roman"/>
          <w:sz w:val="20"/>
        </w:rPr>
        <w:t>The Amended and Restated Bylaws (the </w:t>
      </w:r>
      <w:r>
        <w:rPr>
          <w:rFonts w:ascii="Times New Roman" w:hAnsi="Times New Roman"/>
          <w:b/>
          <w:i/>
          <w:sz w:val="20"/>
        </w:rPr>
        <w:t>Bylaws</w:t>
      </w:r>
      <w:r>
        <w:rPr>
          <w:rFonts w:ascii="Times New Roman" w:hAnsi="Times New Roman"/>
          <w:sz w:val="20"/>
        </w:rPr>
        <w:t xml:space="preserve">) of Invivyd, Inc., a Delaware corporation, are hereby amended as follows, effective as of May 23rd, 2023. </w:t>
      </w:r>
    </w:p>
    <w:p>
      <w:pPr>
        <w:pStyle w:val="TextBody"/>
        <w:bidi w:val="0"/>
        <w:spacing w:before="240" w:after="0"/>
        <w:jc w:val="left"/>
        <w:rPr>
          <w:rFonts w:ascii="Times New Roman" w:hAnsi="Times New Roman"/>
          <w:sz w:val="20"/>
        </w:rPr>
      </w:pPr>
      <w:r>
        <w:rPr>
          <w:rFonts w:ascii="Times New Roman" w:hAnsi="Times New Roman"/>
          <w:sz w:val="20"/>
        </w:rPr>
        <w:t xml:space="preserve">1. Section 5(d) of Article III of the Bylaws is hereby amended and restated in its entirety to read as follows: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Section 5(b)(3) to the contrary, in the event that the number of directors is increased and there is no public announcement of the appointment of a director, or, if no appointment was made, of the vacancy, made by the corporation at least ten (10) days before the last day a stockholder may deliver a notice of nomination in accordance with Section 5(b)(3), a stockholders notice required by this Section 5 and which complies with the requirements in Section 5(b)(1), other than the timing requirements in Section 5(b)(3), shall also be considered timely, but only with respect to nominees for any new positions created by such increase, if it shall be received by the Secretary at the principal executive offices of the corporation not later than the close of business on the tenth (10th) day following the day on which such public announcement is first made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2. Section 17 of Article IV of the Bylaws is hereby amended and restated in its entirety to read as follows: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Terms of Directors</w:t>
      </w:r>
      <w:r>
        <w:rPr>
          <w:rFonts w:ascii="Times New Roman" w:hAnsi="Times New Roman"/>
          <w:sz w:val="20"/>
        </w:rPr>
        <w:t xml:space="preserve">. The terms of directors are as set forth in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3. Section 20 of Article IV of the Bylaws is hereby amended and restated in its entirety to read as follows: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w:t>
      </w:r>
      <w:r>
        <w:rPr>
          <w:rFonts w:ascii="Times New Roman" w:hAnsi="Times New Roman"/>
          <w:sz w:val="20"/>
        </w:rPr>
        <w:t xml:space="preserve"> [Reserved]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Directors shall be removed as set forth in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4. Except as specifically amended herein, the Bylaws shall remain unchanged and in full force and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undersigned hereby certifies that she is the duly elected, qualified and acting Chief Legal Officer and Corporate Secretary of Invivyd, Inc., a Delaware Corporation, and that the foregoing Amendment No. 1 to the Amended and Restated Bylaws of Invivyd, Inc. constitutes the entire amendment to the Amended and Restated Bylaws, as duly adopted by the Board of Directors on March 10,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Jill Andersen</w:t>
            </w:r>
          </w:p>
        </w:tc>
      </w:tr>
      <w:tr>
        <w:trPr/>
        <w:tc>
          <w:tcPr>
            <w:tcW w:w="4082" w:type="dxa"/>
            <w:tcBorders/>
          </w:tcPr>
          <w:p>
            <w:pPr>
              <w:pStyle w:val="TableContents"/>
              <w:bidi w:val="0"/>
              <w:spacing w:before="0" w:after="283"/>
              <w:jc w:val="left"/>
              <w:rPr/>
            </w:pPr>
            <w:r>
              <w:rPr/>
              <w:t>Jill Andersen</w:t>
            </w:r>
          </w:p>
        </w:tc>
      </w:tr>
      <w:tr>
        <w:trPr/>
        <w:tc>
          <w:tcPr>
            <w:tcW w:w="4082" w:type="dxa"/>
            <w:tcBorders/>
          </w:tcPr>
          <w:p>
            <w:pPr>
              <w:pStyle w:val="TableContents"/>
              <w:bidi w:val="0"/>
              <w:spacing w:before="0" w:after="283"/>
              <w:jc w:val="left"/>
              <w:rPr/>
            </w:pPr>
            <w:r>
              <w:rPr/>
              <w:t>Chief Legal Officer and Corporate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1746</Words>
  <Characters>9239</Characters>
  <CharactersWithSpaces>10971</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dc:title>
</cp:coreProperties>
</file>