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Adagio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Philip Chase</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 Lucent Drive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Lebanon, NH 03766</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(603) 643-7110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22,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1" w:lineRule="exact"/>
        <w:rPr>
          <w:sz w:val="24"/>
          <w:szCs w:val="24"/>
          <w:color w:val="auto"/>
        </w:rPr>
      </w:pPr>
    </w:p>
    <w:p>
      <w:pPr>
        <w:ind w:left="4"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2"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76"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940" w:type="dxa"/>
            <w:vAlign w:val="bottom"/>
            <w:gridSpan w:val="5"/>
          </w:tcPr>
          <w:p>
            <w:pPr>
              <w:jc w:val="center"/>
              <w:ind w:right="132"/>
              <w:spacing w:after="0"/>
              <w:rPr>
                <w:sz w:val="20"/>
                <w:szCs w:val="20"/>
                <w:color w:val="auto"/>
              </w:rPr>
            </w:pPr>
            <w:r>
              <w:rPr>
                <w:rFonts w:ascii="Times New Roman" w:cs="Times New Roman" w:eastAsia="Times New Roman" w:hAnsi="Times New Roman"/>
                <w:sz w:val="18"/>
                <w:szCs w:val="18"/>
                <w:color w:val="auto"/>
              </w:rPr>
              <w:t>CUSIP No. 00534A102</w:t>
            </w:r>
          </w:p>
        </w:tc>
        <w:tc>
          <w:tcPr>
            <w:tcW w:w="61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13D</w:t>
            </w:r>
          </w:p>
        </w:tc>
        <w:tc>
          <w:tcPr>
            <w:tcW w:w="29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Page 1 of 3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Adimab, LLC</w:t>
            </w: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768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2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18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18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OO</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26,687,906</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6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6180" w:type="dxa"/>
            <w:vAlign w:val="bottom"/>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2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80" w:type="dxa"/>
            <w:vAlign w:val="bottom"/>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8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6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tcBorders>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8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tcBorders>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8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26,687,906</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10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2"/>
              </w:rPr>
              <w:t>Amount</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26,687,906</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7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OO (Limited Liability Company)</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tabs>
          <w:tab w:leader="none" w:pos="556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00534A102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2 of 3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Amendment No. 2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amends and supplements the Schedule 13D originally filed by Adimab, LLC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with the Securities and Exchange Commission on March 30, 2022, (the “</w:t>
      </w:r>
      <w:r>
        <w:rPr>
          <w:rFonts w:ascii="Times New Roman" w:cs="Times New Roman" w:eastAsia="Times New Roman" w:hAnsi="Times New Roman"/>
          <w:sz w:val="18"/>
          <w:szCs w:val="18"/>
          <w:u w:val="single" w:color="auto"/>
          <w:color w:val="auto"/>
        </w:rPr>
        <w:t>Original 13D</w:t>
      </w:r>
      <w:r>
        <w:rPr>
          <w:rFonts w:ascii="Times New Roman" w:cs="Times New Roman" w:eastAsia="Times New Roman" w:hAnsi="Times New Roman"/>
          <w:sz w:val="18"/>
          <w:szCs w:val="18"/>
          <w:color w:val="auto"/>
        </w:rPr>
        <w:t>,” and as amended,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1 have the meanings ascribed to them in the Original 13D.</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supplemented as follows:</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June 22, 2022, the Nominees (i.e., Dr. Clive A. Meanwell, Mr. Marc Elia and Ms. Tamsin Berry), were elected to the Issuer’s Board at the 2022 Annual Meeting.</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Item 5(b) of the Schedule 13D are hereby supplemented as follows:</w:t>
      </w:r>
    </w:p>
    <w:p>
      <w:pPr>
        <w:spacing w:after="0" w:line="225" w:lineRule="exact"/>
        <w:rPr>
          <w:sz w:val="20"/>
          <w:szCs w:val="20"/>
          <w:color w:val="auto"/>
        </w:rPr>
      </w:pPr>
    </w:p>
    <w:p>
      <w:pPr>
        <w:ind w:right="360" w:firstLine="440"/>
        <w:spacing w:after="0" w:line="289" w:lineRule="auto"/>
        <w:rPr>
          <w:sz w:val="20"/>
          <w:szCs w:val="20"/>
          <w:color w:val="auto"/>
        </w:rPr>
      </w:pPr>
      <w:r>
        <w:rPr>
          <w:rFonts w:ascii="Times New Roman" w:cs="Times New Roman" w:eastAsia="Times New Roman" w:hAnsi="Times New Roman"/>
          <w:sz w:val="17"/>
          <w:szCs w:val="17"/>
          <w:color w:val="auto"/>
        </w:rPr>
        <w:t>As a result of the completion of the 2022 Annual Meeting, the obligations of the Reporting Persons and the Stockholders under the previously disclosed voting agreements, memorialized via email on March 28, 2022 and April 25, 2022, have been satisfied, and the Reporting Persons have therefore ceased to be part of any “group” (within the meaning of Section 13(d)(3) of the Act) with the Stockholders that may have deemed to exist.</w:t>
      </w:r>
    </w:p>
    <w:p>
      <w:pPr>
        <w:spacing w:after="0" w:line="3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amended and supplemented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5(a) and Item 5(b) of Amendment No. 2 is incorporated herein by reference.</w:t>
      </w:r>
    </w:p>
    <w:p>
      <w:pPr>
        <w:sectPr>
          <w:pgSz w:w="11900" w:h="16838" w:orient="portrait"/>
          <w:cols w:equalWidth="0" w:num="1">
            <w:col w:w="11020"/>
          </w:cols>
          <w:pgMar w:left="440" w:top="266" w:right="439" w:bottom="1440" w:gutter="0" w:footer="0" w:header="0"/>
        </w:sectPr>
      </w:pPr>
    </w:p>
    <w:bookmarkStart w:id="3" w:name="page4"/>
    <w:bookmarkEnd w:id="3"/>
    <w:p>
      <w:pPr>
        <w:spacing w:after="0"/>
        <w:tabs>
          <w:tab w:leader="none" w:pos="556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8"/>
          <w:szCs w:val="18"/>
          <w:color w:val="auto"/>
        </w:rPr>
        <w:t>Page 3 of 3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24,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Adimab,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Philip Chase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2022-06-24T15:56:07Z</dcterms:created>
  <dcterms:modified xsi:type="dcterms:W3CDTF">2022-06-24T15:56:07Z</dcterms:modified>
</cp:coreProperties>
</file>