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333-267643</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 Prospectus dated October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1806575</wp:posOffset>
            </wp:positionH>
            <wp:positionV relativeFrom="paragraph">
              <wp:posOffset>66675</wp:posOffset>
            </wp:positionV>
            <wp:extent cx="2132330" cy="337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2330" cy="337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74,811,404 Shares of Common Stock</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Pre-Funded Warrants to Purchase up to 21,342,442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133350</wp:posOffset>
            </wp:positionV>
            <wp:extent cx="12033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79"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3"/>
          <w:szCs w:val="13"/>
          <w:color w:val="auto"/>
        </w:rPr>
        <w:t>We are offering 74,811,404 shares of our common stock, par value $0.0001 per share, and, in lieu of common stock to certain investors that so choose, pre-funded warrants to purchase up to 21,342,442 shares of our common stock pursuant to this prospectus supplement and the accompanying prospectus. The public offering price of each share of common stock is $0.52, and the purchase price of each pre-funded warrant equals the public offering price of each share of common stock, minus $0.0001, which is the exercise price per share underlying the pre-funded warrants. This prospectus supplement also relates to the offering of the shares of our common stock issuable upon the exercise of such pre-funded warrants.</w:t>
      </w:r>
    </w:p>
    <w:p>
      <w:pPr>
        <w:spacing w:after="0" w:line="60" w:lineRule="exact"/>
        <w:rPr>
          <w:sz w:val="24"/>
          <w:szCs w:val="24"/>
          <w:color w:val="auto"/>
        </w:rPr>
      </w:pPr>
    </w:p>
    <w:p>
      <w:pPr>
        <w:ind w:right="120"/>
        <w:spacing w:after="0" w:line="285" w:lineRule="auto"/>
        <w:rPr>
          <w:sz w:val="20"/>
          <w:szCs w:val="20"/>
          <w:color w:val="auto"/>
        </w:rPr>
      </w:pPr>
      <w:r>
        <w:rPr>
          <w:rFonts w:ascii="Times New Roman" w:cs="Times New Roman" w:eastAsia="Times New Roman" w:hAnsi="Times New Roman"/>
          <w:sz w:val="13"/>
          <w:szCs w:val="13"/>
          <w:color w:val="auto"/>
        </w:rPr>
        <w:t>Our common stock is listed on The Nasdaq Global Market under the symbol “IVVD.” On August 20, 2025, the last reported sale price of our common stock on The Nasdaq Global Market was $0.6338 per share. There is no established public trading market for the pre-funded warrants, and we do not expect a market to develop. We do not intend to list the pre-funded warrants on The Nasdaq Global Market or any other national securities exchange or nationally recognized trading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111760</wp:posOffset>
            </wp:positionV>
            <wp:extent cx="12033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54" w:lineRule="exact"/>
        <w:rPr>
          <w:sz w:val="24"/>
          <w:szCs w:val="24"/>
          <w:color w:val="auto"/>
        </w:rPr>
      </w:pPr>
    </w:p>
    <w:tbl>
      <w:tblPr>
        <w:tblLayout w:type="fixed"/>
        <w:tblInd w:w="10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Per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Per</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b w:val="1"/>
                <w:bCs w:val="1"/>
                <w:color w:val="auto"/>
                <w:w w:val="97"/>
              </w:rPr>
              <w:t>Pre-Funded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Warrant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Public offering price</w:t>
            </w:r>
          </w:p>
        </w:tc>
        <w:tc>
          <w:tcPr>
            <w:tcW w:w="5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0.52</w:t>
            </w:r>
          </w:p>
        </w:tc>
        <w:tc>
          <w:tcPr>
            <w:tcW w:w="4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shd w:val="clear" w:color="auto" w:fill="CCEEFF"/>
          </w:tcPr>
          <w:p>
            <w:pPr>
              <w:ind w:left="160"/>
              <w:spacing w:after="0" w:line="169" w:lineRule="exact"/>
              <w:rPr>
                <w:sz w:val="20"/>
                <w:szCs w:val="20"/>
                <w:color w:val="auto"/>
              </w:rPr>
            </w:pPr>
            <w:r>
              <w:rPr>
                <w:rFonts w:ascii="Times New Roman" w:cs="Times New Roman" w:eastAsia="Times New Roman" w:hAnsi="Times New Roman"/>
                <w:sz w:val="15"/>
                <w:szCs w:val="15"/>
                <w:color w:val="auto"/>
                <w:w w:val="92"/>
              </w:rPr>
              <w:t>0.5199</w:t>
            </w:r>
          </w:p>
        </w:tc>
        <w:tc>
          <w:tcPr>
            <w:tcW w:w="4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99"/>
              </w:rPr>
              <w:t>49,997,865.68</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80" w:type="dxa"/>
            <w:vAlign w:val="bottom"/>
          </w:tcPr>
          <w:p>
            <w:pPr>
              <w:spacing w:after="0" w:line="178" w:lineRule="exact"/>
              <w:rPr>
                <w:sz w:val="20"/>
                <w:szCs w:val="20"/>
                <w:color w:val="auto"/>
              </w:rPr>
            </w:pPr>
            <w:r>
              <w:rPr>
                <w:rFonts w:ascii="Times New Roman" w:cs="Times New Roman" w:eastAsia="Times New Roman" w:hAnsi="Times New Roman"/>
                <w:sz w:val="14"/>
                <w:szCs w:val="14"/>
                <w:color w:val="auto"/>
              </w:rPr>
              <w:t xml:space="preserve">Underwriting discounts and commissions </w:t>
            </w:r>
            <w:r>
              <w:rPr>
                <w:rFonts w:ascii="Times New Roman" w:cs="Times New Roman" w:eastAsia="Times New Roman" w:hAnsi="Times New Roman"/>
                <w:sz w:val="20"/>
                <w:szCs w:val="20"/>
                <w:color w:val="auto"/>
                <w:vertAlign w:val="superscript"/>
              </w:rPr>
              <w:t>(1)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0.0312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15"/>
                <w:szCs w:val="15"/>
                <w:color w:val="auto"/>
                <w:w w:val="92"/>
              </w:rPr>
              <w:t>0.0312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to Invivyd, Inc., before expenses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0.4888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w w:val="92"/>
              </w:rPr>
              <w:t>0.4887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46,997,865.68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261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6110" cy="6985"/>
                    </a:xfrm>
                    <a:prstGeom prst="rect">
                      <a:avLst/>
                    </a:prstGeom>
                    <a:noFill/>
                  </pic:spPr>
                </pic:pic>
              </a:graphicData>
            </a:graphic>
          </wp:anchor>
        </w:drawing>
      </w:r>
    </w:p>
    <w:p>
      <w:pPr>
        <w:spacing w:after="0" w:line="132" w:lineRule="exact"/>
        <w:rPr>
          <w:sz w:val="24"/>
          <w:szCs w:val="24"/>
          <w:color w:val="auto"/>
        </w:rPr>
      </w:pPr>
    </w:p>
    <w:p>
      <w:pPr>
        <w:ind w:left="360" w:right="640" w:hanging="358"/>
        <w:spacing w:after="0" w:line="208" w:lineRule="auto"/>
        <w:tabs>
          <w:tab w:leader="none" w:pos="360" w:val="left"/>
        </w:tabs>
        <w:numPr>
          <w:ilvl w:val="0"/>
          <w:numId w:val="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See the section entitled “Underwriting” beginning on page S-25 of this prospectus supplement for additional information regarding total underwriting compensation.</w:t>
      </w:r>
    </w:p>
    <w:p>
      <w:pPr>
        <w:spacing w:after="0" w:line="75" w:lineRule="exact"/>
        <w:rPr>
          <w:sz w:val="24"/>
          <w:szCs w:val="24"/>
          <w:color w:val="auto"/>
        </w:rPr>
      </w:pPr>
    </w:p>
    <w:p>
      <w:pPr>
        <w:ind w:right="40"/>
        <w:spacing w:after="0" w:line="260" w:lineRule="auto"/>
        <w:rPr>
          <w:sz w:val="20"/>
          <w:szCs w:val="20"/>
          <w:color w:val="auto"/>
        </w:rPr>
      </w:pPr>
      <w:r>
        <w:rPr>
          <w:rFonts w:ascii="Times New Roman" w:cs="Times New Roman" w:eastAsia="Times New Roman" w:hAnsi="Times New Roman"/>
          <w:sz w:val="15"/>
          <w:szCs w:val="15"/>
          <w:color w:val="auto"/>
        </w:rPr>
        <w:t>We have granted the underwriters an option for a period of 30 days to purchase up to an additional 14,423,076 shares of our common stock from us at the public offering price set forth above, less underwriting discounts and commissions. If the underwriters exercise the option in full, the net proceeds to us, before deducting offering expenses, will be approximately $54.0 million.</w:t>
      </w:r>
    </w:p>
    <w:p>
      <w:pPr>
        <w:spacing w:after="0" w:line="60" w:lineRule="exact"/>
        <w:rPr>
          <w:sz w:val="24"/>
          <w:szCs w:val="24"/>
          <w:color w:val="auto"/>
        </w:rPr>
      </w:pPr>
    </w:p>
    <w:p>
      <w:pPr>
        <w:ind w:right="40"/>
        <w:spacing w:after="0" w:line="255" w:lineRule="auto"/>
        <w:rPr>
          <w:sz w:val="20"/>
          <w:szCs w:val="20"/>
          <w:color w:val="auto"/>
        </w:rPr>
      </w:pPr>
      <w:r>
        <w:rPr>
          <w:rFonts w:ascii="Times New Roman" w:cs="Times New Roman" w:eastAsia="Times New Roman" w:hAnsi="Times New Roman"/>
          <w:sz w:val="15"/>
          <w:szCs w:val="15"/>
          <w:color w:val="auto"/>
        </w:rPr>
        <w:t>We are an “emerging growth company” as defined by the Jumpstart Our Business Startups Act of 2012 and a “smaller reporting company” as defined in Rule 12b-2 promulgated under the Securities Exchange Act of 1934, as amended, and, as such, we are subject to reduced public company reporting requirements. Refer to the section entitled “Prospectus Supplement Summary—Implications of Being an Emerging Growth Company and a Smaller Reporting Company” beginning on page S-4 of this prospectus supplement for more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113665</wp:posOffset>
            </wp:positionV>
            <wp:extent cx="12033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34" w:lineRule="exact"/>
        <w:rPr>
          <w:sz w:val="24"/>
          <w:szCs w:val="24"/>
          <w:color w:val="auto"/>
        </w:rPr>
      </w:pPr>
    </w:p>
    <w:p>
      <w:pPr>
        <w:ind w:right="140"/>
        <w:spacing w:after="0" w:line="24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section entitled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S-8 of this prospectus supplement, the accompanying base prospectus and the documents that are incorporated by reference in this prospectus supplement and the accompanying prospectus.</w:t>
      </w:r>
    </w:p>
    <w:p>
      <w:pPr>
        <w:spacing w:after="0" w:line="59" w:lineRule="exact"/>
        <w:rPr>
          <w:sz w:val="24"/>
          <w:szCs w:val="24"/>
          <w:color w:val="auto"/>
        </w:rPr>
      </w:pPr>
    </w:p>
    <w:p>
      <w:pPr>
        <w:jc w:val="both"/>
        <w:ind w:right="400"/>
        <w:spacing w:after="0" w:line="261"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underwriters expect to deliver the shares of common stock and the pre-funded warrants against payment on or about August 22, 2025.</w:t>
      </w:r>
    </w:p>
    <w:p>
      <w:pPr>
        <w:spacing w:after="0" w:line="9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5"/>
          <w:szCs w:val="15"/>
          <w:i w:val="1"/>
          <w:iCs w:val="1"/>
          <w:color w:val="auto"/>
        </w:rPr>
        <w:t>Sole Book-Running Manager</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Cantor</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date of this prospectus supplement is August 20, 2025</w:t>
      </w:r>
    </w:p>
    <w:p>
      <w:pPr>
        <w:sectPr>
          <w:pgSz w:w="11900" w:h="16838" w:orient="portrait"/>
          <w:cols w:equalWidth="0" w:num="1">
            <w:col w:w="9040"/>
          </w:cols>
          <w:pgMar w:left="1420" w:top="212" w:right="1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4"/>
        </w:trPr>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4"/>
          </w:tcPr>
          <w:p>
            <w:pPr>
              <w:ind w:left="58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8680" w:type="dxa"/>
            <w:vAlign w:val="bottom"/>
            <w:gridSpan w:val="24"/>
          </w:tcPr>
          <w:p>
            <w:pPr>
              <w:spacing w:after="0"/>
              <w:rPr>
                <w:sz w:val="20"/>
                <w:szCs w:val="20"/>
                <w:color w:val="auto"/>
              </w:rPr>
            </w:pPr>
            <w:r>
              <w:rPr>
                <w:rFonts w:ascii="Times New Roman" w:cs="Times New Roman" w:eastAsia="Times New Roman" w:hAnsi="Times New Roman"/>
                <w:sz w:val="15"/>
                <w:szCs w:val="15"/>
                <w:b w:val="1"/>
                <w:bCs w:val="1"/>
                <w:color w:val="auto"/>
              </w:rPr>
              <w:t>Prospectus Supplement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8680" w:type="dxa"/>
            <w:vAlign w:val="bottom"/>
            <w:gridSpan w:val="24"/>
            <w:vMerge w:val="restart"/>
          </w:tcPr>
          <w:p>
            <w:pPr>
              <w:spacing w:after="0"/>
              <w:rPr>
                <w:sz w:val="20"/>
                <w:szCs w:val="20"/>
                <w:color w:val="auto"/>
              </w:rPr>
            </w:pPr>
            <w:r>
              <w:rPr>
                <w:rFonts w:ascii="Times New Roman" w:cs="Times New Roman" w:eastAsia="Times New Roman" w:hAnsi="Times New Roman"/>
                <w:sz w:val="15"/>
                <w:szCs w:val="15"/>
                <w:color w:val="0000EE"/>
              </w:rPr>
              <w:t>ABOUT THIS PROSPECTUS SUPPLEMENT</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35"/>
        </w:trPr>
        <w:tc>
          <w:tcPr>
            <w:tcW w:w="8680" w:type="dxa"/>
            <w:vAlign w:val="bottom"/>
            <w:gridSpan w:val="24"/>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auto"/>
              </w:rPr>
              <w:t>S-1</w:t>
            </w:r>
          </w:p>
        </w:tc>
        <w:tc>
          <w:tcPr>
            <w:tcW w:w="0" w:type="dxa"/>
            <w:vAlign w:val="bottom"/>
          </w:tcPr>
          <w:p>
            <w:pPr>
              <w:spacing w:after="0"/>
              <w:rPr>
                <w:sz w:val="1"/>
                <w:szCs w:val="1"/>
                <w:color w:val="auto"/>
              </w:rPr>
            </w:pPr>
          </w:p>
        </w:tc>
      </w:tr>
      <w:tr>
        <w:trPr>
          <w:trHeight w:val="157"/>
        </w:trPr>
        <w:tc>
          <w:tcPr>
            <w:tcW w:w="2820" w:type="dxa"/>
            <w:vAlign w:val="bottom"/>
            <w:tcBorders>
              <w:top w:val="single" w:sz="8" w:color="0000EE"/>
            </w:tcBorders>
            <w:gridSpan w:val="15"/>
          </w:tcPr>
          <w:p>
            <w:pPr>
              <w:spacing w:after="0" w:line="157" w:lineRule="exact"/>
              <w:rPr>
                <w:sz w:val="20"/>
                <w:szCs w:val="20"/>
                <w:color w:val="auto"/>
              </w:rPr>
            </w:pPr>
            <w:r>
              <w:rPr>
                <w:rFonts w:ascii="Times New Roman" w:cs="Times New Roman" w:eastAsia="Times New Roman" w:hAnsi="Times New Roman"/>
                <w:sz w:val="15"/>
                <w:szCs w:val="15"/>
                <w:color w:val="0000EE"/>
              </w:rPr>
              <w:t>PROSPECTUS SUPPLEMENT SUMMARY</w:t>
            </w:r>
          </w:p>
        </w:tc>
        <w:tc>
          <w:tcPr>
            <w:tcW w:w="5860" w:type="dxa"/>
            <w:vAlign w:val="bottom"/>
            <w:gridSpan w:val="9"/>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S-3</w:t>
            </w:r>
          </w:p>
        </w:tc>
        <w:tc>
          <w:tcPr>
            <w:tcW w:w="0" w:type="dxa"/>
            <w:vAlign w:val="bottom"/>
          </w:tcPr>
          <w:p>
            <w:pPr>
              <w:spacing w:after="0"/>
              <w:rPr>
                <w:sz w:val="1"/>
                <w:szCs w:val="1"/>
                <w:color w:val="auto"/>
              </w:rPr>
            </w:pPr>
          </w:p>
        </w:tc>
      </w:tr>
      <w:tr>
        <w:trPr>
          <w:trHeight w:val="157"/>
        </w:trPr>
        <w:tc>
          <w:tcPr>
            <w:tcW w:w="2700" w:type="dxa"/>
            <w:vAlign w:val="bottom"/>
            <w:tcBorders>
              <w:top w:val="single" w:sz="8" w:color="0000EE"/>
            </w:tcBorders>
            <w:gridSpan w:val="12"/>
          </w:tcPr>
          <w:p>
            <w:pPr>
              <w:spacing w:after="0" w:line="157" w:lineRule="exact"/>
              <w:rPr>
                <w:sz w:val="20"/>
                <w:szCs w:val="20"/>
                <w:color w:val="auto"/>
              </w:rPr>
            </w:pPr>
            <w:r>
              <w:rPr>
                <w:rFonts w:ascii="Times New Roman" w:cs="Times New Roman" w:eastAsia="Times New Roman" w:hAnsi="Times New Roman"/>
                <w:sz w:val="15"/>
                <w:szCs w:val="15"/>
                <w:color w:val="0000EE"/>
              </w:rPr>
              <w:t>THE OFFERING</w:t>
            </w:r>
          </w:p>
        </w:tc>
        <w:tc>
          <w:tcPr>
            <w:tcW w:w="5980" w:type="dxa"/>
            <w:vAlign w:val="bottom"/>
            <w:gridSpan w:val="12"/>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S-6</w:t>
            </w:r>
          </w:p>
        </w:tc>
        <w:tc>
          <w:tcPr>
            <w:tcW w:w="0" w:type="dxa"/>
            <w:vAlign w:val="bottom"/>
          </w:tcPr>
          <w:p>
            <w:pPr>
              <w:spacing w:after="0"/>
              <w:rPr>
                <w:sz w:val="1"/>
                <w:szCs w:val="1"/>
                <w:color w:val="auto"/>
              </w:rPr>
            </w:pPr>
          </w:p>
        </w:tc>
      </w:tr>
      <w:tr>
        <w:trPr>
          <w:trHeight w:val="157"/>
        </w:trPr>
        <w:tc>
          <w:tcPr>
            <w:tcW w:w="1040" w:type="dxa"/>
            <w:vAlign w:val="bottom"/>
            <w:tcBorders>
              <w:top w:val="single" w:sz="8" w:color="0000EE"/>
            </w:tcBorders>
            <w:gridSpan w:val="4"/>
          </w:tcPr>
          <w:p>
            <w:pPr>
              <w:spacing w:after="0" w:line="157" w:lineRule="exact"/>
              <w:rPr>
                <w:sz w:val="20"/>
                <w:szCs w:val="20"/>
                <w:color w:val="auto"/>
              </w:rPr>
            </w:pPr>
            <w:r>
              <w:rPr>
                <w:rFonts w:ascii="Times New Roman" w:cs="Times New Roman" w:eastAsia="Times New Roman" w:hAnsi="Times New Roman"/>
                <w:sz w:val="15"/>
                <w:szCs w:val="15"/>
                <w:color w:val="0000EE"/>
                <w:w w:val="96"/>
              </w:rPr>
              <w:t>RISK FACTORS</w:t>
            </w:r>
          </w:p>
        </w:tc>
        <w:tc>
          <w:tcPr>
            <w:tcW w:w="7640" w:type="dxa"/>
            <w:vAlign w:val="bottom"/>
            <w:gridSpan w:val="20"/>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S-8</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NOTE REGARDING FORWARD-LOOKING STATEMENTS</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S-11</w:t>
            </w:r>
          </w:p>
        </w:tc>
        <w:tc>
          <w:tcPr>
            <w:tcW w:w="0" w:type="dxa"/>
            <w:vAlign w:val="bottom"/>
          </w:tcPr>
          <w:p>
            <w:pPr>
              <w:spacing w:after="0"/>
              <w:rPr>
                <w:sz w:val="1"/>
                <w:szCs w:val="1"/>
                <w:color w:val="auto"/>
              </w:rPr>
            </w:pPr>
          </w:p>
        </w:tc>
      </w:tr>
      <w:tr>
        <w:trPr>
          <w:trHeight w:val="157"/>
        </w:trPr>
        <w:tc>
          <w:tcPr>
            <w:tcW w:w="1300" w:type="dxa"/>
            <w:vAlign w:val="bottom"/>
            <w:tcBorders>
              <w:top w:val="single" w:sz="8" w:color="0000EE"/>
              <w:bottom w:val="single" w:sz="8" w:color="0000EE"/>
            </w:tcBorders>
            <w:gridSpan w:val="7"/>
          </w:tcPr>
          <w:p>
            <w:pPr>
              <w:spacing w:after="0" w:line="157" w:lineRule="exact"/>
              <w:rPr>
                <w:sz w:val="20"/>
                <w:szCs w:val="20"/>
                <w:color w:val="auto"/>
              </w:rPr>
            </w:pPr>
            <w:r>
              <w:rPr>
                <w:rFonts w:ascii="Times New Roman" w:cs="Times New Roman" w:eastAsia="Times New Roman" w:hAnsi="Times New Roman"/>
                <w:sz w:val="15"/>
                <w:szCs w:val="15"/>
                <w:color w:val="0000EE"/>
                <w:w w:val="97"/>
              </w:rPr>
              <w:t>USE OF PROCEEDS</w:t>
            </w:r>
          </w:p>
        </w:tc>
        <w:tc>
          <w:tcPr>
            <w:tcW w:w="2440" w:type="dxa"/>
            <w:vAlign w:val="bottom"/>
            <w:tcBorders>
              <w:top w:val="single" w:sz="8" w:color="0000EE"/>
            </w:tcBorders>
            <w:gridSpan w:val="14"/>
          </w:tcPr>
          <w:p>
            <w:pPr>
              <w:spacing w:after="0"/>
              <w:rPr>
                <w:sz w:val="13"/>
                <w:szCs w:val="13"/>
                <w:color w:val="auto"/>
              </w:rPr>
            </w:pPr>
          </w:p>
        </w:tc>
        <w:tc>
          <w:tcPr>
            <w:tcW w:w="4940" w:type="dxa"/>
            <w:vAlign w:val="bottom"/>
            <w:gridSpan w:val="3"/>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S-13</w:t>
            </w:r>
          </w:p>
        </w:tc>
        <w:tc>
          <w:tcPr>
            <w:tcW w:w="0" w:type="dxa"/>
            <w:vAlign w:val="bottom"/>
          </w:tcPr>
          <w:p>
            <w:pPr>
              <w:spacing w:after="0"/>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DILUTION</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S-14</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00" w:type="dxa"/>
            <w:vAlign w:val="bottom"/>
            <w:tcBorders>
              <w:bottom w:val="single" w:sz="8" w:color="0000EE"/>
            </w:tcBorders>
            <w:gridSpan w:val="18"/>
          </w:tcPr>
          <w:p>
            <w:pPr>
              <w:spacing w:after="0" w:line="157" w:lineRule="exact"/>
              <w:rPr>
                <w:sz w:val="20"/>
                <w:szCs w:val="20"/>
                <w:color w:val="auto"/>
              </w:rPr>
            </w:pPr>
            <w:r>
              <w:rPr>
                <w:rFonts w:ascii="Times New Roman" w:cs="Times New Roman" w:eastAsia="Times New Roman" w:hAnsi="Times New Roman"/>
                <w:sz w:val="15"/>
                <w:szCs w:val="15"/>
                <w:color w:val="0000EE"/>
                <w:w w:val="97"/>
              </w:rPr>
              <w:t>DESCRIPTION OF PRE-FUNDED WARRANTS</w:t>
            </w:r>
          </w:p>
        </w:tc>
        <w:tc>
          <w:tcPr>
            <w:tcW w:w="5680" w:type="dxa"/>
            <w:vAlign w:val="bottom"/>
            <w:gridSpan w:val="6"/>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S-16</w:t>
            </w:r>
          </w:p>
        </w:tc>
        <w:tc>
          <w:tcPr>
            <w:tcW w:w="0" w:type="dxa"/>
            <w:vAlign w:val="bottom"/>
          </w:tcPr>
          <w:p>
            <w:pPr>
              <w:spacing w:after="0"/>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MATERIAL U.S. FEDERAL INCOME TAX CONSEQUENCES</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S-18</w:t>
            </w:r>
          </w:p>
        </w:tc>
        <w:tc>
          <w:tcPr>
            <w:tcW w:w="0" w:type="dxa"/>
            <w:vAlign w:val="bottom"/>
          </w:tcPr>
          <w:p>
            <w:pPr>
              <w:spacing w:after="0"/>
              <w:rPr>
                <w:sz w:val="1"/>
                <w:szCs w:val="1"/>
                <w:color w:val="auto"/>
              </w:rPr>
            </w:pPr>
          </w:p>
        </w:tc>
      </w:tr>
      <w:tr>
        <w:trPr>
          <w:trHeight w:val="157"/>
        </w:trPr>
        <w:tc>
          <w:tcPr>
            <w:tcW w:w="3900" w:type="dxa"/>
            <w:vAlign w:val="bottom"/>
            <w:tcBorders>
              <w:top w:val="single" w:sz="8" w:color="0000EE"/>
            </w:tcBorders>
            <w:gridSpan w:val="22"/>
          </w:tcPr>
          <w:p>
            <w:pPr>
              <w:spacing w:after="0" w:line="157" w:lineRule="exact"/>
              <w:rPr>
                <w:sz w:val="20"/>
                <w:szCs w:val="20"/>
                <w:color w:val="auto"/>
              </w:rPr>
            </w:pPr>
            <w:r>
              <w:rPr>
                <w:rFonts w:ascii="Times New Roman" w:cs="Times New Roman" w:eastAsia="Times New Roman" w:hAnsi="Times New Roman"/>
                <w:sz w:val="15"/>
                <w:szCs w:val="15"/>
                <w:color w:val="0000EE"/>
              </w:rPr>
              <w:t>UNDERWRITING</w:t>
            </w:r>
          </w:p>
        </w:tc>
        <w:tc>
          <w:tcPr>
            <w:tcW w:w="4780" w:type="dxa"/>
            <w:vAlign w:val="bottom"/>
            <w:gridSpan w:val="2"/>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S-25</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00" w:type="dxa"/>
            <w:vAlign w:val="bottom"/>
            <w:tcBorders>
              <w:bottom w:val="single" w:sz="8" w:color="0000EE"/>
            </w:tcBorders>
            <w:gridSpan w:val="6"/>
          </w:tcPr>
          <w:p>
            <w:pPr>
              <w:spacing w:after="0" w:line="157" w:lineRule="exact"/>
              <w:rPr>
                <w:sz w:val="20"/>
                <w:szCs w:val="20"/>
                <w:color w:val="auto"/>
              </w:rPr>
            </w:pPr>
            <w:r>
              <w:rPr>
                <w:rFonts w:ascii="Times New Roman" w:cs="Times New Roman" w:eastAsia="Times New Roman" w:hAnsi="Times New Roman"/>
                <w:sz w:val="15"/>
                <w:szCs w:val="15"/>
                <w:color w:val="0000EE"/>
                <w:w w:val="95"/>
              </w:rPr>
              <w:t>LEGAL MATTERS</w:t>
            </w:r>
          </w:p>
        </w:tc>
        <w:tc>
          <w:tcPr>
            <w:tcW w:w="7480" w:type="dxa"/>
            <w:vAlign w:val="bottom"/>
            <w:gridSpan w:val="18"/>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S-37</w:t>
            </w:r>
          </w:p>
        </w:tc>
        <w:tc>
          <w:tcPr>
            <w:tcW w:w="0" w:type="dxa"/>
            <w:vAlign w:val="bottom"/>
          </w:tcPr>
          <w:p>
            <w:pPr>
              <w:spacing w:after="0"/>
              <w:rPr>
                <w:sz w:val="1"/>
                <w:szCs w:val="1"/>
                <w:color w:val="auto"/>
              </w:rPr>
            </w:pPr>
          </w:p>
        </w:tc>
      </w:tr>
      <w:tr>
        <w:trPr>
          <w:trHeight w:val="157"/>
        </w:trPr>
        <w:tc>
          <w:tcPr>
            <w:tcW w:w="700" w:type="dxa"/>
            <w:vAlign w:val="bottom"/>
            <w:tcBorders>
              <w:bottom w:val="single" w:sz="8" w:color="0000EE"/>
            </w:tcBorders>
          </w:tcPr>
          <w:p>
            <w:pPr>
              <w:spacing w:after="0" w:line="157" w:lineRule="exact"/>
              <w:rPr>
                <w:sz w:val="20"/>
                <w:szCs w:val="20"/>
                <w:color w:val="auto"/>
              </w:rPr>
            </w:pPr>
            <w:r>
              <w:rPr>
                <w:rFonts w:ascii="Times New Roman" w:cs="Times New Roman" w:eastAsia="Times New Roman" w:hAnsi="Times New Roman"/>
                <w:sz w:val="15"/>
                <w:szCs w:val="15"/>
                <w:color w:val="0000EE"/>
              </w:rPr>
              <w:t>EXPERTS</w:t>
            </w:r>
          </w:p>
        </w:tc>
        <w:tc>
          <w:tcPr>
            <w:tcW w:w="7980" w:type="dxa"/>
            <w:vAlign w:val="bottom"/>
            <w:gridSpan w:val="23"/>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S-37</w:t>
            </w:r>
          </w:p>
        </w:tc>
        <w:tc>
          <w:tcPr>
            <w:tcW w:w="0" w:type="dxa"/>
            <w:vAlign w:val="bottom"/>
          </w:tcPr>
          <w:p>
            <w:pPr>
              <w:spacing w:after="0"/>
              <w:rPr>
                <w:sz w:val="1"/>
                <w:szCs w:val="1"/>
                <w:color w:val="auto"/>
              </w:rPr>
            </w:pPr>
          </w:p>
        </w:tc>
      </w:tr>
      <w:tr>
        <w:trPr>
          <w:trHeight w:val="157"/>
        </w:trPr>
        <w:tc>
          <w:tcPr>
            <w:tcW w:w="3140" w:type="dxa"/>
            <w:vAlign w:val="bottom"/>
            <w:tcBorders>
              <w:bottom w:val="single" w:sz="8" w:color="0000EE"/>
            </w:tcBorders>
            <w:gridSpan w:val="19"/>
          </w:tcPr>
          <w:p>
            <w:pPr>
              <w:spacing w:after="0" w:line="157" w:lineRule="exact"/>
              <w:rPr>
                <w:sz w:val="20"/>
                <w:szCs w:val="20"/>
                <w:color w:val="auto"/>
              </w:rPr>
            </w:pPr>
            <w:r>
              <w:rPr>
                <w:rFonts w:ascii="Times New Roman" w:cs="Times New Roman" w:eastAsia="Times New Roman" w:hAnsi="Times New Roman"/>
                <w:sz w:val="15"/>
                <w:szCs w:val="15"/>
                <w:color w:val="0000EE"/>
                <w:w w:val="97"/>
              </w:rPr>
              <w:t>WHERE YOU CAN FIND MORE INFORMATION</w:t>
            </w:r>
          </w:p>
        </w:tc>
        <w:tc>
          <w:tcPr>
            <w:tcW w:w="5540" w:type="dxa"/>
            <w:vAlign w:val="bottom"/>
            <w:gridSpan w:val="5"/>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S-37</w:t>
            </w:r>
          </w:p>
        </w:tc>
        <w:tc>
          <w:tcPr>
            <w:tcW w:w="0" w:type="dxa"/>
            <w:vAlign w:val="bottom"/>
          </w:tcPr>
          <w:p>
            <w:pPr>
              <w:spacing w:after="0"/>
              <w:rPr>
                <w:sz w:val="1"/>
                <w:szCs w:val="1"/>
                <w:color w:val="auto"/>
              </w:rPr>
            </w:pPr>
          </w:p>
        </w:tc>
      </w:tr>
      <w:tr>
        <w:trPr>
          <w:trHeight w:val="157"/>
        </w:trPr>
        <w:tc>
          <w:tcPr>
            <w:tcW w:w="4260" w:type="dxa"/>
            <w:vAlign w:val="bottom"/>
            <w:tcBorders>
              <w:bottom w:val="single" w:sz="8" w:color="0000EE"/>
            </w:tcBorders>
            <w:gridSpan w:val="23"/>
          </w:tcPr>
          <w:p>
            <w:pPr>
              <w:spacing w:after="0" w:line="157" w:lineRule="exact"/>
              <w:rPr>
                <w:sz w:val="20"/>
                <w:szCs w:val="20"/>
                <w:color w:val="auto"/>
              </w:rPr>
            </w:pPr>
            <w:r>
              <w:rPr>
                <w:rFonts w:ascii="Times New Roman" w:cs="Times New Roman" w:eastAsia="Times New Roman" w:hAnsi="Times New Roman"/>
                <w:sz w:val="15"/>
                <w:szCs w:val="15"/>
                <w:color w:val="0000EE"/>
                <w:w w:val="96"/>
              </w:rPr>
              <w:t>INCORPORATION OF CERTAIN INFORMATION BY REFERENCE</w:t>
            </w:r>
          </w:p>
        </w:tc>
        <w:tc>
          <w:tcPr>
            <w:tcW w:w="4420" w:type="dxa"/>
            <w:vAlign w:val="bottom"/>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S-37</w:t>
            </w:r>
          </w:p>
        </w:tc>
        <w:tc>
          <w:tcPr>
            <w:tcW w:w="0" w:type="dxa"/>
            <w:vAlign w:val="bottom"/>
          </w:tcPr>
          <w:p>
            <w:pPr>
              <w:spacing w:after="0"/>
              <w:rPr>
                <w:sz w:val="1"/>
                <w:szCs w:val="1"/>
                <w:color w:val="auto"/>
              </w:rPr>
            </w:pPr>
          </w:p>
        </w:tc>
      </w:tr>
      <w:tr>
        <w:trPr>
          <w:trHeight w:val="456"/>
        </w:trPr>
        <w:tc>
          <w:tcPr>
            <w:tcW w:w="8680" w:type="dxa"/>
            <w:vAlign w:val="bottom"/>
            <w:gridSpan w:val="24"/>
          </w:tcPr>
          <w:p>
            <w:pPr>
              <w:spacing w:after="0"/>
              <w:rPr>
                <w:sz w:val="20"/>
                <w:szCs w:val="20"/>
                <w:color w:val="auto"/>
              </w:rPr>
            </w:pPr>
            <w:r>
              <w:rPr>
                <w:rFonts w:ascii="Times New Roman" w:cs="Times New Roman" w:eastAsia="Times New Roman" w:hAnsi="Times New Roman"/>
                <w:sz w:val="15"/>
                <w:szCs w:val="15"/>
                <w:b w:val="1"/>
                <w:bCs w:val="1"/>
                <w:color w:val="auto"/>
              </w:rPr>
              <w:t>Prospectus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840" w:type="dxa"/>
            <w:vAlign w:val="bottom"/>
            <w:gridSpan w:val="9"/>
            <w:vMerge w:val="restart"/>
          </w:tcPr>
          <w:p>
            <w:pPr>
              <w:spacing w:after="0"/>
              <w:rPr>
                <w:sz w:val="20"/>
                <w:szCs w:val="20"/>
                <w:color w:val="auto"/>
              </w:rPr>
            </w:pPr>
            <w:r>
              <w:rPr>
                <w:rFonts w:ascii="Times New Roman" w:cs="Times New Roman" w:eastAsia="Times New Roman" w:hAnsi="Times New Roman"/>
                <w:sz w:val="15"/>
                <w:szCs w:val="15"/>
                <w:color w:val="0000EE"/>
                <w:w w:val="97"/>
              </w:rPr>
              <w:t>ABOUT THIS PROSPECTUS</w:t>
            </w:r>
          </w:p>
        </w:tc>
        <w:tc>
          <w:tcPr>
            <w:tcW w:w="6840" w:type="dxa"/>
            <w:vAlign w:val="bottom"/>
            <w:gridSpan w:val="15"/>
            <w:vMerge w:val="restart"/>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40"/>
        </w:trPr>
        <w:tc>
          <w:tcPr>
            <w:tcW w:w="1840" w:type="dxa"/>
            <w:vAlign w:val="bottom"/>
            <w:tcBorders>
              <w:bottom w:val="single" w:sz="8" w:color="0000EE"/>
            </w:tcBorders>
            <w:gridSpan w:val="9"/>
            <w:vMerge w:val="continue"/>
          </w:tcPr>
          <w:p>
            <w:pPr>
              <w:spacing w:after="0"/>
              <w:rPr>
                <w:sz w:val="11"/>
                <w:szCs w:val="11"/>
                <w:color w:val="auto"/>
              </w:rPr>
            </w:pPr>
          </w:p>
        </w:tc>
        <w:tc>
          <w:tcPr>
            <w:tcW w:w="6840" w:type="dxa"/>
            <w:vAlign w:val="bottom"/>
            <w:gridSpan w:val="15"/>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ii</w:t>
            </w:r>
          </w:p>
        </w:tc>
        <w:tc>
          <w:tcPr>
            <w:tcW w:w="0" w:type="dxa"/>
            <w:vAlign w:val="bottom"/>
          </w:tcPr>
          <w:p>
            <w:pPr>
              <w:spacing w:after="0"/>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FORWARD-LOOKING STATEMENTS</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740" w:type="dxa"/>
            <w:vAlign w:val="bottom"/>
            <w:tcBorders>
              <w:bottom w:val="single" w:sz="8" w:color="0000EE"/>
            </w:tcBorders>
            <w:gridSpan w:val="13"/>
          </w:tcPr>
          <w:p>
            <w:pPr>
              <w:spacing w:after="0" w:line="157" w:lineRule="exact"/>
              <w:rPr>
                <w:sz w:val="20"/>
                <w:szCs w:val="20"/>
                <w:color w:val="auto"/>
              </w:rPr>
            </w:pPr>
            <w:r>
              <w:rPr>
                <w:rFonts w:ascii="Times New Roman" w:cs="Times New Roman" w:eastAsia="Times New Roman" w:hAnsi="Times New Roman"/>
                <w:sz w:val="15"/>
                <w:szCs w:val="15"/>
                <w:color w:val="0000EE"/>
                <w:w w:val="96"/>
              </w:rPr>
              <w:t>MARKET, INDUSTRY AND OTHER DATA</w:t>
            </w:r>
          </w:p>
        </w:tc>
        <w:tc>
          <w:tcPr>
            <w:tcW w:w="5940" w:type="dxa"/>
            <w:vAlign w:val="bottom"/>
            <w:gridSpan w:val="11"/>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57"/>
        </w:trPr>
        <w:tc>
          <w:tcPr>
            <w:tcW w:w="760" w:type="dxa"/>
            <w:vAlign w:val="bottom"/>
            <w:tcBorders>
              <w:bottom w:val="single" w:sz="8" w:color="0000EE"/>
            </w:tcBorders>
            <w:gridSpan w:val="2"/>
          </w:tcPr>
          <w:p>
            <w:pPr>
              <w:spacing w:after="0" w:line="157" w:lineRule="exact"/>
              <w:rPr>
                <w:sz w:val="20"/>
                <w:szCs w:val="20"/>
                <w:color w:val="auto"/>
              </w:rPr>
            </w:pPr>
            <w:r>
              <w:rPr>
                <w:rFonts w:ascii="Times New Roman" w:cs="Times New Roman" w:eastAsia="Times New Roman" w:hAnsi="Times New Roman"/>
                <w:sz w:val="15"/>
                <w:szCs w:val="15"/>
                <w:color w:val="0000EE"/>
                <w:w w:val="95"/>
              </w:rPr>
              <w:t>SUMMARY</w:t>
            </w:r>
          </w:p>
        </w:tc>
        <w:tc>
          <w:tcPr>
            <w:tcW w:w="7920" w:type="dxa"/>
            <w:vAlign w:val="bottom"/>
            <w:gridSpan w:val="22"/>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RISK FACTORS</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tcBorders>
              <w:bottom w:val="single" w:sz="8" w:color="0000EE"/>
            </w:tcBorders>
            <w:gridSpan w:val="7"/>
          </w:tcPr>
          <w:p>
            <w:pPr>
              <w:spacing w:after="0" w:line="157" w:lineRule="exact"/>
              <w:rPr>
                <w:sz w:val="20"/>
                <w:szCs w:val="20"/>
                <w:color w:val="auto"/>
              </w:rPr>
            </w:pPr>
            <w:r>
              <w:rPr>
                <w:rFonts w:ascii="Times New Roman" w:cs="Times New Roman" w:eastAsia="Times New Roman" w:hAnsi="Times New Roman"/>
                <w:sz w:val="15"/>
                <w:szCs w:val="15"/>
                <w:color w:val="0000EE"/>
                <w:w w:val="97"/>
              </w:rPr>
              <w:t>USE OF PROCEEDS</w:t>
            </w:r>
          </w:p>
        </w:tc>
        <w:tc>
          <w:tcPr>
            <w:tcW w:w="7380" w:type="dxa"/>
            <w:vAlign w:val="bottom"/>
            <w:gridSpan w:val="17"/>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PLAN OF DISTRIBUTION</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0"/>
        </w:trPr>
        <w:tc>
          <w:tcPr>
            <w:tcW w:w="1680" w:type="dxa"/>
            <w:vAlign w:val="bottom"/>
            <w:gridSpan w:val="8"/>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60" w:type="dxa"/>
            <w:vAlign w:val="bottom"/>
            <w:tcBorders>
              <w:bottom w:val="single" w:sz="8" w:color="0000EE"/>
            </w:tcBorders>
            <w:gridSpan w:val="20"/>
          </w:tcPr>
          <w:p>
            <w:pPr>
              <w:spacing w:after="0" w:line="157" w:lineRule="exact"/>
              <w:rPr>
                <w:sz w:val="20"/>
                <w:szCs w:val="20"/>
                <w:color w:val="auto"/>
              </w:rPr>
            </w:pPr>
            <w:r>
              <w:rPr>
                <w:rFonts w:ascii="Times New Roman" w:cs="Times New Roman" w:eastAsia="Times New Roman" w:hAnsi="Times New Roman"/>
                <w:sz w:val="15"/>
                <w:szCs w:val="15"/>
                <w:color w:val="0000EE"/>
                <w:w w:val="98"/>
              </w:rPr>
              <w:t>GENERAL DESCRIPTION OF OUR SECURITIES</w:t>
            </w:r>
          </w:p>
        </w:tc>
        <w:tc>
          <w:tcPr>
            <w:tcW w:w="5520" w:type="dxa"/>
            <w:vAlign w:val="bottom"/>
            <w:gridSpan w:val="4"/>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57"/>
        </w:trPr>
        <w:tc>
          <w:tcPr>
            <w:tcW w:w="2780" w:type="dxa"/>
            <w:vAlign w:val="bottom"/>
            <w:tcBorders>
              <w:bottom w:val="single" w:sz="8" w:color="0000EE"/>
            </w:tcBorders>
            <w:gridSpan w:val="14"/>
          </w:tcPr>
          <w:p>
            <w:pPr>
              <w:spacing w:after="0" w:line="157" w:lineRule="exact"/>
              <w:rPr>
                <w:sz w:val="20"/>
                <w:szCs w:val="20"/>
                <w:color w:val="auto"/>
              </w:rPr>
            </w:pPr>
            <w:r>
              <w:rPr>
                <w:rFonts w:ascii="Times New Roman" w:cs="Times New Roman" w:eastAsia="Times New Roman" w:hAnsi="Times New Roman"/>
                <w:sz w:val="15"/>
                <w:szCs w:val="15"/>
                <w:color w:val="0000EE"/>
                <w:w w:val="97"/>
              </w:rPr>
              <w:t>DESCRIPTION OF OUR COMMON STOCK</w:t>
            </w:r>
          </w:p>
        </w:tc>
        <w:tc>
          <w:tcPr>
            <w:tcW w:w="5900" w:type="dxa"/>
            <w:vAlign w:val="bottom"/>
            <w:gridSpan w:val="10"/>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DESCRIPTION OF OUR PREFERRED STOCK</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157"/>
        </w:trPr>
        <w:tc>
          <w:tcPr>
            <w:tcW w:w="2920" w:type="dxa"/>
            <w:vAlign w:val="bottom"/>
            <w:tcBorders>
              <w:top w:val="single" w:sz="8" w:color="0000EE"/>
            </w:tcBorders>
            <w:gridSpan w:val="17"/>
          </w:tcPr>
          <w:p>
            <w:pPr>
              <w:spacing w:after="0" w:line="157" w:lineRule="exact"/>
              <w:rPr>
                <w:sz w:val="20"/>
                <w:szCs w:val="20"/>
                <w:color w:val="auto"/>
              </w:rPr>
            </w:pPr>
            <w:r>
              <w:rPr>
                <w:rFonts w:ascii="Times New Roman" w:cs="Times New Roman" w:eastAsia="Times New Roman" w:hAnsi="Times New Roman"/>
                <w:sz w:val="15"/>
                <w:szCs w:val="15"/>
                <w:color w:val="0000EE"/>
              </w:rPr>
              <w:t>DESCRIPTION OF OUR WARRANTS</w:t>
            </w:r>
          </w:p>
        </w:tc>
        <w:tc>
          <w:tcPr>
            <w:tcW w:w="5760" w:type="dxa"/>
            <w:vAlign w:val="bottom"/>
            <w:gridSpan w:val="7"/>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0"/>
        </w:trPr>
        <w:tc>
          <w:tcPr>
            <w:tcW w:w="2000" w:type="dxa"/>
            <w:vAlign w:val="bottom"/>
            <w:gridSpan w:val="10"/>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40" w:type="dxa"/>
            <w:vAlign w:val="bottom"/>
            <w:tcBorders>
              <w:bottom w:val="single" w:sz="8" w:color="0000EE"/>
            </w:tcBorders>
            <w:gridSpan w:val="16"/>
          </w:tcPr>
          <w:p>
            <w:pPr>
              <w:spacing w:after="0" w:line="157" w:lineRule="exact"/>
              <w:rPr>
                <w:sz w:val="20"/>
                <w:szCs w:val="20"/>
                <w:color w:val="auto"/>
              </w:rPr>
            </w:pPr>
            <w:r>
              <w:rPr>
                <w:rFonts w:ascii="Times New Roman" w:cs="Times New Roman" w:eastAsia="Times New Roman" w:hAnsi="Times New Roman"/>
                <w:sz w:val="15"/>
                <w:szCs w:val="15"/>
                <w:color w:val="0000EE"/>
                <w:w w:val="98"/>
              </w:rPr>
              <w:t>DESCRIPTION OF OUR DEBT SECURITIES</w:t>
            </w:r>
          </w:p>
        </w:tc>
        <w:tc>
          <w:tcPr>
            <w:tcW w:w="5840" w:type="dxa"/>
            <w:vAlign w:val="bottom"/>
            <w:gridSpan w:val="8"/>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57"/>
        </w:trPr>
        <w:tc>
          <w:tcPr>
            <w:tcW w:w="868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DESCRIPTION OF OUR UNITS</w:t>
            </w: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
        </w:trPr>
        <w:tc>
          <w:tcPr>
            <w:tcW w:w="2000" w:type="dxa"/>
            <w:vAlign w:val="bottom"/>
            <w:gridSpan w:val="10"/>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300" w:type="dxa"/>
            <w:vAlign w:val="bottom"/>
            <w:gridSpan w:val="1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40" w:type="dxa"/>
            <w:vAlign w:val="bottom"/>
            <w:tcBorders>
              <w:bottom w:val="single" w:sz="8" w:color="0000EE"/>
            </w:tcBorders>
            <w:gridSpan w:val="19"/>
          </w:tcPr>
          <w:p>
            <w:pPr>
              <w:spacing w:after="0" w:line="157" w:lineRule="exact"/>
              <w:rPr>
                <w:sz w:val="20"/>
                <w:szCs w:val="20"/>
                <w:color w:val="auto"/>
              </w:rPr>
            </w:pPr>
            <w:r>
              <w:rPr>
                <w:rFonts w:ascii="Times New Roman" w:cs="Times New Roman" w:eastAsia="Times New Roman" w:hAnsi="Times New Roman"/>
                <w:sz w:val="15"/>
                <w:szCs w:val="15"/>
                <w:color w:val="0000EE"/>
                <w:w w:val="97"/>
              </w:rPr>
              <w:t>WHERE YOU CAN FIND MORE INFORMATION</w:t>
            </w:r>
          </w:p>
        </w:tc>
        <w:tc>
          <w:tcPr>
            <w:tcW w:w="5540" w:type="dxa"/>
            <w:vAlign w:val="bottom"/>
            <w:gridSpan w:val="5"/>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57"/>
        </w:trPr>
        <w:tc>
          <w:tcPr>
            <w:tcW w:w="2380" w:type="dxa"/>
            <w:vAlign w:val="bottom"/>
            <w:tcBorders>
              <w:bottom w:val="single" w:sz="8" w:color="0000EE"/>
            </w:tcBorders>
            <w:gridSpan w:val="11"/>
          </w:tcPr>
          <w:p>
            <w:pPr>
              <w:spacing w:after="0" w:line="157" w:lineRule="exact"/>
              <w:rPr>
                <w:sz w:val="20"/>
                <w:szCs w:val="20"/>
                <w:color w:val="auto"/>
              </w:rPr>
            </w:pPr>
            <w:r>
              <w:rPr>
                <w:rFonts w:ascii="Times New Roman" w:cs="Times New Roman" w:eastAsia="Times New Roman" w:hAnsi="Times New Roman"/>
                <w:sz w:val="15"/>
                <w:szCs w:val="15"/>
                <w:color w:val="0000EE"/>
                <w:w w:val="98"/>
              </w:rPr>
              <w:t>INCORPORATION BY REFERENCE</w:t>
            </w:r>
          </w:p>
        </w:tc>
        <w:tc>
          <w:tcPr>
            <w:tcW w:w="6300" w:type="dxa"/>
            <w:vAlign w:val="bottom"/>
            <w:gridSpan w:val="13"/>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57"/>
        </w:trPr>
        <w:tc>
          <w:tcPr>
            <w:tcW w:w="1200" w:type="dxa"/>
            <w:vAlign w:val="bottom"/>
            <w:tcBorders>
              <w:bottom w:val="single" w:sz="8" w:color="0000EE"/>
            </w:tcBorders>
            <w:gridSpan w:val="6"/>
          </w:tcPr>
          <w:p>
            <w:pPr>
              <w:spacing w:after="0" w:line="157" w:lineRule="exact"/>
              <w:rPr>
                <w:sz w:val="20"/>
                <w:szCs w:val="20"/>
                <w:color w:val="auto"/>
              </w:rPr>
            </w:pPr>
            <w:r>
              <w:rPr>
                <w:rFonts w:ascii="Times New Roman" w:cs="Times New Roman" w:eastAsia="Times New Roman" w:hAnsi="Times New Roman"/>
                <w:sz w:val="15"/>
                <w:szCs w:val="15"/>
                <w:color w:val="0000EE"/>
                <w:w w:val="95"/>
              </w:rPr>
              <w:t>LEGAL MATTERS</w:t>
            </w:r>
          </w:p>
        </w:tc>
        <w:tc>
          <w:tcPr>
            <w:tcW w:w="7480" w:type="dxa"/>
            <w:vAlign w:val="bottom"/>
            <w:gridSpan w:val="18"/>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57"/>
        </w:trPr>
        <w:tc>
          <w:tcPr>
            <w:tcW w:w="700" w:type="dxa"/>
            <w:vAlign w:val="bottom"/>
            <w:tcBorders>
              <w:bottom w:val="single" w:sz="8" w:color="0000EE"/>
            </w:tcBorders>
          </w:tcPr>
          <w:p>
            <w:pPr>
              <w:spacing w:after="0" w:line="157" w:lineRule="exact"/>
              <w:rPr>
                <w:sz w:val="20"/>
                <w:szCs w:val="20"/>
                <w:color w:val="auto"/>
              </w:rPr>
            </w:pPr>
            <w:r>
              <w:rPr>
                <w:rFonts w:ascii="Times New Roman" w:cs="Times New Roman" w:eastAsia="Times New Roman" w:hAnsi="Times New Roman"/>
                <w:sz w:val="15"/>
                <w:szCs w:val="15"/>
                <w:color w:val="0000EE"/>
              </w:rPr>
              <w:t>EXPERTS</w:t>
            </w:r>
          </w:p>
        </w:tc>
        <w:tc>
          <w:tcPr>
            <w:tcW w:w="7980" w:type="dxa"/>
            <w:vAlign w:val="bottom"/>
            <w:gridSpan w:val="23"/>
          </w:tcPr>
          <w:p>
            <w:pPr>
              <w:spacing w:after="0"/>
              <w:rPr>
                <w:sz w:val="13"/>
                <w:szCs w:val="13"/>
                <w:color w:val="auto"/>
              </w:rPr>
            </w:pPr>
          </w:p>
        </w:tc>
        <w:tc>
          <w:tcPr>
            <w:tcW w:w="3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bl>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6455" cy="336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5"/>
          <w:szCs w:val="15"/>
          <w:color w:val="auto"/>
        </w:rPr>
        <w:t>S-i</w:t>
      </w:r>
    </w:p>
    <w:p>
      <w:pPr>
        <w:sectPr>
          <w:pgSz w:w="11900" w:h="16838" w:orient="portrait"/>
          <w:cols w:equalWidth="0" w:num="1">
            <w:col w:w="9039"/>
          </w:cols>
          <w:pgMar w:left="1420" w:top="245"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ABOUT THIS PROSPECTUS SUPPLEMENT</w:t>
      </w:r>
    </w:p>
    <w:p>
      <w:pPr>
        <w:spacing w:after="0" w:line="18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5"/>
          <w:szCs w:val="15"/>
          <w:color w:val="auto"/>
        </w:rPr>
        <w:t>This prospectus supplement and the accompanying prospectus are part of a “shelf” registration statement on Form S-3 (File No. 333-267643) that we filed with the Securities and Exchange Commission (the “SEC”), on September 28, 2022, and which was declared effective by the SEC on October 5, 2022. Under the shelf registration process, we may from time to time offer and sell any combination of the securities described in the accompanying prospectus up to a total dollar amount of $400 million under the registration statement.</w:t>
      </w:r>
    </w:p>
    <w:p>
      <w:pPr>
        <w:spacing w:after="0" w:line="15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5"/>
          <w:szCs w:val="15"/>
          <w:color w:val="auto"/>
        </w:rPr>
        <w:t>This document is in two parts. The first part is this prospectus supplement, which describes the terms of this offering of our common stock and pre-funded warrants, and adds to and updates the information contained in the accompanying prospectus and the documents incorporated by reference herein or therein. The second part, the accompanying prospectus, including the documents incorporated by reference into the accompanying prospectus, provides more general information, some of which may not apply to this offering. Generally, when we refer to this prospectus supplement, we are referring to both parts of this document combined. 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 provided, however,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56"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relate to the offering of shares of our common stock and pre-funded warrants. Before buying any of the shares of common stock or pre-funded warrants offered hereby, we urge you to read carefully this prospectus supplement and the accompanying prospectus, together with the information incorporated herein by reference as described below under the heading “Incorporation of Certain Information by Reference.” This prospectus supplement contains information about the common stock and the pre-funded warrants offered hereby and may add to, update or change information in the accompanying prospectus. You should assume that the information in this prospectus supplement and the accompanying prospectus is accurate only as of the date on the front of the respective document and that any information that we have incorporated by reference is accurate only as of the date of the document incorporated by reference, regardless of the time of delivery of this prospectus supplement or the accompanying prospectus or the time of any sale of our common stock or pre-funded warrants.</w:t>
      </w:r>
    </w:p>
    <w:p>
      <w:pPr>
        <w:spacing w:after="0" w:line="14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5"/>
          <w:szCs w:val="15"/>
          <w:color w:val="auto"/>
        </w:rPr>
        <w:t>You should rely only on the information contained in, or incorporated by reference into, this prospectus supplement and the accompanying prospectus. We have not, and the underwriters have not, authorized anyone to provide you with different or additional information. Neither we nor the underwriters take any responsibility for, and can provide no assurance as to the reliability of, any other information that others may give you. Neither the delivery of this prospectus supplement, the accompanying prospectus and any free writing prospectus that we have authorized for use in this offering, nor the sale of our common stock or pre-funded warrants means that information contained in this prospectus supplement, the accompanying prospectus and any free writing prospectus that we have authorized for use in this offering, is correct after their respective dates.</w:t>
      </w:r>
    </w:p>
    <w:p>
      <w:pPr>
        <w:spacing w:after="0" w:line="155"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4"/>
          <w:szCs w:val="14"/>
          <w:color w:val="auto"/>
        </w:rPr>
        <w:t>We are offering to sell, and seeking offers to buy, and the underwriters are soliciting offers to buy, our common stock and pre-funded warrants only in jurisdictions in which an offer or solicitation is authorized or in which the person making that offer or solicitation is qualified to do so. The distribution of this prospectus supplement and the accompanying prospectus and the offering of the securities in certain jurisdictions may be restricted by law.</w:t>
      </w:r>
    </w:p>
    <w:p>
      <w:pPr>
        <w:spacing w:after="0" w:line="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5"/>
          <w:szCs w:val="15"/>
          <w:color w:val="auto"/>
        </w:rPr>
        <w:t>Persons outside the U.S.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S-1</w:t>
      </w:r>
    </w:p>
    <w:p>
      <w:pPr>
        <w:sectPr>
          <w:pgSz w:w="11900" w:h="16838" w:orient="portrait"/>
          <w:cols w:equalWidth="0" w:num="1">
            <w:col w:w="9040"/>
          </w:cols>
          <w:pgMar w:left="1420" w:top="245" w:right="1439" w:bottom="1440" w:gutter="0" w:footer="0" w:header="0"/>
        </w:sectPr>
      </w:pPr>
    </w:p>
    <w:bookmarkStart w:id="3" w:name="page4"/>
    <w:bookmarkEnd w:id="3"/>
    <w:p>
      <w:pPr>
        <w:ind w:right="179"/>
        <w:spacing w:after="0" w:line="25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herein by reference as exhibits to the registration statement, and you may obtain copies of those documents as described below under the section entitled “Where You Can Find More Information.”</w:t>
      </w:r>
    </w:p>
    <w:p>
      <w:pPr>
        <w:spacing w:after="0" w:line="155" w:lineRule="exact"/>
        <w:rPr>
          <w:sz w:val="20"/>
          <w:szCs w:val="20"/>
          <w:color w:val="auto"/>
        </w:rPr>
      </w:pPr>
    </w:p>
    <w:p>
      <w:pPr>
        <w:ind w:right="279"/>
        <w:spacing w:after="0" w:line="253" w:lineRule="auto"/>
        <w:rPr>
          <w:sz w:val="20"/>
          <w:szCs w:val="20"/>
          <w:color w:val="auto"/>
        </w:rPr>
      </w:pPr>
      <w:r>
        <w:rPr>
          <w:rFonts w:ascii="Times New Roman" w:cs="Times New Roman" w:eastAsia="Times New Roman" w:hAnsi="Times New Roman"/>
          <w:sz w:val="15"/>
          <w:szCs w:val="15"/>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55" w:lineRule="exact"/>
        <w:rPr>
          <w:sz w:val="20"/>
          <w:szCs w:val="20"/>
          <w:color w:val="auto"/>
        </w:rPr>
      </w:pPr>
    </w:p>
    <w:p>
      <w:pPr>
        <w:ind w:right="39"/>
        <w:spacing w:after="0" w:line="251" w:lineRule="auto"/>
        <w:rPr>
          <w:sz w:val="20"/>
          <w:szCs w:val="20"/>
          <w:color w:val="auto"/>
        </w:rPr>
      </w:pPr>
      <w:r>
        <w:rPr>
          <w:rFonts w:ascii="Times New Roman" w:cs="Times New Roman" w:eastAsia="Times New Roman" w:hAnsi="Times New Roman"/>
          <w:sz w:val="15"/>
          <w:szCs w:val="15"/>
          <w:color w:val="auto"/>
        </w:rPr>
        <w:t>This prospectus supplement and the accompanying prospectus contain and incorporate by reference market data and industry statistics and forecasts that are based on independent industry publications and other publicly-available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supplement, the accompanying prospectus or the documents incorporated herein by reference, these estimates involve risks and uncertainties and are subject to change based on various factors, including those discussed under the headings “Risk Factors” in this prospectus supplement and the accompanying prospectus, and under similar headings in the documents that are incorporated herein by reference. Accordingly, investors should not place undue reliance on this information.</w:t>
      </w:r>
    </w:p>
    <w:p>
      <w:pPr>
        <w:spacing w:after="0" w:line="156" w:lineRule="exact"/>
        <w:rPr>
          <w:sz w:val="20"/>
          <w:szCs w:val="20"/>
          <w:color w:val="auto"/>
        </w:rPr>
      </w:pPr>
    </w:p>
    <w:p>
      <w:pPr>
        <w:ind w:right="199"/>
        <w:spacing w:after="0" w:line="273" w:lineRule="auto"/>
        <w:rPr>
          <w:sz w:val="20"/>
          <w:szCs w:val="20"/>
          <w:color w:val="auto"/>
        </w:rPr>
      </w:pPr>
      <w:r>
        <w:rPr>
          <w:rFonts w:ascii="Times New Roman" w:cs="Times New Roman" w:eastAsia="Times New Roman" w:hAnsi="Times New Roman"/>
          <w:sz w:val="15"/>
          <w:szCs w:val="15"/>
          <w:color w:val="auto"/>
        </w:rPr>
        <w:t>References in this prospectus supplement to the terms “the Company,” “Invivyd,” “we,” “our” and “us” or other similar terms mean Invivyd, Inc. and our wholly-owned subsidiaries, unless we state otherwise or the context indicates otherwise.</w:t>
      </w:r>
    </w:p>
    <w:p>
      <w:pPr>
        <w:spacing w:after="0" w:line="140" w:lineRule="exact"/>
        <w:rPr>
          <w:sz w:val="20"/>
          <w:szCs w:val="20"/>
          <w:color w:val="auto"/>
        </w:rPr>
      </w:pPr>
    </w:p>
    <w:p>
      <w:pPr>
        <w:ind w:right="99"/>
        <w:spacing w:after="0" w:line="255" w:lineRule="auto"/>
        <w:rPr>
          <w:sz w:val="20"/>
          <w:szCs w:val="20"/>
          <w:color w:val="auto"/>
        </w:rPr>
      </w:pPr>
      <w:r>
        <w:rPr>
          <w:rFonts w:ascii="Times New Roman" w:cs="Times New Roman" w:eastAsia="Times New Roman" w:hAnsi="Times New Roman"/>
          <w:sz w:val="15"/>
          <w:szCs w:val="15"/>
          <w:color w:val="auto"/>
        </w:rPr>
        <w:t>“Invivyd,” “PEMGARDA,” “INVYMAB” as well as logos and certain stylized versions of these word marks are registered trademarks of Invivyd, Inc. This prospectus supplement and the accompanying prospectus and the documents incorporated by reference herein and therein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S-2</w:t>
      </w:r>
    </w:p>
    <w:p>
      <w:pPr>
        <w:sectPr>
          <w:pgSz w:w="11900" w:h="16838" w:orient="portrait"/>
          <w:cols w:equalWidth="0" w:num="1">
            <w:col w:w="9039"/>
          </w:cols>
          <w:pgMar w:left="1420" w:top="247"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4886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4886960"/>
                    </a:xfrm>
                    <a:prstGeom prst="rect">
                      <a:avLst/>
                    </a:prstGeom>
                    <a:noFill/>
                  </pic:spPr>
                </pic:pic>
              </a:graphicData>
            </a:graphic>
          </wp:anchor>
        </w:drawing>
        <w:t>PROSPECTUS SUPPLEMENT SUMMARY</w:t>
      </w:r>
    </w:p>
    <w:p>
      <w:pPr>
        <w:spacing w:after="0" w:line="182" w:lineRule="exact"/>
        <w:rPr>
          <w:sz w:val="20"/>
          <w:szCs w:val="20"/>
          <w:color w:val="auto"/>
        </w:rPr>
      </w:pPr>
    </w:p>
    <w:p>
      <w:pPr>
        <w:ind w:left="140" w:right="139"/>
        <w:spacing w:after="0" w:line="254"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about us and this offering and does not contain all of the information that you should consider in making your investment decision. You should carefully read this entire prospectus supplement and the accompanying prospectus, including the risks and uncertainties discussed under the heading “Risk Factors” beginning on page S-8 of this prospectus supplement, and the information incorporated by reference in this prospectus supplement and the accompanying prospectus, including our financial statements, before making an investment decision. If you invest in our securities, you are assuming a high degree of risk.</w:t>
      </w: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95" w:lineRule="exact"/>
        <w:rPr>
          <w:sz w:val="20"/>
          <w:szCs w:val="20"/>
          <w:color w:val="auto"/>
        </w:rPr>
      </w:pPr>
    </w:p>
    <w:p>
      <w:pPr>
        <w:ind w:left="140" w:right="479"/>
        <w:spacing w:after="0" w:line="219" w:lineRule="auto"/>
        <w:rPr>
          <w:sz w:val="20"/>
          <w:szCs w:val="20"/>
          <w:color w:val="auto"/>
        </w:rPr>
      </w:pPr>
      <w:r>
        <w:rPr>
          <w:rFonts w:ascii="Times New Roman" w:cs="Times New Roman" w:eastAsia="Times New Roman" w:hAnsi="Times New Roman"/>
          <w:sz w:val="15"/>
          <w:szCs w:val="15"/>
          <w:color w:val="auto"/>
        </w:rPr>
        <w:t>We are a biopharmaceutical company devoted to delivering protection from serious viral infectious diseases, beginning with SARS-CoV-2. PEMGARDA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xml:space="preserve"> (pemivibart) is our first monoclonal antibody (“mAb”) to receive regulatory authorization and was designed to keep pace with SARS-CoV-2 viral evolution.</w:t>
      </w:r>
    </w:p>
    <w:p>
      <w:pPr>
        <w:spacing w:after="0" w:line="164" w:lineRule="exact"/>
        <w:rPr>
          <w:sz w:val="20"/>
          <w:szCs w:val="20"/>
          <w:color w:val="auto"/>
        </w:rPr>
      </w:pPr>
    </w:p>
    <w:p>
      <w:pPr>
        <w:ind w:left="140" w:right="279"/>
        <w:spacing w:after="0" w:line="252" w:lineRule="auto"/>
        <w:rPr>
          <w:sz w:val="20"/>
          <w:szCs w:val="20"/>
          <w:color w:val="auto"/>
        </w:rPr>
      </w:pPr>
      <w:r>
        <w:rPr>
          <w:rFonts w:ascii="Times New Roman" w:cs="Times New Roman" w:eastAsia="Times New Roman" w:hAnsi="Times New Roman"/>
          <w:sz w:val="15"/>
          <w:szCs w:val="15"/>
          <w:color w:val="auto"/>
        </w:rPr>
        <w:t>On March 22, 2024, we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55" w:lineRule="exact"/>
        <w:rPr>
          <w:sz w:val="20"/>
          <w:szCs w:val="20"/>
          <w:color w:val="auto"/>
        </w:rPr>
      </w:pPr>
    </w:p>
    <w:p>
      <w:pPr>
        <w:ind w:left="140" w:right="139"/>
        <w:spacing w:after="0" w:line="248" w:lineRule="auto"/>
        <w:rPr>
          <w:sz w:val="20"/>
          <w:szCs w:val="20"/>
          <w:color w:val="auto"/>
        </w:rPr>
      </w:pPr>
      <w:r>
        <w:rPr>
          <w:rFonts w:ascii="Times New Roman" w:cs="Times New Roman" w:eastAsia="Times New Roman" w:hAnsi="Times New Roman"/>
          <w:sz w:val="15"/>
          <w:szCs w:val="15"/>
          <w:color w:val="auto"/>
        </w:rPr>
        <w:t>In January 2024, we nominated VYD2311, a next generation mAb candidate for COVID-19, as a drug candidate, and in September 2024, we announced dosing of the first participants in a Phase 1/2 clinical trial of VYD2311. VYD2311 is a mAb with high in vitro neutralization potency shown against prominent SARS-CoV-2 variants tested to date. The Phase 1/2 randomized, blinded, placebo-controlled clinical trial evaluated escalating dosing as well as safety, tolerability, pharmacokinetics and immunogenicity of VYD2311 in healthy trial participants. The Phase 1/2 clinical trial was conducted in Australia and evaluated multiple dose levels of VYD2311 through various routes of administration, including exploration of intramuscular administration and subcutaneous administration, which are designed to be more system- and patient-friendly than intravenous administration. In June 2025, we announced positive full Phase 1/2 clinical data for VYD2311 for both safety and pharmacokinetics. In August 2025, we announced alignment with advice from the FDA on a compact and, therefore, rapid pathway to potential Biologics License Application (“BLA”) approval for VYD2311 for the prevention of COVID-19. As part of a recent Type C meeting, the FDA advised us that a single, Phase 2/3 randomized, double-blind, placebo-controlled trial evaluating mAb efficacy from a relatively modest number of RT-PCR-confirmed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 Like pemivibart, VYD2311 was engineered from adintrevimab, our investigational mAb that has a robust safety data package and demonstrated clinically meaningful results in global Phase 2/3 clinical trials for both the prevention and treatment of COVID-19.</w:t>
      </w:r>
    </w:p>
    <w:p>
      <w:pPr>
        <w:spacing w:after="0" w:line="163" w:lineRule="exact"/>
        <w:rPr>
          <w:sz w:val="20"/>
          <w:szCs w:val="20"/>
          <w:color w:val="auto"/>
        </w:rPr>
      </w:pPr>
    </w:p>
    <w:p>
      <w:pPr>
        <w:jc w:val="both"/>
        <w:ind w:left="140" w:right="259"/>
        <w:spacing w:after="0" w:line="255" w:lineRule="auto"/>
        <w:rPr>
          <w:sz w:val="20"/>
          <w:szCs w:val="20"/>
          <w:color w:val="auto"/>
        </w:rPr>
      </w:pPr>
      <w:r>
        <w:rPr>
          <w:rFonts w:ascii="Times New Roman" w:cs="Times New Roman" w:eastAsia="Times New Roman" w:hAnsi="Times New Roman"/>
          <w:sz w:val="15"/>
          <w:szCs w:val="15"/>
          <w:color w:val="auto"/>
        </w:rPr>
        <w:t>In July 2025, we announced that we had formed the SPEAR (Spike Protein Elimination and Recovery) Study Group with leading investigators to structure and guide anticipated clinical trials evaluating the effects of broadly neutralizing anti-SARS-CoV-2 spike protein mAb therapy in people suffering from Long COVID or Post-Vaccination Syndrome (PVS). The SPEAR Study Group intends to launch multi-center translational clinical research on Long COVID and PVS using next-generation antibodies like our investigational mAb candidate VYD2311.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S-3</w:t>
      </w:r>
    </w:p>
    <w:p>
      <w:pPr>
        <w:sectPr>
          <w:pgSz w:w="11900" w:h="16838" w:orient="portrait"/>
          <w:cols w:equalWidth="0" w:num="1">
            <w:col w:w="9019"/>
          </w:cols>
          <w:pgMar w:left="1440" w:top="400" w:right="1440" w:bottom="1440" w:gutter="0" w:footer="0" w:header="0"/>
        </w:sectPr>
      </w:pPr>
    </w:p>
    <w:bookmarkStart w:id="5" w:name="page6"/>
    <w:bookmarkEnd w:id="5"/>
    <w:p>
      <w:pPr>
        <w:ind w:left="140" w:right="199"/>
        <w:spacing w:after="0" w:line="25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4999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4999355"/>
                    </a:xfrm>
                    <a:prstGeom prst="rect">
                      <a:avLst/>
                    </a:prstGeom>
                    <a:noFill/>
                  </pic:spPr>
                </pic:pic>
              </a:graphicData>
            </a:graphic>
          </wp:anchor>
        </w:drawing>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over five years in the COVID-19 space, we aim to develop mAbs that could be used in prevention or treatment of serious viral diseases, starting with COVID-19 and potentially expanding into other high-need indications.</w:t>
      </w:r>
    </w:p>
    <w:p>
      <w:pPr>
        <w:spacing w:after="0" w:line="156" w:lineRule="exact"/>
        <w:rPr>
          <w:sz w:val="20"/>
          <w:szCs w:val="20"/>
          <w:color w:val="auto"/>
        </w:rPr>
      </w:pPr>
    </w:p>
    <w:p>
      <w:pPr>
        <w:ind w:left="140" w:right="159"/>
        <w:spacing w:after="0" w:line="251" w:lineRule="auto"/>
        <w:rPr>
          <w:sz w:val="20"/>
          <w:szCs w:val="20"/>
          <w:color w:val="auto"/>
        </w:rPr>
      </w:pPr>
      <w:r>
        <w:rPr>
          <w:rFonts w:ascii="Times New Roman" w:cs="Times New Roman" w:eastAsia="Times New Roman" w:hAnsi="Times New Roman"/>
          <w:sz w:val="15"/>
          <w:szCs w:val="15"/>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156" w:lineRule="exact"/>
        <w:rPr>
          <w:sz w:val="20"/>
          <w:szCs w:val="20"/>
          <w:color w:val="auto"/>
        </w:rPr>
      </w:pPr>
    </w:p>
    <w:p>
      <w:pPr>
        <w:ind w:left="140" w:right="199"/>
        <w:spacing w:after="0" w:line="251" w:lineRule="auto"/>
        <w:rPr>
          <w:sz w:val="20"/>
          <w:szCs w:val="20"/>
          <w:color w:val="auto"/>
        </w:rPr>
      </w:pPr>
      <w:r>
        <w:rPr>
          <w:rFonts w:ascii="Times New Roman" w:cs="Times New Roman" w:eastAsia="Times New Roman" w:hAnsi="Times New Roman"/>
          <w:sz w:val="15"/>
          <w:szCs w:val="15"/>
          <w:color w:val="auto"/>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and attractive neutralization potency of VYD2311 against the same contemporary viruses, and also provided an update to ongoing structural analysis showing no meaningful mutational change in the pemivibart binding site since the Omicron shift late in 2021. In January 2025, March 2025 and August 2025, we announced continued neutralizing activity of PEMGARDA and VYD2311 against dominant SARS-CoV-2 variants XEC, LP.8.1 and XFG, respectively.</w:t>
      </w:r>
    </w:p>
    <w:p>
      <w:pPr>
        <w:spacing w:after="0" w:line="156" w:lineRule="exact"/>
        <w:rPr>
          <w:sz w:val="20"/>
          <w:szCs w:val="20"/>
          <w:color w:val="auto"/>
        </w:rPr>
      </w:pPr>
    </w:p>
    <w:p>
      <w:pPr>
        <w:ind w:left="140" w:right="159"/>
        <w:spacing w:after="0" w:line="273" w:lineRule="auto"/>
        <w:rPr>
          <w:sz w:val="20"/>
          <w:szCs w:val="20"/>
          <w:color w:val="auto"/>
        </w:rPr>
      </w:pPr>
      <w:r>
        <w:rPr>
          <w:rFonts w:ascii="Times New Roman" w:cs="Times New Roman" w:eastAsia="Times New Roman" w:hAnsi="Times New Roman"/>
          <w:sz w:val="15"/>
          <w:szCs w:val="15"/>
          <w:color w:val="auto"/>
        </w:rPr>
        <w:t>For more information about our company, please refer to other documents that we have filed with the SEC and that are incorporated by reference in this prospectus supplement, as listed under the heading “Incorporation of Certain Information by Reference.”</w:t>
      </w:r>
    </w:p>
    <w:p>
      <w:pPr>
        <w:spacing w:after="0" w:line="2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95" w:lineRule="exact"/>
        <w:rPr>
          <w:sz w:val="20"/>
          <w:szCs w:val="20"/>
          <w:color w:val="auto"/>
        </w:rPr>
      </w:pPr>
    </w:p>
    <w:p>
      <w:pPr>
        <w:ind w:left="140" w:right="299"/>
        <w:spacing w:after="0" w:line="255" w:lineRule="auto"/>
        <w:rPr>
          <w:sz w:val="20"/>
          <w:szCs w:val="20"/>
          <w:color w:val="auto"/>
        </w:rPr>
      </w:pPr>
      <w:r>
        <w:rPr>
          <w:rFonts w:ascii="Times New Roman" w:cs="Times New Roman" w:eastAsia="Times New Roman" w:hAnsi="Times New Roman"/>
          <w:sz w:val="15"/>
          <w:szCs w:val="15"/>
          <w:color w:val="auto"/>
        </w:rPr>
        <w:t>We were incorporated under the laws of the State of Delaware in June 2020. We operate as a hybrid company. Our principal executive offices are located at 1601 Trapelo Road, Suite 178, Waltham, MA 02451, and our telephone number is (781) 819-0080. Our website address is www.invivyd.com. We do not incorporate the information on, or accessible through, our website into this prospectus supplement, and you should not consider any information on, or accessible through, our website as part of this prospectus supplement.</w:t>
      </w: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 and a Smaller Reporting Company</w:t>
      </w:r>
    </w:p>
    <w:p>
      <w:pPr>
        <w:spacing w:after="0" w:line="95" w:lineRule="exact"/>
        <w:rPr>
          <w:sz w:val="20"/>
          <w:szCs w:val="20"/>
          <w:color w:val="auto"/>
        </w:rPr>
      </w:pPr>
    </w:p>
    <w:p>
      <w:pPr>
        <w:ind w:left="140" w:right="239"/>
        <w:spacing w:after="0" w:line="252"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of 2012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S-4</w:t>
      </w:r>
    </w:p>
    <w:p>
      <w:pPr>
        <w:sectPr>
          <w:pgSz w:w="11900" w:h="16838" w:orient="portrait"/>
          <w:cols w:equalWidth="0" w:num="1">
            <w:col w:w="9019"/>
          </w:cols>
          <w:pgMar w:left="1440" w:top="402" w:right="1440" w:bottom="1440" w:gutter="0" w:footer="0" w:header="0"/>
        </w:sectPr>
      </w:pPr>
    </w:p>
    <w:bookmarkStart w:id="6" w:name="page7"/>
    <w:bookmarkEnd w:id="6"/>
    <w:p>
      <w:pPr>
        <w:ind w:left="1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22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3225800"/>
                    </a:xfrm>
                    <a:prstGeom prst="rect">
                      <a:avLst/>
                    </a:prstGeom>
                    <a:noFill/>
                  </pic:spPr>
                </pic:pic>
              </a:graphicData>
            </a:graphic>
          </wp:anchor>
        </w:drawing>
        <w:t>requirements that are applicable to other public companies that are not emerging growth companies. These exemptions include:</w:t>
      </w:r>
    </w:p>
    <w:p>
      <w:pPr>
        <w:spacing w:after="0" w:line="105" w:lineRule="exact"/>
        <w:rPr>
          <w:sz w:val="20"/>
          <w:szCs w:val="20"/>
          <w:color w:val="auto"/>
        </w:rPr>
      </w:pPr>
    </w:p>
    <w:p>
      <w:pPr>
        <w:ind w:left="900" w:right="659" w:hanging="336"/>
        <w:spacing w:after="0" w:line="273" w:lineRule="auto"/>
        <w:tabs>
          <w:tab w:leader="none" w:pos="9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exemption from compliance with the auditor attestation requirement in the assessment of our internal control over financial reporting;</w:t>
      </w:r>
    </w:p>
    <w:p>
      <w:pPr>
        <w:spacing w:after="0" w:line="61" w:lineRule="exact"/>
        <w:rPr>
          <w:rFonts w:ascii="Times New Roman" w:cs="Times New Roman" w:eastAsia="Times New Roman" w:hAnsi="Times New Roman"/>
          <w:sz w:val="15"/>
          <w:szCs w:val="15"/>
          <w:color w:val="auto"/>
        </w:rPr>
      </w:pPr>
    </w:p>
    <w:p>
      <w:pPr>
        <w:ind w:left="900" w:hanging="336"/>
        <w:spacing w:after="0"/>
        <w:tabs>
          <w:tab w:leader="none" w:pos="9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w:t>
      </w:r>
    </w:p>
    <w:p>
      <w:pPr>
        <w:spacing w:after="0" w:line="104" w:lineRule="exact"/>
        <w:rPr>
          <w:rFonts w:ascii="Times New Roman" w:cs="Times New Roman" w:eastAsia="Times New Roman" w:hAnsi="Times New Roman"/>
          <w:sz w:val="15"/>
          <w:szCs w:val="15"/>
          <w:color w:val="auto"/>
        </w:rPr>
      </w:pPr>
    </w:p>
    <w:p>
      <w:pPr>
        <w:ind w:left="900" w:right="159" w:hanging="336"/>
        <w:spacing w:after="0" w:line="273" w:lineRule="auto"/>
        <w:tabs>
          <w:tab w:leader="none" w:pos="9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exemptions from the requirements of holding a non-binding advisory vote on executive compensation and stockholder approval of any golden parachute payments not previously approved; and</w:t>
      </w:r>
    </w:p>
    <w:p>
      <w:pPr>
        <w:spacing w:after="0" w:line="61" w:lineRule="exact"/>
        <w:rPr>
          <w:rFonts w:ascii="Times New Roman" w:cs="Times New Roman" w:eastAsia="Times New Roman" w:hAnsi="Times New Roman"/>
          <w:sz w:val="15"/>
          <w:szCs w:val="15"/>
          <w:color w:val="auto"/>
        </w:rPr>
      </w:pPr>
    </w:p>
    <w:p>
      <w:pPr>
        <w:ind w:left="900" w:right="979" w:hanging="336"/>
        <w:spacing w:after="0" w:line="273" w:lineRule="auto"/>
        <w:tabs>
          <w:tab w:leader="none" w:pos="9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exemption from compliance with the requirements of the Public Company Accounting Oversight Board regarding the communication of critical audit matters in the auditor’s report on the financial statements.</w:t>
      </w:r>
    </w:p>
    <w:p>
      <w:pPr>
        <w:spacing w:after="0" w:line="140" w:lineRule="exact"/>
        <w:rPr>
          <w:sz w:val="20"/>
          <w:szCs w:val="20"/>
          <w:color w:val="auto"/>
        </w:rPr>
      </w:pPr>
    </w:p>
    <w:p>
      <w:pPr>
        <w:ind w:left="140" w:right="219"/>
        <w:spacing w:after="0" w:line="252" w:lineRule="auto"/>
        <w:rPr>
          <w:sz w:val="20"/>
          <w:szCs w:val="20"/>
          <w:color w:val="auto"/>
        </w:rPr>
      </w:pPr>
      <w:r>
        <w:rPr>
          <w:rFonts w:ascii="Times New Roman" w:cs="Times New Roman" w:eastAsia="Times New Roman" w:hAnsi="Times New Roman"/>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from new or revised accounting standards and, therefore, may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55" w:lineRule="exact"/>
        <w:rPr>
          <w:sz w:val="20"/>
          <w:szCs w:val="20"/>
          <w:color w:val="auto"/>
        </w:rPr>
      </w:pPr>
    </w:p>
    <w:p>
      <w:pPr>
        <w:ind w:left="140" w:right="159"/>
        <w:spacing w:after="0" w:line="250" w:lineRule="auto"/>
        <w:rPr>
          <w:sz w:val="20"/>
          <w:szCs w:val="20"/>
          <w:color w:val="auto"/>
        </w:rPr>
      </w:pPr>
      <w:r>
        <w:rPr>
          <w:rFonts w:ascii="Times New Roman" w:cs="Times New Roman" w:eastAsia="Times New Roman" w:hAnsi="Times New Roman"/>
          <w:sz w:val="15"/>
          <w:szCs w:val="15"/>
          <w:color w:val="auto"/>
        </w:rPr>
        <w:t>We are also a “smaller reporting company” as defined in the Securities Exchange Act of 1934, as amended (the “Exchange Act”). We may continue to be a smaller reporting company even after we are no longer an emerging growth company, which would allow us to take advantage of many of the same exemptions available to emerging growth companies.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 addition, if we are a smaller reporting company with less than $100.0 million in annual revenue, we would not be required to comply with the auditor attestation requirements of Section 404 of the Sarbanes-Oxley Act of 2002.</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S-5</w:t>
      </w:r>
    </w:p>
    <w:p>
      <w:pPr>
        <w:sectPr>
          <w:pgSz w:w="11900" w:h="16838" w:orient="portrait"/>
          <w:cols w:equalWidth="0" w:num="1">
            <w:col w:w="9019"/>
          </w:cols>
          <w:pgMar w:left="1440" w:top="402" w:right="1440"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510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5104765"/>
                    </a:xfrm>
                    <a:prstGeom prst="rect">
                      <a:avLst/>
                    </a:prstGeom>
                    <a:noFill/>
                  </pic:spPr>
                </pic:pic>
              </a:graphicData>
            </a:graphic>
          </wp:anchor>
        </w:drawing>
        <w:t>THE OFFERING</w:t>
      </w:r>
    </w:p>
    <w:p>
      <w:pPr>
        <w:sectPr>
          <w:pgSz w:w="11900" w:h="16838" w:orient="portrait"/>
          <w:cols w:equalWidth="0" w:num="1">
            <w:col w:w="9060"/>
          </w:cols>
          <w:pgMar w:left="1420" w:top="400" w:right="1419" w:bottom="1440" w:gutter="0" w:footer="0" w:header="0"/>
        </w:sectPr>
      </w:pPr>
    </w:p>
    <w:p>
      <w:pPr>
        <w:spacing w:after="0" w:line="216" w:lineRule="exact"/>
        <w:rPr>
          <w:sz w:val="20"/>
          <w:szCs w:val="20"/>
          <w:color w:val="auto"/>
        </w:rPr>
      </w:pPr>
    </w:p>
    <w:p>
      <w:pPr>
        <w:ind w:left="160" w:right="360"/>
        <w:spacing w:after="0" w:line="276" w:lineRule="auto"/>
        <w:rPr>
          <w:sz w:val="20"/>
          <w:szCs w:val="20"/>
          <w:color w:val="auto"/>
        </w:rPr>
      </w:pPr>
      <w:r>
        <w:rPr>
          <w:rFonts w:ascii="Times New Roman" w:cs="Times New Roman" w:eastAsia="Times New Roman" w:hAnsi="Times New Roman"/>
          <w:sz w:val="15"/>
          <w:szCs w:val="15"/>
          <w:b w:val="1"/>
          <w:bCs w:val="1"/>
          <w:color w:val="auto"/>
        </w:rPr>
        <w:t>Common stock offered by us pursuant to this prospectus supplement</w:t>
      </w:r>
    </w:p>
    <w:p>
      <w:pPr>
        <w:spacing w:after="0" w:line="168" w:lineRule="exact"/>
        <w:rPr>
          <w:sz w:val="20"/>
          <w:szCs w:val="20"/>
          <w:color w:val="auto"/>
        </w:rPr>
      </w:pPr>
    </w:p>
    <w:p>
      <w:pPr>
        <w:ind w:left="160"/>
        <w:spacing w:after="0" w:line="276" w:lineRule="auto"/>
        <w:rPr>
          <w:sz w:val="20"/>
          <w:szCs w:val="20"/>
          <w:color w:val="auto"/>
        </w:rPr>
      </w:pPr>
      <w:r>
        <w:rPr>
          <w:rFonts w:ascii="Times New Roman" w:cs="Times New Roman" w:eastAsia="Times New Roman" w:hAnsi="Times New Roman"/>
          <w:sz w:val="15"/>
          <w:szCs w:val="15"/>
          <w:b w:val="1"/>
          <w:bCs w:val="1"/>
          <w:color w:val="auto"/>
        </w:rPr>
        <w:t>Pre-funded warrants offered by us pursuant to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5"/>
          <w:szCs w:val="15"/>
          <w:color w:val="auto"/>
        </w:rPr>
        <w:t>74,811,404 shares of our common stock (or 89,234,480 shares of our common stock if the underwriters exercise their option to purchase additional shares in full).</w:t>
      </w:r>
    </w:p>
    <w:p>
      <w:pPr>
        <w:spacing w:after="0" w:line="173"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5"/>
          <w:szCs w:val="15"/>
          <w:color w:val="auto"/>
        </w:rPr>
        <w:t>In lieu of common stock to investors who so choose, we are also offering pre-funded warrants to purchase an aggregate of up to 21,342,442 shares of common stock. The purchase price of each pre-funded warrant equals the price per share at which shares of our common stock are being sold to the public in this offering, minus $0.0001, which is the exercise price per share underlying the pre-funded warrants. Each pre-funded warrant will be exercisable from the date of issuance until the date the pre-funded warrant is exercised in full. See “Description of Pre-Funded Warrants.”</w:t>
      </w:r>
    </w:p>
    <w:p>
      <w:pPr>
        <w:spacing w:after="0" w:line="178"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5"/>
          <w:szCs w:val="15"/>
          <w:color w:val="auto"/>
        </w:rPr>
        <w:t>We have granted the underwriters an option for a period of up to 30 days from the date of this prospectus supplement to purchase up to an additional 14,423,076 shares of our common stock from us at the public offering price, less underwriting discounts and commissions.</w:t>
      </w:r>
    </w:p>
    <w:p>
      <w:pPr>
        <w:spacing w:after="0" w:line="174" w:lineRule="exact"/>
        <w:rPr>
          <w:sz w:val="20"/>
          <w:szCs w:val="20"/>
          <w:color w:val="auto"/>
        </w:rPr>
      </w:pPr>
    </w:p>
    <w:p>
      <w:pPr>
        <w:sectPr>
          <w:pgSz w:w="11900" w:h="16838" w:orient="portrait"/>
          <w:cols w:equalWidth="0" w:num="2">
            <w:col w:w="3360" w:space="100"/>
            <w:col w:w="5600"/>
          </w:cols>
          <w:pgMar w:left="1420" w:top="400" w:right="14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5"/>
          <w:szCs w:val="15"/>
          <w:b w:val="1"/>
          <w:bCs w:val="1"/>
          <w:color w:val="auto"/>
        </w:rPr>
        <w:t xml:space="preserve">Common stock to be outstanding immediately after </w:t>
      </w:r>
      <w:r>
        <w:rPr>
          <w:rFonts w:ascii="Times New Roman" w:cs="Times New Roman" w:eastAsia="Times New Roman" w:hAnsi="Times New Roman"/>
          <w:sz w:val="15"/>
          <w:szCs w:val="15"/>
          <w:color w:val="auto"/>
        </w:rPr>
        <w:t>194,954,215 shares (or 209,377,291 shares if the underwriters exercise in full their option</w:t>
      </w:r>
    </w:p>
    <w:p>
      <w:pPr>
        <w:spacing w:after="0" w:line="21" w:lineRule="exact"/>
        <w:rPr>
          <w:sz w:val="20"/>
          <w:szCs w:val="20"/>
          <w:color w:val="auto"/>
        </w:rPr>
      </w:pPr>
    </w:p>
    <w:p>
      <w:pPr>
        <w:ind w:left="3460" w:right="620" w:hanging="3313"/>
        <w:spacing w:after="0" w:line="253" w:lineRule="auto"/>
        <w:tabs>
          <w:tab w:leader="none" w:pos="3440" w:val="left"/>
        </w:tabs>
        <w:rPr>
          <w:sz w:val="20"/>
          <w:szCs w:val="20"/>
          <w:color w:val="auto"/>
        </w:rPr>
      </w:pPr>
      <w:r>
        <w:rPr>
          <w:rFonts w:ascii="Times New Roman" w:cs="Times New Roman" w:eastAsia="Times New Roman" w:hAnsi="Times New Roman"/>
          <w:sz w:val="15"/>
          <w:szCs w:val="15"/>
          <w:b w:val="1"/>
          <w:bCs w:val="1"/>
          <w:color w:val="auto"/>
        </w:rPr>
        <w:t>this offering</w:t>
      </w:r>
      <w:r>
        <w:rPr>
          <w:sz w:val="20"/>
          <w:szCs w:val="20"/>
          <w:color w:val="auto"/>
        </w:rPr>
        <w:tab/>
      </w:r>
      <w:r>
        <w:rPr>
          <w:rFonts w:ascii="Times New Roman" w:cs="Times New Roman" w:eastAsia="Times New Roman" w:hAnsi="Times New Roman"/>
          <w:sz w:val="15"/>
          <w:szCs w:val="15"/>
          <w:color w:val="auto"/>
        </w:rPr>
        <w:t>to purchase additional shares), excluding any shares of common stock issuable upon exercise of the pre-funded warrants.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Use of Proceeds</w:t>
            </w: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We estimate that our net proceeds from this offering will be approximately $46.5 million,</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or $53.5 million if the option to purchase additional shares is exercised in full by the</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underwriters, after deducting underwriting discounts and commissions and estimated</w:t>
            </w:r>
          </w:p>
        </w:tc>
      </w:tr>
      <w:tr>
        <w:trPr>
          <w:trHeight w:val="192"/>
        </w:trPr>
        <w:tc>
          <w:tcPr>
            <w:tcW w:w="2300" w:type="dxa"/>
            <w:vAlign w:val="bottom"/>
          </w:tcPr>
          <w:p>
            <w:pPr>
              <w:spacing w:after="0"/>
              <w:rPr>
                <w:sz w:val="16"/>
                <w:szCs w:val="16"/>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offering expenses payable by us.</w:t>
            </w:r>
          </w:p>
        </w:tc>
      </w:tr>
      <w:tr>
        <w:trPr>
          <w:trHeight w:val="362"/>
        </w:trPr>
        <w:tc>
          <w:tcPr>
            <w:tcW w:w="2300" w:type="dxa"/>
            <w:vAlign w:val="bottom"/>
          </w:tcPr>
          <w:p>
            <w:pPr>
              <w:spacing w:after="0"/>
              <w:rPr>
                <w:sz w:val="24"/>
                <w:szCs w:val="24"/>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We intend to use the net proceeds from this offering, together with our existing cash and</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cash equivalents, for trial protocol development, planning, and advancement of the</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VYD2311 clinical program, research and development related to our pipeline programs</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such as RSV and measles, advancement of the SPEAR Study Group efforts related to</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assessing the effects of mAb therapy for Long COVID and COVID-19 Post-Vaccination</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Syndrome, and for working capital and other general corporate purposes. See the section</w:t>
            </w:r>
          </w:p>
        </w:tc>
      </w:tr>
      <w:tr>
        <w:trPr>
          <w:trHeight w:val="192"/>
        </w:trPr>
        <w:tc>
          <w:tcPr>
            <w:tcW w:w="2300" w:type="dxa"/>
            <w:vAlign w:val="bottom"/>
          </w:tcPr>
          <w:p>
            <w:pPr>
              <w:spacing w:after="0"/>
              <w:rPr>
                <w:sz w:val="16"/>
                <w:szCs w:val="16"/>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entitled “Use of Proceeds” on page S-13 of this prospectus supplement.</w:t>
            </w:r>
          </w:p>
        </w:tc>
      </w:tr>
      <w:tr>
        <w:trPr>
          <w:trHeight w:val="362"/>
        </w:trPr>
        <w:tc>
          <w:tcPr>
            <w:tcW w:w="23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Risk Factors</w:t>
            </w: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An investment in our securities involves a high degree of risk. Before making an</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investment decision, please read the information contained in or incorporated by reference</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in the section entitled “Risk Factors” beginning on page S-8 of this prospectus supplement,</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page 34 of our Annual Report on Form 10-K for the fiscal year ended December 31, 2024,</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page 39 of our Quarterly Report on Form 10-Q for the quarter ended June 30, 2025, and</w:t>
            </w:r>
          </w:p>
        </w:tc>
      </w:tr>
      <w:tr>
        <w:trPr>
          <w:trHeight w:val="177"/>
        </w:trPr>
        <w:tc>
          <w:tcPr>
            <w:tcW w:w="2300" w:type="dxa"/>
            <w:vAlign w:val="bottom"/>
          </w:tcPr>
          <w:p>
            <w:pPr>
              <w:spacing w:after="0"/>
              <w:rPr>
                <w:sz w:val="15"/>
                <w:szCs w:val="15"/>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under similar headings in the documents that are incorporated by reference herein, as well</w:t>
            </w:r>
          </w:p>
        </w:tc>
      </w:tr>
      <w:tr>
        <w:trPr>
          <w:trHeight w:val="192"/>
        </w:trPr>
        <w:tc>
          <w:tcPr>
            <w:tcW w:w="2300" w:type="dxa"/>
            <w:vAlign w:val="bottom"/>
          </w:tcPr>
          <w:p>
            <w:pPr>
              <w:spacing w:after="0"/>
              <w:rPr>
                <w:sz w:val="16"/>
                <w:szCs w:val="16"/>
                <w:color w:val="auto"/>
              </w:rPr>
            </w:pPr>
          </w:p>
        </w:tc>
        <w:tc>
          <w:tcPr>
            <w:tcW w:w="6760" w:type="dxa"/>
            <w:vAlign w:val="bottom"/>
          </w:tcPr>
          <w:p>
            <w:pPr>
              <w:ind w:left="1160"/>
              <w:spacing w:after="0"/>
              <w:rPr>
                <w:sz w:val="20"/>
                <w:szCs w:val="20"/>
                <w:color w:val="auto"/>
              </w:rPr>
            </w:pPr>
            <w:r>
              <w:rPr>
                <w:rFonts w:ascii="Times New Roman" w:cs="Times New Roman" w:eastAsia="Times New Roman" w:hAnsi="Times New Roman"/>
                <w:sz w:val="15"/>
                <w:szCs w:val="15"/>
                <w:color w:val="auto"/>
              </w:rPr>
              <w:t>as the other</w:t>
            </w:r>
          </w:p>
        </w:tc>
      </w:tr>
      <w:tr>
        <w:trPr>
          <w:trHeight w:val="129"/>
        </w:trPr>
        <w:tc>
          <w:tcPr>
            <w:tcW w:w="2300" w:type="dxa"/>
            <w:vAlign w:val="bottom"/>
            <w:tcBorders>
              <w:bottom w:val="single" w:sz="8" w:color="auto"/>
            </w:tcBorders>
          </w:tcPr>
          <w:p>
            <w:pPr>
              <w:spacing w:after="0"/>
              <w:rPr>
                <w:sz w:val="11"/>
                <w:szCs w:val="11"/>
                <w:color w:val="auto"/>
              </w:rPr>
            </w:pPr>
          </w:p>
        </w:tc>
        <w:tc>
          <w:tcPr>
            <w:tcW w:w="6760" w:type="dxa"/>
            <w:vAlign w:val="bottom"/>
            <w:tcBorders>
              <w:bottom w:val="single" w:sz="8" w:color="auto"/>
            </w:tcBorders>
          </w:tcPr>
          <w:p>
            <w:pPr>
              <w:spacing w:after="0"/>
              <w:rPr>
                <w:sz w:val="11"/>
                <w:szCs w:val="11"/>
                <w:color w:val="auto"/>
              </w:rPr>
            </w:pPr>
          </w:p>
        </w:tc>
      </w:tr>
      <w:tr>
        <w:trPr>
          <w:trHeight w:val="294"/>
        </w:trPr>
        <w:tc>
          <w:tcPr>
            <w:tcW w:w="2300" w:type="dxa"/>
            <w:vAlign w:val="bottom"/>
          </w:tcPr>
          <w:p>
            <w:pPr>
              <w:spacing w:after="0"/>
              <w:rPr>
                <w:sz w:val="24"/>
                <w:szCs w:val="24"/>
                <w:color w:val="auto"/>
              </w:rPr>
            </w:pPr>
          </w:p>
        </w:tc>
        <w:tc>
          <w:tcPr>
            <w:tcW w:w="6760" w:type="dxa"/>
            <w:vAlign w:val="bottom"/>
          </w:tcPr>
          <w:p>
            <w:pPr>
              <w:ind w:left="2120"/>
              <w:spacing w:after="0"/>
              <w:rPr>
                <w:sz w:val="20"/>
                <w:szCs w:val="20"/>
                <w:color w:val="auto"/>
              </w:rPr>
            </w:pPr>
            <w:r>
              <w:rPr>
                <w:rFonts w:ascii="Times New Roman" w:cs="Times New Roman" w:eastAsia="Times New Roman" w:hAnsi="Times New Roman"/>
                <w:sz w:val="15"/>
                <w:szCs w:val="15"/>
                <w:color w:val="auto"/>
              </w:rPr>
              <w:t>S-6</w:t>
            </w:r>
          </w:p>
        </w:tc>
      </w:tr>
    </w:tbl>
    <w:p>
      <w:pPr>
        <w:sectPr>
          <w:pgSz w:w="11900" w:h="16838" w:orient="portrait"/>
          <w:cols w:equalWidth="0" w:num="1">
            <w:col w:w="9060"/>
          </w:cols>
          <w:pgMar w:left="1420" w:top="400" w:right="1419" w:bottom="1440" w:gutter="0" w:footer="0" w:header="0"/>
          <w:type w:val="continuous"/>
        </w:sectPr>
      </w:pPr>
    </w:p>
    <w:bookmarkStart w:id="8" w:name="page9"/>
    <w:bookmarkEnd w:id="8"/>
    <w:p>
      <w:pPr>
        <w:ind w:left="3440" w:right="199"/>
        <w:spacing w:after="0" w:line="27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561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5611495"/>
                    </a:xfrm>
                    <a:prstGeom prst="rect">
                      <a:avLst/>
                    </a:prstGeom>
                    <a:noFill/>
                  </pic:spPr>
                </pic:pic>
              </a:graphicData>
            </a:graphic>
          </wp:anchor>
        </w:drawing>
        <w:t>information included in or incorporated by reference in this prospectus supplement and the accompanying prospectus.</w:t>
      </w:r>
    </w:p>
    <w:p>
      <w:pPr>
        <w:spacing w:after="0" w:line="171" w:lineRule="exact"/>
        <w:rPr>
          <w:sz w:val="20"/>
          <w:szCs w:val="20"/>
          <w:color w:val="auto"/>
        </w:rPr>
      </w:pPr>
    </w:p>
    <w:p>
      <w:pPr>
        <w:ind w:left="140"/>
        <w:spacing w:after="0"/>
        <w:tabs>
          <w:tab w:leader="none" w:pos="3420" w:val="left"/>
        </w:tabs>
        <w:rPr>
          <w:sz w:val="20"/>
          <w:szCs w:val="20"/>
          <w:color w:val="auto"/>
        </w:rPr>
      </w:pPr>
      <w:r>
        <w:rPr>
          <w:rFonts w:ascii="Times New Roman" w:cs="Times New Roman" w:eastAsia="Times New Roman" w:hAnsi="Times New Roman"/>
          <w:sz w:val="15"/>
          <w:szCs w:val="15"/>
          <w:b w:val="1"/>
          <w:bCs w:val="1"/>
          <w:color w:val="auto"/>
        </w:rPr>
        <w:t>The Nasdaq Global Market symbol</w:t>
      </w:r>
      <w:r>
        <w:rPr>
          <w:sz w:val="20"/>
          <w:szCs w:val="20"/>
          <w:color w:val="auto"/>
        </w:rPr>
        <w:tab/>
      </w:r>
      <w:r>
        <w:rPr>
          <w:rFonts w:ascii="Times New Roman" w:cs="Times New Roman" w:eastAsia="Times New Roman" w:hAnsi="Times New Roman"/>
          <w:sz w:val="14"/>
          <w:szCs w:val="14"/>
          <w:color w:val="auto"/>
        </w:rPr>
        <w:t>“IVVD”</w:t>
      </w:r>
    </w:p>
    <w:p>
      <w:pPr>
        <w:spacing w:after="0" w:line="195" w:lineRule="exact"/>
        <w:rPr>
          <w:sz w:val="20"/>
          <w:szCs w:val="20"/>
          <w:color w:val="auto"/>
        </w:rPr>
      </w:pPr>
    </w:p>
    <w:p>
      <w:pPr>
        <w:ind w:left="3460" w:right="219"/>
        <w:spacing w:after="0" w:line="253" w:lineRule="auto"/>
        <w:rPr>
          <w:sz w:val="20"/>
          <w:szCs w:val="20"/>
          <w:color w:val="auto"/>
        </w:rPr>
      </w:pPr>
      <w:r>
        <w:rPr>
          <w:rFonts w:ascii="Times New Roman" w:cs="Times New Roman" w:eastAsia="Times New Roman" w:hAnsi="Times New Roman"/>
          <w:sz w:val="15"/>
          <w:szCs w:val="15"/>
          <w:color w:val="auto"/>
        </w:rPr>
        <w:t>There is no established trading market for the pre-funded warrants and we do not expect a market to develop. We do not intend to list the pre-funded warrants on The Nasdaq Global Market, any other nationally recognized securities exchange or any other nationally recognized trading system. Without an active trading market, the liquidity of the pre-funded warrants will be limited.</w:t>
      </w: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Outstanding Shares</w:t>
      </w:r>
    </w:p>
    <w:p>
      <w:pPr>
        <w:spacing w:after="0" w:line="95" w:lineRule="exact"/>
        <w:rPr>
          <w:sz w:val="20"/>
          <w:szCs w:val="20"/>
          <w:color w:val="auto"/>
        </w:rPr>
      </w:pPr>
    </w:p>
    <w:p>
      <w:pPr>
        <w:ind w:left="140" w:right="299"/>
        <w:spacing w:after="0" w:line="310" w:lineRule="auto"/>
        <w:rPr>
          <w:sz w:val="20"/>
          <w:szCs w:val="20"/>
          <w:color w:val="auto"/>
        </w:rPr>
      </w:pPr>
      <w:r>
        <w:rPr>
          <w:rFonts w:ascii="Times New Roman" w:cs="Times New Roman" w:eastAsia="Times New Roman" w:hAnsi="Times New Roman"/>
          <w:sz w:val="14"/>
          <w:szCs w:val="14"/>
          <w:color w:val="auto"/>
        </w:rPr>
        <w:t>The number of shares of our common stock to be outstanding after this offering is based on 120,142,811 shares of our common stock outstanding as of June 30, 2025. Unless specifically stated otherwise, the information in this prospectus supplement is as of June 30, 2025, and excludes:</w:t>
      </w:r>
    </w:p>
    <w:p>
      <w:pPr>
        <w:spacing w:after="0" w:line="38" w:lineRule="exact"/>
        <w:rPr>
          <w:sz w:val="20"/>
          <w:szCs w:val="20"/>
          <w:color w:val="auto"/>
        </w:rPr>
      </w:pPr>
    </w:p>
    <w:p>
      <w:pPr>
        <w:ind w:left="900" w:right="419" w:hanging="336"/>
        <w:spacing w:after="0" w:line="273" w:lineRule="auto"/>
        <w:tabs>
          <w:tab w:leader="none" w:pos="9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21,215,534 shares of our common stock issuable upon the exercise of stock options outstanding as of June 30, 2025 at a weighted-average exercise price of $3.21 per share;</w:t>
      </w:r>
    </w:p>
    <w:p>
      <w:pPr>
        <w:spacing w:after="0" w:line="61" w:lineRule="exact"/>
        <w:rPr>
          <w:rFonts w:ascii="Times New Roman" w:cs="Times New Roman" w:eastAsia="Times New Roman" w:hAnsi="Times New Roman"/>
          <w:sz w:val="15"/>
          <w:szCs w:val="15"/>
          <w:color w:val="auto"/>
        </w:rPr>
      </w:pPr>
    </w:p>
    <w:p>
      <w:pPr>
        <w:ind w:left="900" w:right="419" w:hanging="336"/>
        <w:spacing w:after="0" w:line="273" w:lineRule="auto"/>
        <w:tabs>
          <w:tab w:leader="none" w:pos="9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1,700,000 shares of our common stock issuable upon the vesting and settlement of restricted stock units outstanding as of June 30, 2025, of which 561,000 shares of our common stock underlying such restricted stock units vested on August 15, 2025;</w:t>
      </w:r>
    </w:p>
    <w:p>
      <w:pPr>
        <w:spacing w:after="0" w:line="61" w:lineRule="exact"/>
        <w:rPr>
          <w:rFonts w:ascii="Times New Roman" w:cs="Times New Roman" w:eastAsia="Times New Roman" w:hAnsi="Times New Roman"/>
          <w:sz w:val="15"/>
          <w:szCs w:val="15"/>
          <w:color w:val="auto"/>
        </w:rPr>
      </w:pPr>
    </w:p>
    <w:p>
      <w:pPr>
        <w:ind w:left="900" w:right="419" w:hanging="336"/>
        <w:spacing w:after="0" w:line="273" w:lineRule="auto"/>
        <w:tabs>
          <w:tab w:leader="none" w:pos="9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13,765,525 shares of our common stock reserved for future issuance under our 2021 Equity Incentive Plan (the “2021 Plan”) as of June 30, 2025;</w:t>
      </w:r>
    </w:p>
    <w:p>
      <w:pPr>
        <w:spacing w:after="0" w:line="61" w:lineRule="exact"/>
        <w:rPr>
          <w:rFonts w:ascii="Times New Roman" w:cs="Times New Roman" w:eastAsia="Times New Roman" w:hAnsi="Times New Roman"/>
          <w:sz w:val="15"/>
          <w:szCs w:val="15"/>
          <w:color w:val="auto"/>
        </w:rPr>
      </w:pPr>
    </w:p>
    <w:p>
      <w:pPr>
        <w:ind w:left="900" w:right="479" w:hanging="336"/>
        <w:spacing w:after="0" w:line="273" w:lineRule="auto"/>
        <w:tabs>
          <w:tab w:leader="none" w:pos="9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6,824,712 shares of our common stock issuable upon exercise of warrants outstanding as of June 30, 2025, which had a weighted average exercise price of $3.48 per share at that date;</w:t>
      </w:r>
    </w:p>
    <w:p>
      <w:pPr>
        <w:spacing w:after="0" w:line="61" w:lineRule="exact"/>
        <w:rPr>
          <w:rFonts w:ascii="Times New Roman" w:cs="Times New Roman" w:eastAsia="Times New Roman" w:hAnsi="Times New Roman"/>
          <w:sz w:val="15"/>
          <w:szCs w:val="15"/>
          <w:color w:val="auto"/>
        </w:rPr>
      </w:pPr>
    </w:p>
    <w:p>
      <w:pPr>
        <w:ind w:left="900" w:right="279" w:hanging="336"/>
        <w:spacing w:after="0" w:line="273" w:lineRule="auto"/>
        <w:tabs>
          <w:tab w:leader="none" w:pos="9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661,116 shares of our common stock reserved for future issuance under our 2021 Employee Stock Purchase Plan (the “ESPP”), as of June 30, 2025; and</w:t>
      </w:r>
    </w:p>
    <w:p>
      <w:pPr>
        <w:spacing w:after="0" w:line="61" w:lineRule="exact"/>
        <w:rPr>
          <w:rFonts w:ascii="Times New Roman" w:cs="Times New Roman" w:eastAsia="Times New Roman" w:hAnsi="Times New Roman"/>
          <w:sz w:val="15"/>
          <w:szCs w:val="15"/>
          <w:color w:val="auto"/>
        </w:rPr>
      </w:pPr>
    </w:p>
    <w:p>
      <w:pPr>
        <w:ind w:left="900" w:right="219" w:hanging="336"/>
        <w:spacing w:after="0" w:line="273" w:lineRule="auto"/>
        <w:tabs>
          <w:tab w:leader="none" w:pos="9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pre-funded warrants to purchase up to 21,342,442 shares of our common stock at an exercise price of $0.0001 per share being offered pursuant to this prospectus supplement.</w:t>
      </w:r>
    </w:p>
    <w:p>
      <w:pPr>
        <w:spacing w:after="0" w:line="1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Unless otherwise indicated, all information in this prospectus supplement reflects or assumes the following:</w:t>
      </w:r>
    </w:p>
    <w:p>
      <w:pPr>
        <w:spacing w:after="0" w:line="105" w:lineRule="exact"/>
        <w:rPr>
          <w:sz w:val="20"/>
          <w:szCs w:val="20"/>
          <w:color w:val="auto"/>
        </w:rPr>
      </w:pPr>
    </w:p>
    <w:p>
      <w:pPr>
        <w:ind w:left="900" w:right="539" w:hanging="336"/>
        <w:spacing w:after="0" w:line="273" w:lineRule="auto"/>
        <w:tabs>
          <w:tab w:leader="none" w:pos="9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Exclusion of the forfeiture of stock options to acquire 332,990 shares of our common stock subsequent to June 30, 2025 through August 1, 2025;</w:t>
      </w:r>
    </w:p>
    <w:p>
      <w:pPr>
        <w:spacing w:after="0" w:line="61" w:lineRule="exact"/>
        <w:rPr>
          <w:rFonts w:ascii="Times New Roman" w:cs="Times New Roman" w:eastAsia="Times New Roman" w:hAnsi="Times New Roman"/>
          <w:sz w:val="15"/>
          <w:szCs w:val="15"/>
          <w:color w:val="auto"/>
        </w:rPr>
      </w:pPr>
    </w:p>
    <w:p>
      <w:pPr>
        <w:ind w:left="900" w:right="319" w:hanging="336"/>
        <w:spacing w:after="0" w:line="273" w:lineRule="auto"/>
        <w:tabs>
          <w:tab w:leader="none" w:pos="9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Exclusion of 509,500 shares of our common stock underlying equity awards granted subsequent to June 30, 2025 through August 1, 2025;</w:t>
      </w:r>
    </w:p>
    <w:p>
      <w:pPr>
        <w:spacing w:after="0" w:line="61" w:lineRule="exact"/>
        <w:rPr>
          <w:rFonts w:ascii="Times New Roman" w:cs="Times New Roman" w:eastAsia="Times New Roman" w:hAnsi="Times New Roman"/>
          <w:sz w:val="15"/>
          <w:szCs w:val="15"/>
          <w:color w:val="auto"/>
        </w:rPr>
      </w:pPr>
    </w:p>
    <w:p>
      <w:pPr>
        <w:ind w:left="900" w:hanging="336"/>
        <w:spacing w:after="0"/>
        <w:tabs>
          <w:tab w:leader="none" w:pos="9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of stock options to acquire shares of our common stock subsequent to June 30, 2025 through August 1, 2025;</w:t>
      </w:r>
    </w:p>
    <w:p>
      <w:pPr>
        <w:spacing w:after="0" w:line="104" w:lineRule="exact"/>
        <w:rPr>
          <w:rFonts w:ascii="Times New Roman" w:cs="Times New Roman" w:eastAsia="Times New Roman" w:hAnsi="Times New Roman"/>
          <w:sz w:val="15"/>
          <w:szCs w:val="15"/>
          <w:color w:val="auto"/>
        </w:rPr>
      </w:pPr>
    </w:p>
    <w:p>
      <w:pPr>
        <w:ind w:left="900" w:hanging="336"/>
        <w:spacing w:after="0"/>
        <w:tabs>
          <w:tab w:leader="none" w:pos="9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by the underwriters of their option to purchase additional shares of our common stock; and</w:t>
      </w:r>
    </w:p>
    <w:p>
      <w:pPr>
        <w:spacing w:after="0" w:line="104" w:lineRule="exact"/>
        <w:rPr>
          <w:rFonts w:ascii="Times New Roman" w:cs="Times New Roman" w:eastAsia="Times New Roman" w:hAnsi="Times New Roman"/>
          <w:sz w:val="15"/>
          <w:szCs w:val="15"/>
          <w:color w:val="auto"/>
        </w:rPr>
      </w:pPr>
    </w:p>
    <w:p>
      <w:pPr>
        <w:ind w:left="900" w:hanging="336"/>
        <w:spacing w:after="0"/>
        <w:tabs>
          <w:tab w:leader="none" w:pos="9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of the pre-funded warrants offered hereby.</w:t>
      </w:r>
    </w:p>
    <w:p>
      <w:pPr>
        <w:spacing w:after="0" w:line="182" w:lineRule="exact"/>
        <w:rPr>
          <w:sz w:val="20"/>
          <w:szCs w:val="20"/>
          <w:color w:val="auto"/>
        </w:rPr>
      </w:pPr>
    </w:p>
    <w:p>
      <w:pPr>
        <w:ind w:left="140" w:right="179"/>
        <w:spacing w:after="0" w:line="225" w:lineRule="auto"/>
        <w:rPr>
          <w:sz w:val="20"/>
          <w:szCs w:val="20"/>
          <w:color w:val="auto"/>
        </w:rPr>
      </w:pPr>
      <w:r>
        <w:rPr>
          <w:rFonts w:ascii="Times New Roman" w:cs="Times New Roman" w:eastAsia="Times New Roman" w:hAnsi="Times New Roman"/>
          <w:sz w:val="15"/>
          <w:szCs w:val="15"/>
          <w:color w:val="auto"/>
        </w:rPr>
        <w:t>Up to $75.0 million of shares of our common stock may be sold from time to time under our Controlled Equity Offering</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5"/>
          <w:szCs w:val="15"/>
          <w:color w:val="auto"/>
        </w:rPr>
        <w:t xml:space="preserve"> Sales Agreement with Cantor Fitzgerald &amp; Co., as sales agent, that we entered into on December 22, 2023 (the “Sales Agreement”). As of the date of this prospectus supplement, we have sold 9,000,000 shares of our common stock under the Sales Agreement at an average price of $4.50, which has resulted in net proceeds of approximately $39.3 million, and $34.5 million remains available for sale under the Sales Agreement.</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S-7</w:t>
      </w:r>
    </w:p>
    <w:p>
      <w:pPr>
        <w:sectPr>
          <w:pgSz w:w="11900" w:h="16838" w:orient="portrait"/>
          <w:cols w:equalWidth="0" w:num="1">
            <w:col w:w="9019"/>
          </w:cols>
          <w:pgMar w:left="1440" w:top="402"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RISK FACTORS</w:t>
      </w:r>
    </w:p>
    <w:p>
      <w:pPr>
        <w:spacing w:after="0" w:line="18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5"/>
          <w:szCs w:val="15"/>
          <w:i w:val="1"/>
          <w:iCs w:val="1"/>
          <w:color w:val="auto"/>
        </w:rPr>
        <w:t>Investing in our securities involves a high degree of risk. Before investing in our securities, you should carefully consider the risks described below, together with all of the other information contained in this prospectus supplement and the accompanying prospectus and incorporated by reference herein and therein, including from our most recent Annual Report on Form 10-K and Quarterly Reports on Form 10-Q and from our Current Reports on Form 8-K, as well as any amendments or updates to our risk factors thereto reflected in subsequent filings with the SEC. Some of these factors relate principally to our business and the industry in which we operate. Other factors relate principally to your investment in our securities. The risks and uncertainties described therein and below are not the only risks facing us. Additional risks and uncertainties not presently known to us or that we currently deem immaterial may also materially and adversely affect our business and operations.</w:t>
      </w:r>
    </w:p>
    <w:p>
      <w:pPr>
        <w:spacing w:after="0" w:line="156"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5"/>
          <w:szCs w:val="15"/>
          <w:i w:val="1"/>
          <w:iCs w:val="1"/>
          <w:color w:val="auto"/>
        </w:rPr>
        <w:t>If any of the matters included in the following risks were to occur, our business, financial condition, results of operations, cash flows or prospects could be materially and adversely affected. In such case, you may lose all or part of your investment.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this Offering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You will experience immediate and substantial dilution if you purchase our securities in this offering.</w:t>
      </w:r>
    </w:p>
    <w:p>
      <w:pPr>
        <w:spacing w:after="0" w:line="9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5"/>
          <w:szCs w:val="15"/>
          <w:color w:val="auto"/>
        </w:rPr>
        <w:t>Since the indicative price per share of our common stock and the price per pre-funded warrant in this offering is higher than the as-adjusted net tangible book value per share of our common stock outstanding prior to this offering, you will suffer substantial dilution with respect to the securities you purchase in this offering. Our net tangible book value as of June 30, 2025 was approximately $42.8 million, or $0.36 per share of our common stock, based on 120,142,811 shares of our common stock outstanding on June 30, 2025.</w:t>
      </w:r>
    </w:p>
    <w:p>
      <w:pPr>
        <w:spacing w:after="0" w:line="15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5"/>
          <w:szCs w:val="15"/>
          <w:color w:val="auto"/>
        </w:rPr>
        <w:t>Based on the public offering price of $0.52 per share of common stock and $0.5199 per pre-funded warrant (which equals the public offering price per share of common stock less the $0.0001 per share exercise price of each such pre-funded warrant) (and including shares of common stock issued and any proceeds received upon exercise of the pre-funded warrants, but excluding any resulting accounting associated with the pre-funded warrants), and after deducting underwriting discounts and commissions and estimated offering expenses payable by us, our as-adjusted net tangible book value as of June 30, 2025 would have been approximately $89.3 million, or approximately $0.41 per share of our common stock. As a result, investors purchasing securities in this offering will experience immediate dilution of $0.11 per share. As a result of the dilution to investors purchasing securities in this offering, investors may receive significantly less than the purchase price paid in this offering, if anything, in the event of our liquidation. See the section entitled “Dilution” on page S-14 of this prospectus supplement for a more detailed discussion of the dilution you will incur if you purchase shares of our common stock or pre-funded warrants in this offering.</w:t>
      </w:r>
    </w:p>
    <w:p>
      <w:pPr>
        <w:spacing w:after="0" w:line="1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addition, as of June 30, 2025, we had outstanding (i) options to purchase 21,215,534 shares of our common stock at a weighted-average exercise price of $3.21 per share pursuant to our 2020 Equity Incentive Plan (the “2020 Plan”) and the 2021 Plan, (ii) warrants to purchase 6,824,712 shares of our common stock at a weighted-average exercise price of $3.48 per share, and (iii) 1,700,000 shares of common stock underlying restricted stock units, of which 561,000 shares of our common stock underlying such restricted stock units vested on August 15, 2025. As of June 30, 2025, there were no shares of our common stock reserved for future issuance under the 2020 Plan, 13,765,525 shares of our common stock reserved for future issuance under the 2021 Plan and 661,116 shares of our common stock reserved for future issuance under the ESPP. The shares of our common stock issuable under the 2020 Plan, the 2021 Plan and the ESPP may be immediately eligible for resale in the open market. Sale of such shares, along with any other market transactions, could adversely affect the market price of our common stock. Additional dilution may result from the issuance of shares of our common stock pursuant to such plans, upon vesting and settlement of any stock awards under any such plan, or upon exercise of any such outstanding options.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S-8</w:t>
      </w:r>
    </w:p>
    <w:p>
      <w:pPr>
        <w:sectPr>
          <w:pgSz w:w="11900" w:h="16838" w:orient="portrait"/>
          <w:cols w:equalWidth="0" w:num="1">
            <w:col w:w="9040"/>
          </w:cols>
          <w:pgMar w:left="1420" w:top="245" w:right="1439" w:bottom="1440" w:gutter="0" w:footer="0" w:header="0"/>
        </w:sectPr>
      </w:pPr>
    </w:p>
    <w:bookmarkStart w:id="10" w:name="page11"/>
    <w:bookmarkEnd w:id="10"/>
    <w:p>
      <w:pPr>
        <w:ind w:right="20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Substantial future sales or other issuances of our common stock could depress the market for our common stock and you could experience future dilution as a result of such future sales or other issuances.</w:t>
      </w:r>
    </w:p>
    <w:p>
      <w:pPr>
        <w:spacing w:after="0" w:line="4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5"/>
          <w:szCs w:val="15"/>
          <w:color w:val="auto"/>
        </w:rPr>
        <w:t>Sales of a substantial number of shares of our common stock, or the perception by the market that those sales could occur, could cause the market price of our common stock to decline or could make it more difficult for us to raise funds through the sale of equity in the future.</w:t>
      </w:r>
    </w:p>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5"/>
          <w:szCs w:val="15"/>
          <w:color w:val="auto"/>
        </w:rPr>
        <w:t>In connection with this offering, we and our directors and executive officers have entered into lock-up agreements for a period of 60 days following this offering. We and our directors and executive officers may be released from such lock-up agreements prior to the expiration of the lock-up period at the sole discretion of Cantor Fitzgerald &amp; Co. For more information, see the section entitled “Underwriting” beginning on page S-25 of this prospectus supplement. Upon expiration or earlier release of the lock-up, we and our directors and executive officers may sell shares into the market, which could adversely affect the market price of shares of our common stock.</w:t>
      </w:r>
    </w:p>
    <w:p>
      <w:pPr>
        <w:spacing w:after="0" w:line="15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5"/>
          <w:szCs w:val="15"/>
          <w:color w:val="auto"/>
        </w:rPr>
        <w:t>We have previously entered into the Sales Agreement, pursuant to which, from time to time, we may offer and sell shares of our common stock with an aggregate offering price of up to $75.0 million under an “at-the-market” offering program. As of the date of this prospectus supplement, we have sold $39.3 million in net proceeds pursuant to the Sales Agreement, and $34.5 million remains available under our at-the-market offering program. To the extent that we sell shares of our common stock pursuant to our at-the-market offering program, investors purchasing shares of common stock in this offering could experience further dilution.</w:t>
      </w:r>
    </w:p>
    <w:p>
      <w:pPr>
        <w:spacing w:after="0" w:line="155"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5"/>
          <w:szCs w:val="15"/>
          <w:color w:val="auto"/>
        </w:rPr>
        <w:t>In addition, certain of our employees, executive officers, and directors have entered or may enter into Rule 10b5-1 trading plans providing for sales of shares of our common stock from time to time. Under a Rule 10b5-1 trading plan, a broker executes trades pursuant to parameters established by the employee, director, or officer when entering into the plan, without further direction from the employee, officer, or director. A Rule 10b5-1 trading plan may be amended or terminated in some circumstances. Our employees, executive officers, and directors also may buy or sell shares without a Rule 10b5-1 trading plan, in accordance with our insider trading prevention policy and procedures, when they are not in possession of material, nonpublic information, subject to the expiration of the lock-up agreements, if applicable, described in “Underwriting” beginning on page S-25 of this prospectus supplement.</w:t>
      </w:r>
    </w:p>
    <w:p>
      <w:pPr>
        <w:spacing w:after="0" w:line="156"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5"/>
          <w:szCs w:val="15"/>
          <w:color w:val="auto"/>
        </w:rPr>
        <w:t>To satisfy our anticipated funding requirements, we may in the future offer and issue additional shares of our common stock or other securities convertible into, exercisable or exchangeable for, or settled in,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exercisable or exchangeable for, or settled in, our common stock in future transactions may be higher or lower than the price per share in this offering.</w:t>
      </w:r>
    </w:p>
    <w:p>
      <w:pPr>
        <w:spacing w:after="0" w:line="239"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We have broad discretion in how we use the net proceeds of this offering and, despite our efforts, we may not use these net proceeds effectively or in ways with which you agree.</w:t>
      </w:r>
    </w:p>
    <w:p>
      <w:pPr>
        <w:spacing w:after="0" w:line="4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We intend to use the net proceeds from this offering, together with our existing cash and cash equivalents, for trial protocol development, planning, and advancement of the VYD2311 clinical program, research and development related to our pipeline programs such as RSV and measles, advancement of the SPEAR Study Group efforts related to assessing the effects of mAb therapy for Long COVID and COVID-19 Post-Vaccination Syndrome, and for working capital and other general corporate purposes. However, we have not determined the specific allocation of the net proceeds among these potential uses. Our management will have broad discretion over the use and investment of the net proceeds of this offering, and, accordingly, investors in this offering will need to rely upon the judgment of our management with respect to the use of proceeds, with only limited information concerning our specific intentions. Our stockholders may not agree with the manner in which our management chooses to allocate and spend the net proceeds. Moreover, our management may use the net proceeds for corporate purposes that may not increase the market price of our common stock. Please see the section entitled “Use of Proceeds” on page S-13 of this prospectus supplement for further information.</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S-9</w:t>
      </w:r>
    </w:p>
    <w:p>
      <w:pPr>
        <w:sectPr>
          <w:pgSz w:w="11900" w:h="16838" w:orient="portrait"/>
          <w:cols w:equalWidth="0" w:num="1">
            <w:col w:w="9040"/>
          </w:cols>
          <w:pgMar w:left="1420" w:top="243" w:right="1439" w:bottom="1440" w:gutter="0" w:footer="0" w:header="0"/>
        </w:sectPr>
      </w:pPr>
    </w:p>
    <w:bookmarkStart w:id="11" w:name="page12"/>
    <w:bookmarkEnd w:id="11"/>
    <w:p>
      <w:pPr>
        <w:ind w:right="12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We do not anticipate paying any cash dividends on our capital stock in the foreseeable future; accordingly, capital appreciation, if any, will be your sole source of gain and you may never receive a return on your investment.</w:t>
      </w:r>
    </w:p>
    <w:p>
      <w:pPr>
        <w:spacing w:after="0" w:line="4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5"/>
          <w:szCs w:val="15"/>
          <w:color w:val="auto"/>
        </w:rPr>
        <w:t>We have never declared or paid cash dividends on our capital stock, and you should not rely on an investment in our common stock to provide dividend income. We currently intend to retain all of our future earnings, if any, to finance the growth and development of our business and do not anticipate declaring or paying any cash dividends for the foreseeable future. In addition, our loan and security agreement with Silicon Valley Bank prohibits us, and the terms of any future debt agreements may also preclude us, from paying cash dividends. As a result, capital appreciation, if any, of our common stock will be your sole source of gain for the foreseeable future. Furthermore, we may in the future become subject to additional contractual restrictions on, or prohibitions against, the payment of dividends.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There is no public market for the pre-funded warrants being offered in this offering.</w:t>
      </w:r>
    </w:p>
    <w:p>
      <w:pPr>
        <w:spacing w:after="0" w:line="97"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5"/>
          <w:szCs w:val="15"/>
          <w:color w:val="auto"/>
        </w:rPr>
        <w:t>There is no public trading market for the pre-funded warrants being offered in this offering, and we do not expect a market to develop. In addition, we do not intend to list the pre-funded warrants on The Nasdaq Global Market or any other national securities exchange or nationally recognized trading system. Without an active trading market, the liquidity of the pre-funded warrants will be limited.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receive any meaningful amount of additional funds upon the exercise of the pre-funded warrants.</w:t>
      </w:r>
    </w:p>
    <w:p>
      <w:pPr>
        <w:spacing w:after="0" w:line="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5"/>
          <w:szCs w:val="15"/>
          <w:color w:val="auto"/>
        </w:rPr>
        <w:t>Each pre-funded warrant will be exercisable by means of payment of the nominal cash purchase price upon exercise or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exercise of the pre-funded warrants or if the pre-funded warrants altogether are not exercised at all. In addition, the pre-funded warrants have an exercise price of $0.0001 per share of common stock, and as a result we will not receive significant additional funds upon their exercise even if not a cashless exercise.</w:t>
      </w:r>
    </w:p>
    <w:p>
      <w:pPr>
        <w:spacing w:after="0" w:line="239"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Except for the right to participate in certain dividends and distributions, holders of the pre-funded warrants will have no rights as common stockholders until such holders exercise their pre-funded warrants and acquire shares of our common stock.</w:t>
      </w:r>
    </w:p>
    <w:p>
      <w:pPr>
        <w:spacing w:after="0" w:line="48" w:lineRule="exact"/>
        <w:rPr>
          <w:sz w:val="20"/>
          <w:szCs w:val="20"/>
          <w:color w:val="auto"/>
        </w:rPr>
      </w:pPr>
    </w:p>
    <w:p>
      <w:pPr>
        <w:jc w:val="both"/>
        <w:ind w:right="180"/>
        <w:spacing w:after="0" w:line="287" w:lineRule="auto"/>
        <w:rPr>
          <w:sz w:val="20"/>
          <w:szCs w:val="20"/>
          <w:color w:val="auto"/>
        </w:rPr>
      </w:pPr>
      <w:r>
        <w:rPr>
          <w:rFonts w:ascii="Times New Roman" w:cs="Times New Roman" w:eastAsia="Times New Roman" w:hAnsi="Times New Roman"/>
          <w:sz w:val="14"/>
          <w:szCs w:val="14"/>
          <w:color w:val="auto"/>
        </w:rPr>
        <w:t>Until holders of the pre-funded warrants exercise their pre-funded warrants and acquire shares of our common stock, such holders will have no rights with respect to the shares of our common stock underlying such pre-funded warrants, except that the holder of a pre-funded warrant will be entitled to participate in certain distributions, if any, to all holders of our common stock for no consideration, subject to certain ownership limitations.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Significant holders or beneficial holders of our common stock may not be permitted to exercise pre-funded warrants that they hold.</w:t>
      </w:r>
    </w:p>
    <w:p>
      <w:pPr>
        <w:spacing w:after="0" w:line="9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5"/>
          <w:szCs w:val="15"/>
          <w:color w:val="auto"/>
        </w:rPr>
        <w:t>A holder of a pre-funded warrant will not be entitled to exercise any portion of any pre-funded warrant which, upon giving effect to such exercise, would cause the aggregate number of shares of our common stock beneficially owned by the holder (together with its affiliates) to exceed 4.99% (or 9.99% at the initial election of the holder) of the number of shares of our common stock outstanding immediately after giving effect to the exercise, as such percentage ownership is determined in accordance with the terms of the pre-funded warrants. Such percentage may be increased by the holder of the pre-funded warrant to any other percentage not in excess of 19.99% upon at least 61 days’ prior notice from the holder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S-10</w:t>
      </w:r>
    </w:p>
    <w:p>
      <w:pPr>
        <w:sectPr>
          <w:pgSz w:w="11900" w:h="16838" w:orient="portrait"/>
          <w:cols w:equalWidth="0" w:num="1">
            <w:col w:w="9040"/>
          </w:cols>
          <w:pgMar w:left="1420" w:top="243" w:right="14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NOTE REGARDING FORWARD-LOOKING STATEMENTS</w:t>
      </w:r>
    </w:p>
    <w:p>
      <w:pPr>
        <w:spacing w:after="0" w:line="18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Various statements made in this prospectus supplement and in the documents incorporated by reference herein are forward-looking and involve risks and uncertainties. All statements that address activities, events or developments that we intend, expect or believe may occur in the future are forward-looking statements within the meaning of Section 27A of the Securities Act and Section 21E of the Exchange Act. Such statements give our current expectations or forecasts of future events and are not statements of historical or current facts. These statements include, among others, statements about:</w:t>
      </w:r>
    </w:p>
    <w:p>
      <w:pPr>
        <w:spacing w:after="0" w:line="60" w:lineRule="exact"/>
        <w:rPr>
          <w:sz w:val="20"/>
          <w:szCs w:val="20"/>
          <w:color w:val="auto"/>
        </w:rPr>
      </w:pPr>
    </w:p>
    <w:p>
      <w:pPr>
        <w:ind w:left="800" w:right="40" w:hanging="354"/>
        <w:spacing w:after="0" w:line="208" w:lineRule="auto"/>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related to the commercialization of PEMGARDA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xml:space="preserve"> (pemivibart), which received emergency use authorization (“EUA”) from the U.S. Food and Drug Administration (“FDA”) in March 2024, including our expectations about the potential market opportunity;</w:t>
      </w:r>
    </w:p>
    <w:p>
      <w:pPr>
        <w:spacing w:after="0" w:line="85"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 of PEMGARDA to keep pace with SARS-CoV-2 viral evolution;</w:t>
      </w:r>
    </w:p>
    <w:p>
      <w:pPr>
        <w:spacing w:after="0" w:line="104" w:lineRule="exact"/>
        <w:rPr>
          <w:rFonts w:ascii="Times New Roman" w:cs="Times New Roman" w:eastAsia="Times New Roman" w:hAnsi="Times New Roman"/>
          <w:sz w:val="15"/>
          <w:szCs w:val="15"/>
          <w:color w:val="auto"/>
        </w:rPr>
      </w:pPr>
    </w:p>
    <w:p>
      <w:pPr>
        <w:ind w:left="800" w:right="220" w:hanging="354"/>
        <w:spacing w:after="0" w:line="273" w:lineRule="auto"/>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VYD2311, our next generation monoclonal antibody (“mAb”) candidate for COVID-19, and the potential of VYD2311 to offer the ability to deliver clinically meaningful titer levels through more system- and patient-friendly means;</w:t>
      </w:r>
    </w:p>
    <w:p>
      <w:pPr>
        <w:spacing w:after="0" w:line="61" w:lineRule="exact"/>
        <w:rPr>
          <w:rFonts w:ascii="Times New Roman" w:cs="Times New Roman" w:eastAsia="Times New Roman" w:hAnsi="Times New Roman"/>
          <w:sz w:val="15"/>
          <w:szCs w:val="15"/>
          <w:color w:val="auto"/>
        </w:rPr>
      </w:pPr>
    </w:p>
    <w:p>
      <w:pPr>
        <w:ind w:left="800" w:right="100" w:hanging="354"/>
        <w:spacing w:after="0" w:line="273" w:lineRule="auto"/>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availability of a rapid pathway to potential Biologics License Application (“BLA”) approval for VYD2311 for the prevention of COVID-19 and the compact pivotal clinical trial that could support it;</w:t>
      </w:r>
    </w:p>
    <w:p>
      <w:pPr>
        <w:spacing w:after="0" w:line="61" w:lineRule="exact"/>
        <w:rPr>
          <w:rFonts w:ascii="Times New Roman" w:cs="Times New Roman" w:eastAsia="Times New Roman" w:hAnsi="Times New Roman"/>
          <w:sz w:val="15"/>
          <w:szCs w:val="15"/>
          <w:color w:val="auto"/>
        </w:rPr>
      </w:pPr>
    </w:p>
    <w:p>
      <w:pPr>
        <w:jc w:val="both"/>
        <w:ind w:left="800" w:right="80" w:hanging="354"/>
        <w:spacing w:after="0" w:line="260" w:lineRule="auto"/>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w:t>
      </w:r>
    </w:p>
    <w:p>
      <w:pPr>
        <w:spacing w:after="0" w:line="71" w:lineRule="exact"/>
        <w:rPr>
          <w:rFonts w:ascii="Times New Roman" w:cs="Times New Roman" w:eastAsia="Times New Roman" w:hAnsi="Times New Roman"/>
          <w:sz w:val="15"/>
          <w:szCs w:val="15"/>
          <w:color w:val="auto"/>
        </w:rPr>
      </w:pPr>
    </w:p>
    <w:p>
      <w:pPr>
        <w:ind w:left="800" w:right="80" w:hanging="354"/>
        <w:spacing w:after="0" w:line="273" w:lineRule="auto"/>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devotion to delivering protection from serious viral infectious diseases, and our aim to develop mAbs that could be used in prevention or treatment of serious viral diseases, starting with COVID-19 and potentially expanding into other high-need indications;</w:t>
      </w:r>
    </w:p>
    <w:p>
      <w:pPr>
        <w:spacing w:after="0" w:line="61" w:lineRule="exact"/>
        <w:rPr>
          <w:rFonts w:ascii="Times New Roman" w:cs="Times New Roman" w:eastAsia="Times New Roman" w:hAnsi="Times New Roman"/>
          <w:sz w:val="15"/>
          <w:szCs w:val="15"/>
          <w:color w:val="auto"/>
        </w:rPr>
      </w:pPr>
    </w:p>
    <w:p>
      <w:pPr>
        <w:ind w:left="800" w:right="80" w:hanging="354"/>
        <w:spacing w:after="0" w:line="273" w:lineRule="auto"/>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discovery efforts to assess pipeline expansion beyond SARS-CoV-2, including potential targets such as respiratory syncytial virus and measles;</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goal of establishing streamlined development pathways to efficiently introduce new mAb candidates targeting SARS-CoV-2;</w:t>
      </w:r>
    </w:p>
    <w:p>
      <w:pPr>
        <w:spacing w:after="0" w:line="104" w:lineRule="exact"/>
        <w:rPr>
          <w:rFonts w:ascii="Times New Roman" w:cs="Times New Roman" w:eastAsia="Times New Roman" w:hAnsi="Times New Roman"/>
          <w:sz w:val="15"/>
          <w:szCs w:val="15"/>
          <w:color w:val="auto"/>
        </w:rPr>
      </w:pPr>
    </w:p>
    <w:p>
      <w:pPr>
        <w:ind w:left="800" w:right="40" w:hanging="354"/>
        <w:spacing w:after="0" w:line="260" w:lineRule="auto"/>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regulatory pathway for our product candidates, including the anticipated timing of any submission of filings for regulatory authorization or approval of, and our ability to obtain and maintain regulatory authorizations or approvals for, our product candidates;</w:t>
      </w:r>
    </w:p>
    <w:p>
      <w:pPr>
        <w:spacing w:after="0" w:line="7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regarding SARS-CoV-2 variant monitoring of antiviral activity as part of our ongoing industrial virology effort;</w:t>
      </w:r>
    </w:p>
    <w:p>
      <w:pPr>
        <w:spacing w:after="0" w:line="104" w:lineRule="exact"/>
        <w:rPr>
          <w:rFonts w:ascii="Times New Roman" w:cs="Times New Roman" w:eastAsia="Times New Roman" w:hAnsi="Times New Roman"/>
          <w:sz w:val="15"/>
          <w:szCs w:val="15"/>
          <w:color w:val="auto"/>
        </w:rPr>
      </w:pPr>
    </w:p>
    <w:p>
      <w:pPr>
        <w:ind w:left="800" w:right="300" w:hanging="354"/>
        <w:spacing w:after="0" w:line="273" w:lineRule="auto"/>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size of the patient populations, market acceptance and opportunity for and clinical utility of our product candidates, if authorized or approved for commercial use;</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manufacturing capabilities and strategy, and our expectations regarding supply and demand of our product candidates;</w:t>
      </w:r>
    </w:p>
    <w:p>
      <w:pPr>
        <w:spacing w:after="0" w:line="104" w:lineRule="exact"/>
        <w:rPr>
          <w:rFonts w:ascii="Times New Roman" w:cs="Times New Roman" w:eastAsia="Times New Roman" w:hAnsi="Times New Roman"/>
          <w:sz w:val="15"/>
          <w:szCs w:val="15"/>
          <w:color w:val="auto"/>
        </w:rPr>
      </w:pPr>
    </w:p>
    <w:p>
      <w:pPr>
        <w:ind w:left="800" w:right="320" w:hanging="354"/>
        <w:spacing w:after="0" w:line="273" w:lineRule="auto"/>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commercialize our product candidates, if authorized or approved, including our distribution capabilities and strategy;</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identify and develop future product candidates;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SPEAR Study Group, including its anticipated focus, goals and plans;</w:t>
      </w:r>
    </w:p>
    <w:p>
      <w:pPr>
        <w:spacing w:after="0" w:line="104" w:lineRule="exact"/>
        <w:rPr>
          <w:rFonts w:ascii="Times New Roman" w:cs="Times New Roman" w:eastAsia="Times New Roman" w:hAnsi="Times New Roman"/>
          <w:sz w:val="15"/>
          <w:szCs w:val="15"/>
          <w:color w:val="auto"/>
        </w:rPr>
      </w:pPr>
    </w:p>
    <w:p>
      <w:pPr>
        <w:ind w:left="800" w:right="20" w:hanging="354"/>
        <w:spacing w:after="0" w:line="273" w:lineRule="auto"/>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of our expenses, ongoing losses, future potential revenue, capital requirements and our need for or ability to obtain additional funding;</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ability to continue as a going concern;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S-11</w:t>
      </w:r>
    </w:p>
    <w:p>
      <w:pPr>
        <w:sectPr>
          <w:pgSz w:w="11900" w:h="16838" w:orient="portrait"/>
          <w:cols w:equalWidth="0" w:num="1">
            <w:col w:w="9040"/>
          </w:cols>
          <w:pgMar w:left="1420" w:top="245" w:right="1439" w:bottom="1440" w:gutter="0" w:footer="0" w:header="0"/>
        </w:sectPr>
      </w:pPr>
    </w:p>
    <w:bookmarkStart w:id="13" w:name="page14"/>
    <w:bookmarkEnd w:id="13"/>
    <w:p>
      <w:pPr>
        <w:ind w:left="800" w:hanging="354"/>
        <w:spacing w:after="0"/>
        <w:tabs>
          <w:tab w:leader="none" w:pos="8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our competitive position and the development of and projections relating to our competitors or our industry; and</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intended use of proceeds from this offering.</w:t>
      </w:r>
    </w:p>
    <w:p>
      <w:pPr>
        <w:spacing w:after="0" w:line="182" w:lineRule="exact"/>
        <w:rPr>
          <w:sz w:val="20"/>
          <w:szCs w:val="20"/>
          <w:color w:val="auto"/>
        </w:rPr>
      </w:pPr>
    </w:p>
    <w:p>
      <w:pPr>
        <w:ind w:right="19"/>
        <w:spacing w:after="0" w:line="250" w:lineRule="auto"/>
        <w:rPr>
          <w:sz w:val="20"/>
          <w:szCs w:val="20"/>
          <w:color w:val="auto"/>
        </w:rPr>
      </w:pPr>
      <w:r>
        <w:rPr>
          <w:rFonts w:ascii="Times New Roman" w:cs="Times New Roman" w:eastAsia="Times New Roman" w:hAnsi="Times New Roman"/>
          <w:sz w:val="15"/>
          <w:szCs w:val="15"/>
          <w:color w:val="auto"/>
        </w:rPr>
        <w:t>We cannot guarantee that the results and other expectations expressed, anticipated or implied in any forward-looking statement will be realized. The risks set forth under Item 1A of our Annual Report on Form 10-K for the fiscal year ended December 31, 2024 and any supplementary risks set forth under Item 1A of our Quarterly Reports on Form 10-Q and other documents we file with the SEC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You should read and interpret any forward-looking statements in light of these risks.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158" w:lineRule="exact"/>
        <w:rPr>
          <w:sz w:val="20"/>
          <w:szCs w:val="20"/>
          <w:color w:val="auto"/>
        </w:rPr>
      </w:pPr>
    </w:p>
    <w:p>
      <w:pPr>
        <w:ind w:right="159"/>
        <w:spacing w:after="0" w:line="255" w:lineRule="auto"/>
        <w:rPr>
          <w:sz w:val="20"/>
          <w:szCs w:val="20"/>
          <w:color w:val="auto"/>
        </w:rPr>
      </w:pPr>
      <w:r>
        <w:rPr>
          <w:rFonts w:ascii="Times New Roman" w:cs="Times New Roman" w:eastAsia="Times New Roman" w:hAnsi="Times New Roman"/>
          <w:sz w:val="15"/>
          <w:szCs w:val="15"/>
          <w:color w:val="auto"/>
        </w:rPr>
        <w:t>You should read this prospectus supplement, the accompanying prospectus and the documents that we incorporate by reference herein and therein completely and with the understanding that our actual future results may be materially different from what we expect. The forward-looking statements contained in this prospectus supplement are made as of the date of this prospectus supplement and we do not assume any obligation to update any forward-looking statements, whether as a result of new information, future events or otherwise, except as required by applicable law.</w:t>
      </w:r>
    </w:p>
    <w:p>
      <w:pPr>
        <w:spacing w:after="0" w:line="153" w:lineRule="exact"/>
        <w:rPr>
          <w:sz w:val="20"/>
          <w:szCs w:val="20"/>
          <w:color w:val="auto"/>
        </w:rPr>
      </w:pPr>
    </w:p>
    <w:p>
      <w:pPr>
        <w:ind w:right="19"/>
        <w:spacing w:after="0" w:line="253" w:lineRule="auto"/>
        <w:rPr>
          <w:sz w:val="20"/>
          <w:szCs w:val="20"/>
          <w:color w:val="auto"/>
        </w:rPr>
      </w:pPr>
      <w:r>
        <w:rPr>
          <w:rFonts w:ascii="Times New Roman" w:cs="Times New Roman" w:eastAsia="Times New Roman" w:hAnsi="Times New Roman"/>
          <w:sz w:val="15"/>
          <w:szCs w:val="15"/>
          <w:color w:val="auto"/>
        </w:rPr>
        <w:t>In addition, statements that “we believe” and similar statements reflect our beliefs and opinions on the relevant subject. These statements are based upon information available to us as of the date when made,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S-12</w:t>
      </w:r>
    </w:p>
    <w:p>
      <w:pPr>
        <w:sectPr>
          <w:pgSz w:w="11900" w:h="16838" w:orient="portrait"/>
          <w:cols w:equalWidth="0" w:num="1">
            <w:col w:w="9039"/>
          </w:cols>
          <w:pgMar w:left="1420" w:top="247"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USE OF PROCEEDS</w:t>
      </w:r>
    </w:p>
    <w:p>
      <w:pPr>
        <w:spacing w:after="0" w:line="184" w:lineRule="exact"/>
        <w:rPr>
          <w:sz w:val="20"/>
          <w:szCs w:val="20"/>
          <w:color w:val="auto"/>
        </w:rPr>
      </w:pPr>
    </w:p>
    <w:p>
      <w:pPr>
        <w:ind w:right="199"/>
        <w:spacing w:after="0" w:line="260" w:lineRule="auto"/>
        <w:rPr>
          <w:sz w:val="20"/>
          <w:szCs w:val="20"/>
          <w:color w:val="auto"/>
        </w:rPr>
      </w:pPr>
      <w:r>
        <w:rPr>
          <w:rFonts w:ascii="Times New Roman" w:cs="Times New Roman" w:eastAsia="Times New Roman" w:hAnsi="Times New Roman"/>
          <w:sz w:val="15"/>
          <w:szCs w:val="15"/>
          <w:color w:val="auto"/>
        </w:rPr>
        <w:t>We estimate that the net proceeds from this offering, after deducting the underwriting discounts and commissions and the estimated offering expenses payable by us, will be approximately $46.5 million (or approximately $53.5 million if the underwriters exercise their option to purchase additional shares in full). We will receive nominal proceeds, if any, upon exercise of the pre-funded warrants.</w:t>
      </w:r>
    </w:p>
    <w:p>
      <w:pPr>
        <w:spacing w:after="0" w:line="149" w:lineRule="exact"/>
        <w:rPr>
          <w:sz w:val="20"/>
          <w:szCs w:val="20"/>
          <w:color w:val="auto"/>
        </w:rPr>
      </w:pPr>
    </w:p>
    <w:p>
      <w:pPr>
        <w:ind w:right="79"/>
        <w:spacing w:after="0" w:line="252" w:lineRule="auto"/>
        <w:rPr>
          <w:sz w:val="20"/>
          <w:szCs w:val="20"/>
          <w:color w:val="auto"/>
        </w:rPr>
      </w:pPr>
      <w:r>
        <w:rPr>
          <w:rFonts w:ascii="Times New Roman" w:cs="Times New Roman" w:eastAsia="Times New Roman" w:hAnsi="Times New Roman"/>
          <w:sz w:val="15"/>
          <w:szCs w:val="15"/>
          <w:color w:val="auto"/>
        </w:rPr>
        <w:t>We intend to use the net proceeds from this offering, together with our existing cash and cash equivalents, for trial protocol development, planning, and advancement of the VYD2311 clinical program, research and development related to our pipeline programs such as RSV and measles, advancement of the SPEAR Study Group efforts related to assessing the effects of mAb therapy for Long COVID and COVID-19 Post Vaccination Syndrome, and for working capital and other general corporate purposes. We may also use a portion of the net proceeds from this offering to acquire or invest in complementary businesses, technologies, additional product candidates or other intellectual property, although we have no present commitments or agreements to do so.</w:t>
      </w:r>
    </w:p>
    <w:p>
      <w:pPr>
        <w:spacing w:after="0" w:line="155" w:lineRule="exact"/>
        <w:rPr>
          <w:sz w:val="20"/>
          <w:szCs w:val="20"/>
          <w:color w:val="auto"/>
        </w:rPr>
      </w:pPr>
    </w:p>
    <w:p>
      <w:pPr>
        <w:ind w:right="39"/>
        <w:spacing w:after="0" w:line="250" w:lineRule="auto"/>
        <w:rPr>
          <w:sz w:val="20"/>
          <w:szCs w:val="20"/>
          <w:color w:val="auto"/>
        </w:rPr>
      </w:pPr>
      <w:r>
        <w:rPr>
          <w:rFonts w:ascii="Times New Roman" w:cs="Times New Roman" w:eastAsia="Times New Roman" w:hAnsi="Times New Roman"/>
          <w:sz w:val="15"/>
          <w:szCs w:val="15"/>
          <w:color w:val="auto"/>
        </w:rPr>
        <w:t>The amounts and timing of our use of the net proceeds from this offering will depend on a number of factors, such as the timing and progress of our commercialization efforts, the timing and progress of our research and development efforts, the timing and progress of any partnering efforts, and the competitive environment for our product and product candidates. As of the date of this prospectus supplement, we cannot specify with certainty all of the particular uses for the net proceeds to us from the sale of our securities offered by us hereunder. Accordingly, our management will have broad discretion in the timing and application of these proceeds. Pending application of the net proceeds as described above, we intend to temporarily invest the proceeds in short-term, interest-bearing instruments. As the net proceeds from this offering, together with our existing cash and cash equivalents and cash collected on future revenues, may not be sufficient to fund our clinical programs, we expect to raise additional capital to achieve our business objectives.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S-13</w:t>
      </w:r>
    </w:p>
    <w:p>
      <w:pPr>
        <w:sectPr>
          <w:pgSz w:w="11900" w:h="16838" w:orient="portrait"/>
          <w:cols w:equalWidth="0" w:num="1">
            <w:col w:w="9039"/>
          </w:cols>
          <w:pgMar w:left="1420" w:top="245" w:right="1440"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DILUTION</w:t>
      </w:r>
    </w:p>
    <w:p>
      <w:pPr>
        <w:spacing w:after="0" w:line="18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5"/>
          <w:szCs w:val="15"/>
          <w:color w:val="auto"/>
        </w:rPr>
        <w:t>Purchasers of common stock or pre-funded warrants in this offering will experience immediate dilution to the extent of the difference between the public offering price per share of common stock or pre-funded warrants, as applicable, and the as-adjusted net tangible book value per share of common stock immediately after this offering.</w:t>
      </w:r>
    </w:p>
    <w:p>
      <w:pPr>
        <w:spacing w:after="0" w:line="149"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5"/>
          <w:szCs w:val="15"/>
          <w:color w:val="auto"/>
        </w:rPr>
        <w:t>Our net tangible book value as of June 30, 2025 was approximately $42.8 million, or $0.36 per share of common stock. Net tangible book value per share is determined by dividing total tangible assets less total liabilities, excluding items such as intangibles, by the aggregate number of shares of common stock outstanding as of June 30, 2025. Dilution per share to new investors represents the difference between the amount per share paid by purchasers of our common stock or pre-funded warrants in this offering and the as-adjusted net tangible book value per share of our common stock immediately following the completion of this offering.</w:t>
      </w:r>
    </w:p>
    <w:p>
      <w:pPr>
        <w:spacing w:after="0" w:line="15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After giving effect to the sale of (i) 74,811,404 shares of common stock in this offering at the public offering price of $0.52 per share and (ii) pre-funded warrants to purchase up to 21,342,442 shares of our common stock in this offering at the public offering price of $0.5199 per pre-funded warrant (which equals the price per share at which shares of our common stock are being sold to the public in this offering, minus the $0.0001 per share exercise price of such pre-funded warrant), including shares of common stock issuable upon exercise of the pre-funded warrants (as we finalize the accounting treatment of the pre-funded warrants, we have assumed equity classification) and after deducting the underwriting discounts and commissions and the estimated offering expenses payable by us, our as-adjusted net tangible book value as of June 30, 2025 would have been approximately $89.3 million, or approximately $0.41 per share of our common stock. This represents an immediate increase in net tangible book value of $0.05 per share of common stock to our existing stockholders and an immediate dilution in net tangible book value of $0.11 per share of common stock issued to the new investors purchasing shares of common stock and pre-funded warrants in this offering, as illustrated by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Offering price per share of common stock</w:t>
            </w:r>
          </w:p>
        </w:tc>
        <w:tc>
          <w:tcPr>
            <w:tcW w:w="2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$0.52</w:t>
            </w:r>
          </w:p>
        </w:tc>
        <w:tc>
          <w:tcPr>
            <w:tcW w:w="6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tangible book value per share as of June 30, 2025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$0.36</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Increase in net tangible book value per share attributable to new investors</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2"/>
        </w:trPr>
        <w:tc>
          <w:tcPr>
            <w:tcW w:w="6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As-adjusted net tangible book value per share immediately after giving effect to this offering</w:t>
            </w:r>
          </w:p>
        </w:tc>
        <w:tc>
          <w:tcPr>
            <w:tcW w:w="13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6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Dilution per share to new investors in this offering</w:t>
            </w:r>
          </w:p>
        </w:tc>
        <w:tc>
          <w:tcPr>
            <w:tcW w:w="2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0.11</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5"/>
          <w:szCs w:val="15"/>
          <w:color w:val="auto"/>
        </w:rPr>
        <w:t>If the underwriters exercise their option in full to purchase additional shares of our common stock in this offering at the public offering price of $0.52 per share, the as-adjusted net tangible book value per share after the offering (including shares issuable upon the exercise of the pre-funded warrants but excluding any resulting accounting associated therewith and after deducting underwriting discounts and commissions and estimated expenses payable by us) would be $0.42 per share, the increase in the net tangible book value per share to existing stockholders would be $0.06 per share and the dilution to purchasers in this offering would be $0.10 per share.</w:t>
      </w:r>
    </w:p>
    <w:p>
      <w:pPr>
        <w:spacing w:after="0" w:line="155" w:lineRule="exact"/>
        <w:rPr>
          <w:sz w:val="20"/>
          <w:szCs w:val="20"/>
          <w:color w:val="auto"/>
        </w:rPr>
      </w:pPr>
    </w:p>
    <w:p>
      <w:pPr>
        <w:jc w:val="both"/>
        <w:ind w:right="220"/>
        <w:spacing w:after="0" w:line="310" w:lineRule="auto"/>
        <w:rPr>
          <w:sz w:val="20"/>
          <w:szCs w:val="20"/>
          <w:color w:val="auto"/>
        </w:rPr>
      </w:pPr>
      <w:r>
        <w:rPr>
          <w:rFonts w:ascii="Times New Roman" w:cs="Times New Roman" w:eastAsia="Times New Roman" w:hAnsi="Times New Roman"/>
          <w:sz w:val="14"/>
          <w:szCs w:val="14"/>
          <w:color w:val="auto"/>
        </w:rPr>
        <w:t>The above table is based on 120,142,811 shares of our common stock outstanding as of June 30, 2025 and assumes the full exercise of the pre-funded warrants sold in the offering. Unless specifically stated otherwise, the information in this prospectus supplement is as of June 30, 2025, and excludes:</w:t>
      </w:r>
    </w:p>
    <w:p>
      <w:pPr>
        <w:spacing w:after="0" w:line="38" w:lineRule="exact"/>
        <w:rPr>
          <w:sz w:val="20"/>
          <w:szCs w:val="20"/>
          <w:color w:val="auto"/>
        </w:rPr>
      </w:pPr>
    </w:p>
    <w:p>
      <w:pPr>
        <w:ind w:left="800" w:right="80" w:hanging="354"/>
        <w:spacing w:after="0" w:line="273" w:lineRule="auto"/>
        <w:tabs>
          <w:tab w:leader="none" w:pos="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21,215,534 shares of our common stock issuable upon the exercise of stock options outstanding as of June 30, 2025 at a weighted-average exercise price of $3.21 per share;</w:t>
      </w:r>
    </w:p>
    <w:p>
      <w:pPr>
        <w:spacing w:after="0" w:line="61" w:lineRule="exact"/>
        <w:rPr>
          <w:rFonts w:ascii="Times New Roman" w:cs="Times New Roman" w:eastAsia="Times New Roman" w:hAnsi="Times New Roman"/>
          <w:sz w:val="15"/>
          <w:szCs w:val="15"/>
          <w:color w:val="auto"/>
        </w:rPr>
      </w:pPr>
    </w:p>
    <w:p>
      <w:pPr>
        <w:ind w:left="800" w:right="20" w:hanging="354"/>
        <w:spacing w:after="0" w:line="273" w:lineRule="auto"/>
        <w:tabs>
          <w:tab w:leader="none" w:pos="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1,700,000 shares of our common stock issuable upon the vesting and settlement of restricted stock units outstanding as of June 30, 2025, of which 561,000 shares of our common stock underlying such restricted stock units vested on August 15, 2025;</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13,765,525 shares of our common stock reserved for future issuance under the 2021 Plan, as of June 30, 2025;</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S-14</w:t>
      </w:r>
    </w:p>
    <w:p>
      <w:pPr>
        <w:sectPr>
          <w:pgSz w:w="11900" w:h="16838" w:orient="portrait"/>
          <w:cols w:equalWidth="0" w:num="1">
            <w:col w:w="9060"/>
          </w:cols>
          <w:pgMar w:left="1420" w:top="245" w:right="1419" w:bottom="1440" w:gutter="0" w:footer="0" w:header="0"/>
        </w:sectPr>
      </w:pPr>
    </w:p>
    <w:bookmarkStart w:id="16" w:name="page17"/>
    <w:bookmarkEnd w:id="16"/>
    <w:p>
      <w:pPr>
        <w:ind w:left="800" w:right="100" w:hanging="354"/>
        <w:spacing w:after="0" w:line="273" w:lineRule="auto"/>
        <w:tabs>
          <w:tab w:leader="none" w:pos="8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6,824,712 shares of our common stock issuable upon exercise of warrants outstanding as of June 30, 2025, which had a weighted average exercise price of $3.48 per share at that date; and</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661,116 shares of our common stock reserved for future issuance under the ESPP as of June 30, 2025.</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To the extent that options or warrants are exercised or restricted stock units settle, or if we issue additional options, restricted stock units, warrants or other securities to purchase or acquire our common stock in the future and those options, restricted stock units, warrants or other securities are exercised, converted or settled, you may experience further dilution.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S-15</w:t>
      </w:r>
    </w:p>
    <w:p>
      <w:pPr>
        <w:sectPr>
          <w:pgSz w:w="11900" w:h="16838" w:orient="portrait"/>
          <w:cols w:equalWidth="0" w:num="1">
            <w:col w:w="9040"/>
          </w:cols>
          <w:pgMar w:left="1420" w:top="247" w:right="14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DESCRIPTION OF PRE-FUNDED WARRANTS</w:t>
      </w:r>
    </w:p>
    <w:p>
      <w:pPr>
        <w:spacing w:after="0" w:line="184" w:lineRule="exact"/>
        <w:rPr>
          <w:sz w:val="20"/>
          <w:szCs w:val="20"/>
          <w:color w:val="auto"/>
        </w:rPr>
      </w:pPr>
    </w:p>
    <w:p>
      <w:pPr>
        <w:ind w:right="139"/>
        <w:spacing w:after="0" w:line="260" w:lineRule="auto"/>
        <w:rPr>
          <w:sz w:val="20"/>
          <w:szCs w:val="20"/>
          <w:color w:val="auto"/>
        </w:rPr>
      </w:pPr>
      <w:r>
        <w:rPr>
          <w:rFonts w:ascii="Times New Roman" w:cs="Times New Roman" w:eastAsia="Times New Roman" w:hAnsi="Times New Roman"/>
          <w:sz w:val="15"/>
          <w:szCs w:val="15"/>
          <w:color w:val="auto"/>
        </w:rPr>
        <w:t>The following is a summary of certain terms and conditions of the pre-funded warrants being offered in this offering. The following description is subject in all respects to the provisions contained in the pre-funded warrants. We are also registering the shares of common stock issuable from time to time upon exercise of the pre-funded warrants.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Form</w:t>
      </w:r>
    </w:p>
    <w:p>
      <w:pPr>
        <w:spacing w:after="0" w:line="95" w:lineRule="exact"/>
        <w:rPr>
          <w:sz w:val="20"/>
          <w:szCs w:val="20"/>
          <w:color w:val="auto"/>
        </w:rPr>
      </w:pPr>
    </w:p>
    <w:p>
      <w:pPr>
        <w:ind w:right="179"/>
        <w:spacing w:after="0" w:line="273" w:lineRule="auto"/>
        <w:rPr>
          <w:sz w:val="20"/>
          <w:szCs w:val="20"/>
          <w:color w:val="auto"/>
        </w:rPr>
      </w:pPr>
      <w:r>
        <w:rPr>
          <w:rFonts w:ascii="Times New Roman" w:cs="Times New Roman" w:eastAsia="Times New Roman" w:hAnsi="Times New Roman"/>
          <w:sz w:val="15"/>
          <w:szCs w:val="15"/>
          <w:color w:val="auto"/>
        </w:rPr>
        <w:t>The pre-funded warrants will be issued in certificated form as individual warrant agreements to certain investors. The form of pre-funded warrant will be filed as an exhibit to a Current Report on Form 8-K that we expect to file with the SEC in connection with this offering.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Term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pre-funded warrants will expire on the date the warrant is exercised in full.</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Exercisability</w:t>
      </w:r>
    </w:p>
    <w:p>
      <w:pPr>
        <w:spacing w:after="0" w:line="95" w:lineRule="exact"/>
        <w:rPr>
          <w:sz w:val="20"/>
          <w:szCs w:val="20"/>
          <w:color w:val="auto"/>
        </w:rPr>
      </w:pPr>
    </w:p>
    <w:p>
      <w:pPr>
        <w:ind w:right="79"/>
        <w:spacing w:after="0" w:line="251" w:lineRule="auto"/>
        <w:rPr>
          <w:sz w:val="20"/>
          <w:szCs w:val="20"/>
          <w:color w:val="auto"/>
        </w:rPr>
      </w:pPr>
      <w:r>
        <w:rPr>
          <w:rFonts w:ascii="Times New Roman" w:cs="Times New Roman" w:eastAsia="Times New Roman" w:hAnsi="Times New Roman"/>
          <w:sz w:val="15"/>
          <w:szCs w:val="15"/>
          <w:color w:val="auto"/>
        </w:rPr>
        <w:t>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As an alternative to payment in immediately available funds, the holder may, in its sole discretion, elect to exercise the pre-funded warrant through a cashless exercise, in which the holder would receive upon such exercise the net number of shares of our common stock determined according to the formula set forth in the pre-funded warrant. No fractional shares of our common stock will be issued in connection with the exercise of a pre-funded warrant. In lieu of any fractional shares, we will pay the holder an amount in cash equal to the fractional amount multiplied by the last closing trading price of our common stock on the exercise date.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Exercise Limitations</w:t>
      </w:r>
    </w:p>
    <w:p>
      <w:pPr>
        <w:spacing w:after="0" w:line="95" w:lineRule="exact"/>
        <w:rPr>
          <w:sz w:val="20"/>
          <w:szCs w:val="20"/>
          <w:color w:val="auto"/>
        </w:rPr>
      </w:pPr>
    </w:p>
    <w:p>
      <w:pPr>
        <w:ind w:right="19"/>
        <w:spacing w:after="0" w:line="252" w:lineRule="auto"/>
        <w:rPr>
          <w:sz w:val="20"/>
          <w:szCs w:val="20"/>
          <w:color w:val="auto"/>
        </w:rPr>
      </w:pPr>
      <w:r>
        <w:rPr>
          <w:rFonts w:ascii="Times New Roman" w:cs="Times New Roman" w:eastAsia="Times New Roman" w:hAnsi="Times New Roman"/>
          <w:sz w:val="15"/>
          <w:szCs w:val="15"/>
          <w:color w:val="auto"/>
        </w:rPr>
        <w:t>Under the pre-funded warrants, we may not effect the exercise of any pre-funded warrant, and a holder will not be entitled to exercise any portion of any pre-funded warrant that, upon giving effect to such exercise, would cause the aggregate number of shares of our common stock beneficially owned by such holder (together with its affiliates) to exceed 4.99% (or 9.99% at the initial election of the holder) of the number of shares of our common stock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upon at least 61 days’ prior notice from the holder to us.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Exercise Price</w:t>
      </w:r>
    </w:p>
    <w:p>
      <w:pPr>
        <w:spacing w:after="0" w:line="95" w:lineRule="exact"/>
        <w:rPr>
          <w:sz w:val="20"/>
          <w:szCs w:val="20"/>
          <w:color w:val="auto"/>
        </w:rPr>
      </w:pPr>
    </w:p>
    <w:p>
      <w:pPr>
        <w:ind w:right="19"/>
        <w:spacing w:after="0" w:line="279" w:lineRule="auto"/>
        <w:rPr>
          <w:sz w:val="20"/>
          <w:szCs w:val="20"/>
          <w:color w:val="auto"/>
        </w:rPr>
      </w:pPr>
      <w:r>
        <w:rPr>
          <w:rFonts w:ascii="Times New Roman" w:cs="Times New Roman" w:eastAsia="Times New Roman" w:hAnsi="Times New Roman"/>
          <w:sz w:val="14"/>
          <w:szCs w:val="14"/>
          <w:color w:val="auto"/>
        </w:rPr>
        <w:t>The exercise price per whole share of our common stock purchasable upon the exercise of the pre-funded warrants is $0.0001 per share of common stock. The exercise price of the pre-funded warrants and the number of shares of our common stock issuable upon exercise of the pre-funded warrants is subject to appropriate adjustment in the event of certain stock dividends, subdivisions, stock splits, stock combinations, reclassifications, reorganizations or similar events affecting our common stock, as well as upon any distribution of assets, including cash, stock or other property, to our stockholders.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S-16</w:t>
      </w:r>
    </w:p>
    <w:p>
      <w:pPr>
        <w:sectPr>
          <w:pgSz w:w="11900" w:h="16838" w:orient="portrait"/>
          <w:cols w:equalWidth="0" w:num="1">
            <w:col w:w="9039"/>
          </w:cols>
          <w:pgMar w:left="1420" w:top="245"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Transferability</w:t>
      </w:r>
    </w:p>
    <w:p>
      <w:pPr>
        <w:spacing w:after="0" w:line="95"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5"/>
          <w:szCs w:val="15"/>
          <w:color w:val="auto"/>
        </w:rPr>
        <w:t>Subject to applicable laws and the restrictions on transfer set forth in the pre-funded warrants, the pre-funded warrants may be offered for sale, sold, transferred or assigned without our consent.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Exchange Listing</w:t>
      </w:r>
    </w:p>
    <w:p>
      <w:pPr>
        <w:spacing w:after="0" w:line="9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5"/>
          <w:szCs w:val="15"/>
          <w:color w:val="auto"/>
        </w:rPr>
        <w:t>There is no established trading market for the pre-funded warrants, and we do not expect a market to develop. We do not intend to apply for the listing of the pre-funded warrants on The Nasdaq Global Market, any other national securities exchange or any other nationally recognized trading system.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Fundamental Transactions</w:t>
      </w:r>
    </w:p>
    <w:p>
      <w:pPr>
        <w:spacing w:after="0" w:line="9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5"/>
          <w:szCs w:val="15"/>
          <w:color w:val="auto"/>
        </w:rPr>
        <w:t>Upon the consummation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of our outstanding common stock), the holders of the pre-funded warrants will be entitled to receive, upon exercise of the pre-funded warrants, the same amount and kind of securities, cash or other property that such holders would have received had they exercised the pre-funded warrants immediately prior to such fundamental transaction, without regard to any limitations on exercise contained in the pre-funded warrants. In the event the holder of a pre-funded warrant does not exercise the pre-funded warrant as contemplated by the fundamental transaction provisions in the pre-funded warrant, the pre-funded warrant will be deemed exercised in full without regard to any limitations on exercise contained in the pre-funded warrant pursuant to the “cashless exercise” provision in the pre-funded warrant upon the effective date of the consummation of such fundamental transaction.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 Rights as a Stockholder</w:t>
      </w:r>
    </w:p>
    <w:p>
      <w:pPr>
        <w:spacing w:after="0" w:line="9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5"/>
          <w:szCs w:val="15"/>
          <w:color w:val="auto"/>
        </w:rPr>
        <w:t>Except by virtue of such holder’s ownership of shares of our common stock, the holder of a pre-funded warrant does not have the rights or privileges of a holder of our common stock, including any voting rights, until such holder exercises the pre-funded warrant. In the event of certain distributions, if any, to all holders of our common stock for no consideration, the holder of a pre-funded warrant will be entitled to participate in such distributions to the same extent as if such holder held the number of shares of our common stock acquirable upon complete exercise of its pre-funded warrant (without regard to any limitations on exercise). If such distribution would result in such holder and the holder’s other attribution parties exceeding the exercise limitations described above, a portion of such distribution shall be held in abeyance for the benefit of such holder until such time as the ownership limitations would not be exceeded.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Warrant Agent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will initially serve as the warrant agent under the pre-funded warrants.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S-17</w:t>
      </w:r>
    </w:p>
    <w:p>
      <w:pPr>
        <w:sectPr>
          <w:pgSz w:w="11900" w:h="16838" w:orient="portrait"/>
          <w:cols w:equalWidth="0" w:num="1">
            <w:col w:w="9040"/>
          </w:cols>
          <w:pgMar w:left="1420" w:top="245" w:right="14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MATERIAL U.S. FEDERAL INCOME TAX CONSEQUENCES</w:t>
      </w:r>
    </w:p>
    <w:p>
      <w:pPr>
        <w:spacing w:after="0" w:line="18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5"/>
          <w:szCs w:val="15"/>
          <w:color w:val="auto"/>
        </w:rPr>
        <w:t>The following discussion is a summary of the material U.S. federal income tax consequences of the purchase, ownership and disposition of shares of our common stock and pre-funded warrants issued pursuant to this offering and the ownership and disposition of shares of our common stock received upon exercise of the pre-funded warrants (collectively, the “Securities”), but does not purport to be a complete analysis of all potential tax consequences. The effects of other U.S. federal tax laws, such as estate and gift tax laws, and any applicable state, local or non-U.S. tax laws are not discussed. This discussion is based on the Internal Revenue Code of 1986, as amended (the “Code”), Treasury Regulations promulgated thereunder, judicial decisions, and published rulings and administrative pronouncements of the U.S. Internal Revenue Service (the “IRS”) in effect as of the date of this offering. These authorities may change or be subject to differing interpretations. Any such change or differing interpretation may be applied retroactively in a manner that could adversely affect a holder of the Securities. We have not sought and will not seek any rulings from the IRS regarding the matters discussed below. There can be no assurance the IRS or a court will not take a contrary position regarding the tax consequences of the purchase, ownership and disposition of the Securities.</w:t>
      </w:r>
    </w:p>
    <w:p>
      <w:pPr>
        <w:spacing w:after="0" w:line="16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This discussion is limited to holders that hold the Securities as a “capital asset” within the meaning of Section 1221 of the Code (generally, property held for investment). This discussion does not address all U.S. federal income tax consequences relevant to a holder’s particular circumstances, including the impact of the alternative minimum tax, the Medicare contribution tax on net investment income, or the special tax accounting rules under Section 451(b) of the Code. In addition, it does not address consequences relevant to holders subject to particular rules, including, without limitation:</w:t>
      </w:r>
    </w:p>
    <w:p>
      <w:pPr>
        <w:spacing w:after="0" w:line="60" w:lineRule="exact"/>
        <w:rPr>
          <w:sz w:val="20"/>
          <w:szCs w:val="20"/>
          <w:color w:val="auto"/>
        </w:rPr>
      </w:pPr>
    </w:p>
    <w:p>
      <w:pPr>
        <w:ind w:left="800" w:hanging="354"/>
        <w:spacing w:after="0"/>
        <w:tabs>
          <w:tab w:leader="none" w:pos="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expatriates and certain former citizens or long-term residents of the U.S.;</w:t>
      </w:r>
    </w:p>
    <w:p>
      <w:pPr>
        <w:spacing w:after="0" w:line="104" w:lineRule="exact"/>
        <w:rPr>
          <w:rFonts w:ascii="Times New Roman" w:cs="Times New Roman" w:eastAsia="Times New Roman" w:hAnsi="Times New Roman"/>
          <w:sz w:val="15"/>
          <w:szCs w:val="15"/>
          <w:color w:val="auto"/>
        </w:rPr>
      </w:pPr>
    </w:p>
    <w:p>
      <w:pPr>
        <w:ind w:left="800" w:right="260" w:hanging="354"/>
        <w:spacing w:after="0" w:line="273" w:lineRule="auto"/>
        <w:tabs>
          <w:tab w:leader="none" w:pos="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holding the Securities as part of a hedge, straddle or other risk reduction strategy or as part of a conversion transaction or other integrated investment;</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banks, insurance companies, mutual funds, and other financial institutions;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brokers, dealers or traders in securities;</w:t>
      </w:r>
    </w:p>
    <w:p>
      <w:pPr>
        <w:spacing w:after="0" w:line="104" w:lineRule="exact"/>
        <w:rPr>
          <w:rFonts w:ascii="Times New Roman" w:cs="Times New Roman" w:eastAsia="Times New Roman" w:hAnsi="Times New Roman"/>
          <w:sz w:val="15"/>
          <w:szCs w:val="15"/>
          <w:color w:val="auto"/>
        </w:rPr>
      </w:pPr>
    </w:p>
    <w:p>
      <w:pPr>
        <w:ind w:left="800" w:right="120" w:hanging="354"/>
        <w:spacing w:after="0" w:line="273" w:lineRule="auto"/>
        <w:tabs>
          <w:tab w:leader="none" w:pos="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controlled foreign corporations, “passive foreign investment companies,” and corporations that accumulate earnings to avoid U.S. federal income tax;</w:t>
      </w:r>
    </w:p>
    <w:p>
      <w:pPr>
        <w:spacing w:after="0" w:line="61" w:lineRule="exact"/>
        <w:rPr>
          <w:rFonts w:ascii="Times New Roman" w:cs="Times New Roman" w:eastAsia="Times New Roman" w:hAnsi="Times New Roman"/>
          <w:sz w:val="15"/>
          <w:szCs w:val="15"/>
          <w:color w:val="auto"/>
        </w:rPr>
      </w:pPr>
    </w:p>
    <w:p>
      <w:pPr>
        <w:ind w:left="800" w:right="60" w:hanging="354"/>
        <w:spacing w:after="0" w:line="273" w:lineRule="auto"/>
        <w:tabs>
          <w:tab w:leader="none" w:pos="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 corporations,” partnerships or other entities or arrangements treated as partnerships for U.S. federal income tax purposes, or other pass-through entities (and, in each case, investors therein);</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organizations or governmental organizations;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deemed to sell the Securities stock under the constructive sale provisions of the Code;</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for whom our stock constitutes “qualified small business stock” within the meaning of Section 1202 of the Code;</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hold or receive the Securities pursuant to the exercise of any employee stock option or otherwise as compensation;</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persons the functional currency of which is not the U.S. dollar;</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tax-qualified retirement plans; and</w:t>
      </w:r>
    </w:p>
    <w:p>
      <w:pPr>
        <w:spacing w:after="0" w:line="104" w:lineRule="exact"/>
        <w:rPr>
          <w:rFonts w:ascii="Times New Roman" w:cs="Times New Roman" w:eastAsia="Times New Roman" w:hAnsi="Times New Roman"/>
          <w:sz w:val="15"/>
          <w:szCs w:val="15"/>
          <w:color w:val="auto"/>
        </w:rPr>
      </w:pPr>
    </w:p>
    <w:p>
      <w:pPr>
        <w:ind w:left="800" w:right="140" w:hanging="354"/>
        <w:spacing w:after="0" w:line="273" w:lineRule="auto"/>
        <w:tabs>
          <w:tab w:leader="none" w:pos="8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“qualified foreign pension funds” as defined in Section 897(1)(2) of the Code and “withholding qualified holders” as defined in Treasury Regulation Section 1.1445-1(g)(11).</w:t>
      </w:r>
    </w:p>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If a partnership (or other entity or arrangement treated as a partnership for U.S. federal income tax purposes) holds the Securities, the tax treatment of a partner in the partnership will depend on the status of the partner, the activities of the partnership and certain determinations made at the partner level. Accordingly, partnerships holding the Securities and the partners in such partnerships should consult their tax advisors regarding the U.S. federal income tax consequences to them.</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S-18</w:t>
      </w:r>
    </w:p>
    <w:p>
      <w:pPr>
        <w:sectPr>
          <w:pgSz w:w="11900" w:h="16838" w:orient="portrait"/>
          <w:cols w:equalWidth="0" w:num="1">
            <w:col w:w="9040"/>
          </w:cols>
          <w:pgMar w:left="1420" w:top="245" w:right="1439" w:bottom="1440" w:gutter="0" w:footer="0" w:header="0"/>
        </w:sectPr>
      </w:pPr>
    </w:p>
    <w:bookmarkStart w:id="20" w:name="page21"/>
    <w:bookmarkEnd w:id="20"/>
    <w:p>
      <w:pPr>
        <w:spacing w:after="0" w:line="254"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THIS DISCUSSION IS FOR INFORMATION PURPOSES ONLY AND IS NOT INTENDED AS TAX ADVICE. INVESTORS SHOULD CONSULT THEIR TAX ADVISORS WITH RESPECT TO THE APPLICATION OF THE U.S. FEDERAL INCOME TAX LAWS TO THEIR PARTICULAR SITUATIONS AS WELL AS ANY TAX CONSEQUENCES OF THE PURCHASE, OWNERSHIP AND DISPOSITION OF THE SECURITIES ARISING UNDER THE U.S. FEDERAL ESTATE OR GIFT TAX LAWS OR UNDER THE LAWS OF ANY STATE, LOCAL OR NON-U.S. TAXING JURISDICTION OR UNDER ANY APPLICABLE INCOME TAX TREATY.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purposes of this discussion, a “U.S. holder” is any beneficial owner of Securities that, for U.S. federal income tax purposes, is:</w:t>
      </w:r>
    </w:p>
    <w:p>
      <w:pPr>
        <w:spacing w:after="0" w:line="105" w:lineRule="exact"/>
        <w:rPr>
          <w:sz w:val="20"/>
          <w:szCs w:val="20"/>
          <w:color w:val="auto"/>
        </w:rPr>
      </w:pPr>
    </w:p>
    <w:p>
      <w:pPr>
        <w:ind w:left="800" w:hanging="354"/>
        <w:spacing w:after="0"/>
        <w:tabs>
          <w:tab w:leader="none" w:pos="8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U.S.;</w:t>
      </w:r>
    </w:p>
    <w:p>
      <w:pPr>
        <w:spacing w:after="0" w:line="104" w:lineRule="exact"/>
        <w:rPr>
          <w:rFonts w:ascii="Times New Roman" w:cs="Times New Roman" w:eastAsia="Times New Roman" w:hAnsi="Times New Roman"/>
          <w:sz w:val="15"/>
          <w:szCs w:val="15"/>
          <w:color w:val="auto"/>
        </w:rPr>
      </w:pPr>
    </w:p>
    <w:p>
      <w:pPr>
        <w:ind w:left="800" w:hanging="354"/>
        <w:spacing w:after="0" w:line="273" w:lineRule="auto"/>
        <w:tabs>
          <w:tab w:leader="none" w:pos="8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other entity treated as a corporation for U.S. federal income tax purposes) created or organized under the laws of the U.S., any state thereof, or the District of Columbia;</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subject to U.S. federal income tax regardless of its source; or</w:t>
      </w:r>
    </w:p>
    <w:p>
      <w:pPr>
        <w:spacing w:after="0" w:line="104" w:lineRule="exact"/>
        <w:rPr>
          <w:rFonts w:ascii="Times New Roman" w:cs="Times New Roman" w:eastAsia="Times New Roman" w:hAnsi="Times New Roman"/>
          <w:sz w:val="15"/>
          <w:szCs w:val="15"/>
          <w:color w:val="auto"/>
        </w:rPr>
      </w:pPr>
    </w:p>
    <w:p>
      <w:pPr>
        <w:ind w:left="800" w:hanging="354"/>
        <w:spacing w:after="0" w:line="260" w:lineRule="auto"/>
        <w:tabs>
          <w:tab w:leader="none" w:pos="8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that (1) is subject to the primary supervision of a U.S. court and the control of one or more U.S. persons (within the meaning of Section 7701(a)(30) of the Code), or (2) has made a valid election under applicable Treasury Regulations to continue to be treated as a U.S. person.</w:t>
      </w:r>
    </w:p>
    <w:p>
      <w:pPr>
        <w:spacing w:after="0" w:line="149"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15"/>
          <w:szCs w:val="15"/>
          <w:color w:val="auto"/>
        </w:rPr>
        <w:t>For purposes of this discussion, a “non-U.S. holder” is a beneficial owner of the Securities that is neither a U.S. holder nor an entity treated as a partnership for U.S. federal income tax purposes.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 Treatment of Pre-Funded Warrants</w:t>
      </w:r>
    </w:p>
    <w:p>
      <w:pPr>
        <w:spacing w:after="0" w:line="9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5"/>
          <w:szCs w:val="15"/>
          <w:color w:val="auto"/>
        </w:rPr>
        <w:t>Although the law in this area is not completely settled, because the exercise price of the pre-funded warrants is a nominal amount, the pre-funded warrants generally are expected to be treated as shares of our common stock for U.S. federal income tax purposes, in which case a holder of pre-funded warrants generally would be taxed in the same manner as a holder of common stock as described below. This position is not binding on the IRS, however, and the IRS may treat the pre-funded warrants as warrants to acquire our common stock and, if so, the amount and character of a holder’s gain with respect to an investment in our pre-funded warrants could change. You should discuss with your tax advisor the consequences of the purchase, ownership and disposition of the pre-funded warrants, as well as the exercise of, certain adjustments to, and any payments in respect of the pre-funded warrants (including potential alternative characterizations). The balance of this discussion generally assumes that the characterization of the pre-funded warrants as shares of our common stock described above is respected for U.S. federal income tax purposes.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Tax Considerations Applicable to U.S. Holders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Distributions</w:t>
      </w:r>
    </w:p>
    <w:p>
      <w:pPr>
        <w:spacing w:after="0" w:line="9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5"/>
          <w:szCs w:val="15"/>
          <w:color w:val="auto"/>
        </w:rPr>
        <w:t>We do not anticipate declaring or paying distributions to holders of our Securities in the foreseeable future. However, if we do make distributions on our Securities, such distributions will constitute dividends for U.S. federal income tax purposes to the extent paid from our current or accumulated earnings and profits, as determined under U.S. federal income tax principles. To the extent those distributions (including constructive distributions) exceed both our current and our accumulated earnings and profits, the excess will constitute a return of capital and will first reduce a U.S. holder’s basis in our Securities, but not below zero, and then will be treated as gain from the sale of Securities as described below under the section entitled “Tax Considerations Applicable to U.S. Holders—Gain or Loss on Disposition of the Securities.” Preferential U.S. federal income tax rates may apply to any dividends paid to noncorporate U.S. holders meeting certain holding period requirements.</w:t>
      </w:r>
    </w:p>
    <w:p>
      <w:pPr>
        <w:spacing w:after="0" w:line="156"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5"/>
          <w:szCs w:val="15"/>
          <w:color w:val="auto"/>
        </w:rPr>
        <w:t>The taxation of property (other than common shares) received with respect to a pre-funded warrant on exercise is unclear. It is possible such a receipt of property would be treated as a distribution on common stock as described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S-19</w:t>
      </w:r>
    </w:p>
    <w:p>
      <w:pPr>
        <w:sectPr>
          <w:pgSz w:w="11900" w:h="16838" w:orient="portrait"/>
          <w:cols w:equalWidth="0" w:num="1">
            <w:col w:w="9040"/>
          </w:cols>
          <w:pgMar w:left="1420" w:top="245" w:right="1439" w:bottom="1440" w:gutter="0" w:footer="0" w:header="0"/>
        </w:sectPr>
      </w:pPr>
    </w:p>
    <w:bookmarkStart w:id="21" w:name="page22"/>
    <w:bookmarkEnd w:id="21"/>
    <w:p>
      <w:pPr>
        <w:ind w:right="259"/>
        <w:spacing w:after="0" w:line="27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in this section, although other treatments may also be possible. Investors should consult their tax advisors regarding the proper treatment of any such receipt of property in respect of the pre-funded warrants on exercise.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Certain Adjustments to the Pre-Funded Warrants</w:t>
      </w:r>
    </w:p>
    <w:p>
      <w:pPr>
        <w:spacing w:after="0" w:line="97" w:lineRule="exact"/>
        <w:rPr>
          <w:sz w:val="20"/>
          <w:szCs w:val="20"/>
          <w:color w:val="auto"/>
        </w:rPr>
      </w:pPr>
    </w:p>
    <w:p>
      <w:pPr>
        <w:ind w:right="79"/>
        <w:spacing w:after="0" w:line="255" w:lineRule="auto"/>
        <w:rPr>
          <w:sz w:val="20"/>
          <w:szCs w:val="20"/>
          <w:color w:val="auto"/>
        </w:rPr>
      </w:pPr>
      <w:r>
        <w:rPr>
          <w:rFonts w:ascii="Times New Roman" w:cs="Times New Roman" w:eastAsia="Times New Roman" w:hAnsi="Times New Roman"/>
          <w:sz w:val="15"/>
          <w:szCs w:val="15"/>
          <w:color w:val="auto"/>
        </w:rPr>
        <w:t>The number of shares of common stock issued upon the exercise of the pre-funded warrants and the exercise price of pre-funded warrants are subject to adjustment in certain circumstances. Adjustments (or failure to make adjustments) that have the effect of increasing a U.S. Holder’s proportionate interest in our assets or earnings and profits may in some circumstances, result in a constructive distribution to the U.S. Holder. U.S. holders should consult their tax advisors regarding the proper treatment of any adjustments and any distributions with respect to the pre-funded warrants.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Gain or Loss on Disposition of the Securities</w:t>
      </w:r>
    </w:p>
    <w:p>
      <w:pPr>
        <w:spacing w:after="0" w:line="97" w:lineRule="exact"/>
        <w:rPr>
          <w:sz w:val="20"/>
          <w:szCs w:val="20"/>
          <w:color w:val="auto"/>
        </w:rPr>
      </w:pPr>
    </w:p>
    <w:p>
      <w:pPr>
        <w:ind w:right="59"/>
        <w:spacing w:after="0" w:line="253" w:lineRule="auto"/>
        <w:rPr>
          <w:sz w:val="20"/>
          <w:szCs w:val="20"/>
          <w:color w:val="auto"/>
        </w:rPr>
      </w:pPr>
      <w:r>
        <w:rPr>
          <w:rFonts w:ascii="Times New Roman" w:cs="Times New Roman" w:eastAsia="Times New Roman" w:hAnsi="Times New Roman"/>
          <w:sz w:val="15"/>
          <w:szCs w:val="15"/>
          <w:color w:val="auto"/>
        </w:rPr>
        <w:t>Upon a sale or other taxable disposition of the Securities, a U.S. holder generally will recognize capital gain or loss in an amount equal to the difference between the amount realized and the U.S. holder’s adjusted tax basis in the relevant the Securities. Capital gain or loss will constitute long-term capital gain or loss if such U.S. holder’s holding period for the relevant the Securities exceeds one year. Long-term capital gains derived by certain non-corporate U.S. holders, including individuals, are generally subject to taxation at preferential rates. The deductibility of capital losses is subject to certain limitations.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Exercise of Pre-Funded Warrants</w:t>
      </w:r>
    </w:p>
    <w:p>
      <w:pPr>
        <w:spacing w:after="0" w:line="97" w:lineRule="exact"/>
        <w:rPr>
          <w:sz w:val="20"/>
          <w:szCs w:val="20"/>
          <w:color w:val="auto"/>
        </w:rPr>
      </w:pPr>
    </w:p>
    <w:p>
      <w:pPr>
        <w:ind w:right="219"/>
        <w:spacing w:after="0" w:line="255" w:lineRule="auto"/>
        <w:rPr>
          <w:sz w:val="20"/>
          <w:szCs w:val="20"/>
          <w:color w:val="auto"/>
        </w:rPr>
      </w:pPr>
      <w:r>
        <w:rPr>
          <w:rFonts w:ascii="Times New Roman" w:cs="Times New Roman" w:eastAsia="Times New Roman" w:hAnsi="Times New Roman"/>
          <w:sz w:val="15"/>
          <w:szCs w:val="15"/>
          <w:color w:val="auto"/>
        </w:rPr>
        <w:t>A U.S. holder may exercise the pre-funded warrant by payment of exercise price or through a cashless exercise. In general, a U.S. holder should not recognize gain or loss for U.S. federal income tax purposes upon exercise of a pre-funded warrant pursuant to either method. If such U.S. holder receives a cash payment for a fractional share that would otherwise have been issuable upon exercise of the pre-funded warrant, it will be treated as a sale subject to the rules described above under “—Gain or Loss on Disposition of the Securities.”</w:t>
      </w:r>
    </w:p>
    <w:p>
      <w:pPr>
        <w:spacing w:after="0" w:line="153" w:lineRule="exact"/>
        <w:rPr>
          <w:sz w:val="20"/>
          <w:szCs w:val="20"/>
          <w:color w:val="auto"/>
        </w:rPr>
      </w:pPr>
    </w:p>
    <w:p>
      <w:pPr>
        <w:ind w:right="139"/>
        <w:spacing w:after="0" w:line="255" w:lineRule="auto"/>
        <w:rPr>
          <w:sz w:val="20"/>
          <w:szCs w:val="20"/>
          <w:color w:val="auto"/>
        </w:rPr>
      </w:pPr>
      <w:r>
        <w:rPr>
          <w:rFonts w:ascii="Times New Roman" w:cs="Times New Roman" w:eastAsia="Times New Roman" w:hAnsi="Times New Roman"/>
          <w:sz w:val="15"/>
          <w:szCs w:val="15"/>
          <w:color w:val="auto"/>
        </w:rPr>
        <w:t>The taxation of other property (other than common shares) received with respect to a pre-funded warrant on exercise is unclear. It is possible such a receipt of property would be treated as a distribution on common stock as described in the section above entitled “—Distributions,” although other treatments may also be possible. Investors should consult their tax advisors regarding the proper treatment of any such receipt of property in respect of the pre-funded warrants on exercise.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U.S. holder’s initial tax basis in the share of common stock received upon exercise of the pre-funded warrant generally should be equal to the sum of</w:t>
      </w:r>
    </w:p>
    <w:p>
      <w:pPr>
        <w:spacing w:after="0" w:line="31" w:lineRule="exact"/>
        <w:rPr>
          <w:sz w:val="20"/>
          <w:szCs w:val="20"/>
          <w:color w:val="auto"/>
        </w:rPr>
      </w:pPr>
    </w:p>
    <w:p>
      <w:pPr>
        <w:ind w:right="239" w:firstLine="2"/>
        <w:spacing w:after="0" w:line="250" w:lineRule="auto"/>
        <w:tabs>
          <w:tab w:leader="none" w:pos="176"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U.S. holder’s tax basis in the pre-funded warrant and (ii) the exercise price paid or treated as paid by such U.S. holder on the exercise of the pre-funded warrant. A U.S. holder’s holding period in the common stock received upon exercise generally should include such U.S. holder’s holding period in the pre-funded warrants exchanged therefor.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Information Reporting and Backup Withholding</w:t>
      </w:r>
    </w:p>
    <w:p>
      <w:pPr>
        <w:spacing w:after="0" w:line="97" w:lineRule="exact"/>
        <w:rPr>
          <w:sz w:val="20"/>
          <w:szCs w:val="20"/>
          <w:color w:val="auto"/>
        </w:rPr>
      </w:pPr>
    </w:p>
    <w:p>
      <w:pPr>
        <w:ind w:right="159"/>
        <w:spacing w:after="0" w:line="255" w:lineRule="auto"/>
        <w:rPr>
          <w:sz w:val="20"/>
          <w:szCs w:val="20"/>
          <w:color w:val="auto"/>
        </w:rPr>
      </w:pPr>
      <w:r>
        <w:rPr>
          <w:rFonts w:ascii="Times New Roman" w:cs="Times New Roman" w:eastAsia="Times New Roman" w:hAnsi="Times New Roman"/>
          <w:sz w:val="15"/>
          <w:szCs w:val="15"/>
          <w:color w:val="auto"/>
        </w:rPr>
        <w:t>Information reporting requirements generally will apply to payments of distributions (including constructive distributions) on the Securities and to the proceeds of a sale or other disposition of Securities paid by us to you unless you are an exempt recipient, such as certain corporations. Backup withholding will apply to those payments if a U.S. holder fails to provide their taxpayer identification number, or certification of exempt status, or if a U.S. holder otherwise fails to comply with applicable requirements to establish an exemption.</w:t>
      </w:r>
    </w:p>
    <w:p>
      <w:pPr>
        <w:spacing w:after="0" w:line="153" w:lineRule="exact"/>
        <w:rPr>
          <w:sz w:val="20"/>
          <w:szCs w:val="20"/>
          <w:color w:val="auto"/>
        </w:rPr>
      </w:pPr>
    </w:p>
    <w:p>
      <w:pPr>
        <w:ind w:right="199"/>
        <w:spacing w:after="0" w:line="273" w:lineRule="auto"/>
        <w:rPr>
          <w:sz w:val="20"/>
          <w:szCs w:val="20"/>
          <w:color w:val="auto"/>
        </w:rPr>
      </w:pPr>
      <w:r>
        <w:rPr>
          <w:rFonts w:ascii="Times New Roman" w:cs="Times New Roman" w:eastAsia="Times New Roman" w:hAnsi="Times New Roman"/>
          <w:sz w:val="15"/>
          <w:szCs w:val="15"/>
          <w:color w:val="auto"/>
        </w:rPr>
        <w:t>Backup withholding is not an additional tax. Rather, any amounts withheld under the backup withholding rules may be allowed as a refund or a credit against a U.S. holder’s U.S. federal income tax liability, if any, provided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S-20</w:t>
      </w:r>
    </w:p>
    <w:p>
      <w:pPr>
        <w:sectPr>
          <w:pgSz w:w="11900" w:h="16838" w:orient="portrait"/>
          <w:cols w:equalWidth="0" w:num="1">
            <w:col w:w="9039"/>
          </w:cols>
          <w:pgMar w:left="1420" w:top="247" w:right="1440" w:bottom="1440" w:gutter="0" w:footer="0" w:header="0"/>
        </w:sectPr>
      </w:pPr>
    </w:p>
    <w:bookmarkStart w:id="22" w:name="page23"/>
    <w:bookmarkEnd w:id="22"/>
    <w:p>
      <w:pPr>
        <w:ind w:right="79"/>
        <w:spacing w:after="0" w:line="27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the required information is timely furnished to the IRS. Investors should consult their own tax advisors regarding their qualification for exemption from information reporting and backup withholding and the procedure for obtaining such exemption.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Tax Consequences Applicable to Non-U.S. Holders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Distributions</w:t>
      </w:r>
    </w:p>
    <w:p>
      <w:pPr>
        <w:spacing w:after="0" w:line="97" w:lineRule="exact"/>
        <w:rPr>
          <w:sz w:val="20"/>
          <w:szCs w:val="20"/>
          <w:color w:val="auto"/>
        </w:rPr>
      </w:pPr>
    </w:p>
    <w:p>
      <w:pPr>
        <w:ind w:right="19"/>
        <w:spacing w:after="0" w:line="271" w:lineRule="auto"/>
        <w:rPr>
          <w:sz w:val="20"/>
          <w:szCs w:val="20"/>
          <w:color w:val="auto"/>
        </w:rPr>
      </w:pPr>
      <w:r>
        <w:rPr>
          <w:rFonts w:ascii="Times New Roman" w:cs="Times New Roman" w:eastAsia="Times New Roman" w:hAnsi="Times New Roman"/>
          <w:sz w:val="14"/>
          <w:szCs w:val="14"/>
          <w:color w:val="auto"/>
        </w:rPr>
        <w:t>We do not anticipate declaring or paying distributions to holders of our Securities in the foreseeable future. However, if we do make distributions on our Securities, such distributions (including constructive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Securities, but not below zero. Any excess will be treated as capital gain and will be treated as described below under the section entitled “Sale or Other Disposition of Securities.”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spacing w:after="0" w:line="146" w:lineRule="exact"/>
        <w:rPr>
          <w:sz w:val="20"/>
          <w:szCs w:val="20"/>
          <w:color w:val="auto"/>
        </w:rPr>
      </w:pPr>
    </w:p>
    <w:p>
      <w:pPr>
        <w:jc w:val="both"/>
        <w:ind w:right="79"/>
        <w:spacing w:after="0" w:line="260" w:lineRule="auto"/>
        <w:rPr>
          <w:sz w:val="20"/>
          <w:szCs w:val="20"/>
          <w:color w:val="auto"/>
        </w:rPr>
      </w:pPr>
      <w:r>
        <w:rPr>
          <w:rFonts w:ascii="Times New Roman" w:cs="Times New Roman" w:eastAsia="Times New Roman" w:hAnsi="Times New Roman"/>
          <w:sz w:val="15"/>
          <w:szCs w:val="15"/>
          <w:color w:val="auto"/>
        </w:rPr>
        <w:t>Subject to the discussion below on backup withholding and FATCA (as defined below), dividends paid to a non-U.S. holder of our common stock that are not effectively connected with the non-U.S. holder’s conduct of a trade or business within the U.S. will be subject to U.S. federal withholding tax at a rate of 30% of the gross amount of the dividends (or such lower rate specified by an applicable income tax treaty).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Non-U.S. holders may be entitled to a reduction in or an exemption from withholding on dividends as a result of (i) an applicable income tax treaty or</w:t>
      </w:r>
    </w:p>
    <w:p>
      <w:pPr>
        <w:spacing w:after="0" w:line="19" w:lineRule="exact"/>
        <w:rPr>
          <w:sz w:val="20"/>
          <w:szCs w:val="20"/>
          <w:color w:val="auto"/>
        </w:rPr>
      </w:pPr>
    </w:p>
    <w:p>
      <w:pPr>
        <w:ind w:right="139" w:firstLine="2"/>
        <w:spacing w:after="0" w:line="247" w:lineRule="auto"/>
        <w:tabs>
          <w:tab w:leader="none" w:pos="21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non-U.S. holder holding our Securities in connection with the conduct of a trade or business within the U.S. and dividends being effectively connected with that trade or business. To claim a reduction in or exemption from withholding, the non-U.S. holder must provide the applicable withholding agent with a properly executed (a) IRS Form W-8BEN or W-8BEN-E (or other applicable documentation) claiming an exemption from or reduction of the withholding tax under the benefit of an income tax treaty between the U.S. and the country in which the non-U.S. holder resides or is established, or (b) IRS Form W-8ECI stating that the dividends are not subject to withholding tax because they are effectively connected with the conduct by the non-U.S. holder of a trade or business within the U.S., as may be applicable. These certifications must be provided to the applicable withholding agent prior to the payment of dividends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w:t>
      </w:r>
    </w:p>
    <w:p>
      <w:pPr>
        <w:spacing w:after="0" w:line="161" w:lineRule="exact"/>
        <w:rPr>
          <w:sz w:val="20"/>
          <w:szCs w:val="20"/>
          <w:color w:val="auto"/>
        </w:rPr>
      </w:pPr>
    </w:p>
    <w:p>
      <w:pPr>
        <w:ind w:right="59"/>
        <w:spacing w:after="0" w:line="250" w:lineRule="auto"/>
        <w:rPr>
          <w:sz w:val="20"/>
          <w:szCs w:val="20"/>
          <w:color w:val="auto"/>
        </w:rPr>
      </w:pPr>
      <w:r>
        <w:rPr>
          <w:rFonts w:ascii="Times New Roman" w:cs="Times New Roman" w:eastAsia="Times New Roman" w:hAnsi="Times New Roman"/>
          <w:sz w:val="15"/>
          <w:szCs w:val="15"/>
          <w:color w:val="auto"/>
        </w:rPr>
        <w:t>If dividends paid to a non-U.S. holder are effectively connected with the non-U.S. holder’s conduct of a trade or business within the U.S. (and, if required by an applicable income tax treaty, the non-U.S. holder maintains a permanent establishment in the U.S. to which such dividends are attributable), then, although exempt from U.S. federal withholding tax (provided the non-U.S. holder provides appropriate certification, as described above), the non-U.S. holder will be subject to U.S. federal income tax on such dividends on a net income basis at the regular graduated U.S. federal income tax rates. In addition, a non-U.S. holder that is a corporation may be subject to a branch profits tax at a rate of 30% (or such lower rate specified by an applicable income tax treaty) on its effectively connected earnings and profits for the taxable year that are attributable to such dividends, as adjusted for certain items. Non-U.S. holders should consult their tax advisors regarding their entitlement to benefits under any applicable income tax treaty.</w:t>
      </w:r>
    </w:p>
    <w:p>
      <w:pPr>
        <w:spacing w:after="0" w:line="158" w:lineRule="exact"/>
        <w:rPr>
          <w:sz w:val="20"/>
          <w:szCs w:val="20"/>
          <w:color w:val="auto"/>
        </w:rPr>
      </w:pPr>
    </w:p>
    <w:p>
      <w:pPr>
        <w:jc w:val="both"/>
        <w:ind w:right="39"/>
        <w:spacing w:after="0" w:line="260" w:lineRule="auto"/>
        <w:rPr>
          <w:sz w:val="20"/>
          <w:szCs w:val="20"/>
          <w:color w:val="auto"/>
        </w:rPr>
      </w:pPr>
      <w:r>
        <w:rPr>
          <w:rFonts w:ascii="Times New Roman" w:cs="Times New Roman" w:eastAsia="Times New Roman" w:hAnsi="Times New Roman"/>
          <w:sz w:val="15"/>
          <w:szCs w:val="15"/>
          <w:color w:val="auto"/>
        </w:rPr>
        <w:t>The taxation of property (other than common shares) received with respect to a pre-funded warrant on exercise is unclear. It is possible such a receipt of property would be treated as a distribution as described in this section, although other treatments may also be possible. Investors should consult their tax advisors regarding the proper treatment of any such receipt of property in respect of the pre-funded warrants on exercise.</w:t>
      </w:r>
    </w:p>
    <w:p>
      <w:pPr>
        <w:spacing w:after="0" w:line="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S-21</w:t>
      </w:r>
    </w:p>
    <w:p>
      <w:pPr>
        <w:sectPr>
          <w:pgSz w:w="11900" w:h="16838" w:orient="portrait"/>
          <w:cols w:equalWidth="0" w:num="1">
            <w:col w:w="9039"/>
          </w:cols>
          <w:pgMar w:left="1420" w:top="247"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Certain Adjustments to the Pre-Funded Warrants</w:t>
      </w:r>
    </w:p>
    <w:p>
      <w:pPr>
        <w:spacing w:after="0" w:line="9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5"/>
          <w:szCs w:val="15"/>
          <w:color w:val="auto"/>
        </w:rPr>
        <w:t>As described under “Certain Adjustments to the Pre-Funded Warrants,” an adjustment to the pre-funded warrants could result in a constructive distribution to a non-U.S. Holder, which would be treated as described under “Distributions”. Any resulting withholding tax attributable to deemed dividends would be collected from other amounts payable or distributable to the non-U.S. Holder. Non-U.S. Holders should consult their tax advisors regarding the proper treatment of any adjustments to the pre-funded warrants.</w:t>
      </w:r>
    </w:p>
    <w:p>
      <w:pPr>
        <w:spacing w:after="0" w:line="15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5"/>
          <w:szCs w:val="15"/>
          <w:color w:val="auto"/>
        </w:rPr>
        <w:t>In addition, regulations governing “dividend equivalents” under Section 871(m) of the Code may apply to the pre-funded warrants. Under those regulations, an implicit or explicit payment under the pre-funded warrants that references a dividend distribution on our common stock generally would be taxable to a non-U.S. holder as described under “Distributions” above. Such dividend equivalent amount would be taxable and subject to withholding whether or not there is actual payment of cash or other property, and we may satisfy any withholding obligations we have in respect of the pre-funded warrants by withholding from other amounts due to a non-U.S. holder.</w:t>
      </w:r>
    </w:p>
    <w:p>
      <w:pPr>
        <w:spacing w:after="0" w:line="155" w:lineRule="exact"/>
        <w:rPr>
          <w:sz w:val="20"/>
          <w:szCs w:val="20"/>
          <w:color w:val="auto"/>
        </w:rPr>
      </w:pPr>
    </w:p>
    <w:p>
      <w:pPr>
        <w:ind w:right="800"/>
        <w:spacing w:after="0" w:line="273" w:lineRule="auto"/>
        <w:rPr>
          <w:sz w:val="20"/>
          <w:szCs w:val="20"/>
          <w:color w:val="auto"/>
        </w:rPr>
      </w:pPr>
      <w:r>
        <w:rPr>
          <w:rFonts w:ascii="Times New Roman" w:cs="Times New Roman" w:eastAsia="Times New Roman" w:hAnsi="Times New Roman"/>
          <w:sz w:val="15"/>
          <w:szCs w:val="15"/>
          <w:color w:val="auto"/>
        </w:rPr>
        <w:t>Non-U.S. holders are encouraged to consult their own tax advisors regarding the proper treatment of any adjustments and the application of Section 871(m) of the Code to the pre-funded warrants.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Sale or Other Disposition of the Securities</w:t>
      </w:r>
    </w:p>
    <w:p>
      <w:pPr>
        <w:spacing w:after="0" w:line="97"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5"/>
          <w:szCs w:val="15"/>
          <w:color w:val="auto"/>
        </w:rPr>
        <w:t>Subject to the discussions below on backup withholding and FATCA, a non-U.S. holder will not be subject to U.S. federal income tax on any gain realized upon the sale or other disposition of the Securities unless:</w:t>
      </w:r>
    </w:p>
    <w:p>
      <w:pPr>
        <w:spacing w:after="0" w:line="62" w:lineRule="exact"/>
        <w:rPr>
          <w:sz w:val="20"/>
          <w:szCs w:val="20"/>
          <w:color w:val="auto"/>
        </w:rPr>
      </w:pPr>
    </w:p>
    <w:p>
      <w:pPr>
        <w:ind w:left="800" w:hanging="354"/>
        <w:spacing w:after="0" w:line="273" w:lineRule="auto"/>
        <w:tabs>
          <w:tab w:leader="none" w:pos="80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gain is effectively connected with the non-U.S. holder’s conduct of a trade or business within the U.S. (and, if required by an applicable income tax treaty, the non-U.S. holder maintains a permanent establishment in the U.S. to which such gain is attributable);</w:t>
      </w:r>
    </w:p>
    <w:p>
      <w:pPr>
        <w:spacing w:after="0" w:line="61" w:lineRule="exact"/>
        <w:rPr>
          <w:rFonts w:ascii="Times New Roman" w:cs="Times New Roman" w:eastAsia="Times New Roman" w:hAnsi="Times New Roman"/>
          <w:sz w:val="15"/>
          <w:szCs w:val="15"/>
          <w:color w:val="auto"/>
        </w:rPr>
      </w:pPr>
    </w:p>
    <w:p>
      <w:pPr>
        <w:ind w:left="800" w:right="40" w:hanging="354"/>
        <w:spacing w:after="0" w:line="273" w:lineRule="auto"/>
        <w:tabs>
          <w:tab w:leader="none" w:pos="80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non-U.S. holder is a nonresident alien individual present in the U.S. for 183 days or more during the taxable year of the disposition and certain other requirements are met; or</w:t>
      </w:r>
    </w:p>
    <w:p>
      <w:pPr>
        <w:spacing w:after="0" w:line="61" w:lineRule="exact"/>
        <w:rPr>
          <w:rFonts w:ascii="Times New Roman" w:cs="Times New Roman" w:eastAsia="Times New Roman" w:hAnsi="Times New Roman"/>
          <w:sz w:val="15"/>
          <w:szCs w:val="15"/>
          <w:color w:val="auto"/>
        </w:rPr>
      </w:pPr>
    </w:p>
    <w:p>
      <w:pPr>
        <w:ind w:left="800" w:right="520" w:hanging="354"/>
        <w:spacing w:after="0" w:line="273" w:lineRule="auto"/>
        <w:tabs>
          <w:tab w:leader="none" w:pos="80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Securities constitute U.S. real property interests (“USRPIs”) by reason of our status as a U.S. real property holding corporation (“USRPHC”) for U.S. federal income tax purposes.</w:t>
      </w:r>
    </w:p>
    <w:p>
      <w:pPr>
        <w:spacing w:after="0" w:line="14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5"/>
          <w:szCs w:val="15"/>
          <w:color w:val="auto"/>
        </w:rPr>
        <w:t>Gain described in the first bullet point above generally will be subject to U.S. federal income tax on a net income basis at the regular graduated U.S. federal income tax rates. A non-U.S. holder that is a foreign corporation also may be subject to a branch profits tax at a rate of 30% (or such lower rate specified by an applicable income tax treaty) on such effectively connected gain, as adjusted for certain items.</w:t>
      </w:r>
    </w:p>
    <w:p>
      <w:pPr>
        <w:spacing w:after="0" w:line="1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5"/>
          <w:szCs w:val="15"/>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U.S.) provided the non-U.S. holder has timely filed U.S. federal income tax returns with respect to such losses.</w:t>
      </w:r>
    </w:p>
    <w:p>
      <w:pPr>
        <w:spacing w:after="0" w:line="15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5"/>
          <w:szCs w:val="15"/>
          <w:color w:val="auto"/>
        </w:rPr>
        <w:t>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such as The Nasdaq Global Market, and such non-U.S. holder owned, actually and constructively, 5% or less of our common stock throughout the shorter of the five-year period ending on the date of the sale or other taxable disposition or the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S-22</w:t>
      </w:r>
    </w:p>
    <w:p>
      <w:pPr>
        <w:sectPr>
          <w:pgSz w:w="11900" w:h="16838" w:orient="portrait"/>
          <w:cols w:equalWidth="0" w:num="1">
            <w:col w:w="9040"/>
          </w:cols>
          <w:pgMar w:left="1420" w:top="243" w:right="1439" w:bottom="1440" w:gutter="0" w:footer="0" w:header="0"/>
        </w:sectPr>
      </w:pPr>
    </w:p>
    <w:bookmarkStart w:id="24" w:name="page25"/>
    <w:bookmarkEnd w:id="24"/>
    <w:p>
      <w:pPr>
        <w:ind w:right="299"/>
        <w:spacing w:after="0" w:line="31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non-U.S. Holder’s holding period. There can be no assurance that our common stock will be regularly traded on an established securities market for purposes of the rules described above. Special rules may apply to non-U.S. holders of pre-funded warrants, who should consult their tax advisors.</w:t>
      </w:r>
    </w:p>
    <w:p>
      <w:pPr>
        <w:spacing w:after="0" w:line="116" w:lineRule="exact"/>
        <w:rPr>
          <w:sz w:val="20"/>
          <w:szCs w:val="20"/>
          <w:color w:val="auto"/>
        </w:rPr>
      </w:pPr>
    </w:p>
    <w:p>
      <w:pPr>
        <w:ind w:right="219"/>
        <w:spacing w:after="0" w:line="273" w:lineRule="auto"/>
        <w:rPr>
          <w:sz w:val="20"/>
          <w:szCs w:val="20"/>
          <w:color w:val="auto"/>
        </w:rPr>
      </w:pPr>
      <w:r>
        <w:rPr>
          <w:rFonts w:ascii="Times New Roman" w:cs="Times New Roman" w:eastAsia="Times New Roman" w:hAnsi="Times New Roman"/>
          <w:sz w:val="15"/>
          <w:szCs w:val="15"/>
          <w:color w:val="auto"/>
        </w:rPr>
        <w:t>Non-U.S. holders should consult their tax advisors regarding potentially applicable income tax treaties that may provide for different rules than those described above.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Exercise of Pre-Funded Warrants</w:t>
      </w:r>
    </w:p>
    <w:p>
      <w:pPr>
        <w:spacing w:after="0" w:line="97" w:lineRule="exact"/>
        <w:rPr>
          <w:sz w:val="20"/>
          <w:szCs w:val="20"/>
          <w:color w:val="auto"/>
        </w:rPr>
      </w:pPr>
    </w:p>
    <w:p>
      <w:pPr>
        <w:ind w:right="119"/>
        <w:spacing w:after="0" w:line="255" w:lineRule="auto"/>
        <w:rPr>
          <w:sz w:val="20"/>
          <w:szCs w:val="20"/>
          <w:color w:val="auto"/>
        </w:rPr>
      </w:pPr>
      <w:r>
        <w:rPr>
          <w:rFonts w:ascii="Times New Roman" w:cs="Times New Roman" w:eastAsia="Times New Roman" w:hAnsi="Times New Roman"/>
          <w:sz w:val="15"/>
          <w:szCs w:val="15"/>
          <w:color w:val="auto"/>
        </w:rPr>
        <w:t>A non-U.S. holder may exercise the pre-funded warrant by payment of the exercise price or through a cashless exercise. In general, a non-U.S. holder should not recognize gain or loss for U.S. federal income tax purposes upon exercise of a pre-funded warrant pursuant to either method. If such non-U.S. holder receives a cash payment for a fractional share that would otherwise have been issuable upon exercise of the pre-funded warrant, it will be treated as a sale subject to the rules described above under “—Sale or Other Disposition of the Securities.”</w:t>
      </w:r>
    </w:p>
    <w:p>
      <w:pPr>
        <w:spacing w:after="0" w:line="153" w:lineRule="exact"/>
        <w:rPr>
          <w:sz w:val="20"/>
          <w:szCs w:val="20"/>
          <w:color w:val="auto"/>
        </w:rPr>
      </w:pPr>
    </w:p>
    <w:p>
      <w:pPr>
        <w:ind w:right="59"/>
        <w:spacing w:after="0" w:line="260" w:lineRule="auto"/>
        <w:rPr>
          <w:sz w:val="20"/>
          <w:szCs w:val="20"/>
          <w:color w:val="auto"/>
        </w:rPr>
      </w:pPr>
      <w:r>
        <w:rPr>
          <w:rFonts w:ascii="Times New Roman" w:cs="Times New Roman" w:eastAsia="Times New Roman" w:hAnsi="Times New Roman"/>
          <w:sz w:val="15"/>
          <w:szCs w:val="15"/>
          <w:color w:val="auto"/>
        </w:rPr>
        <w:t>The taxation of property (other than common shares) received with respect to a pre-funded warrant on exercise is unclear. It is possible such a receipt of property would be treated as a distribution on common stock as described above, although other treatments may also be possible. Investors should consult their tax advisors regarding the proper treatment of any such receipt of property in respect of the pre-funded warrants on exercise.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Information Reporting and Backup Withholding</w:t>
      </w:r>
    </w:p>
    <w:p>
      <w:pPr>
        <w:spacing w:after="0" w:line="97" w:lineRule="exact"/>
        <w:rPr>
          <w:sz w:val="20"/>
          <w:szCs w:val="20"/>
          <w:color w:val="auto"/>
        </w:rPr>
      </w:pPr>
    </w:p>
    <w:p>
      <w:pPr>
        <w:ind w:right="239"/>
        <w:spacing w:after="0" w:line="251" w:lineRule="auto"/>
        <w:rPr>
          <w:sz w:val="20"/>
          <w:szCs w:val="20"/>
          <w:color w:val="auto"/>
        </w:rPr>
      </w:pPr>
      <w:r>
        <w:rPr>
          <w:rFonts w:ascii="Times New Roman" w:cs="Times New Roman" w:eastAsia="Times New Roman" w:hAnsi="Times New Roman"/>
          <w:sz w:val="15"/>
          <w:szCs w:val="15"/>
          <w:color w:val="auto"/>
        </w:rPr>
        <w:t>Subject to the discussion below on FATCA, a non-U.S. holder will not be subject to backup withholding with respect to distributions we make on the Securities to the non-U.S. holder, provided the applicable withholding agent does not have actual knowledge or reason to know such holder is a U.S. person and the holder certifies its non-U.S. status, such as by providing a valid IRS Form W-8BEN, W-8BEN-E or W-8ECI, or other applicable certification. However, information returns generally will be filed with the IRS in connection with any distributions (including deemed distributions) made on the Securities to the non-U.S. holder, regardless of whether any tax was actually withheld. Copies of these information returns may also be made available under the provisions of a specific treaty or agreement to the tax authorities of the country in which the non-U.S. holder resides or is established.</w:t>
      </w:r>
    </w:p>
    <w:p>
      <w:pPr>
        <w:spacing w:after="0" w:line="156" w:lineRule="exact"/>
        <w:rPr>
          <w:sz w:val="20"/>
          <w:szCs w:val="20"/>
          <w:color w:val="auto"/>
        </w:rPr>
      </w:pPr>
    </w:p>
    <w:p>
      <w:pPr>
        <w:ind w:right="59"/>
        <w:spacing w:after="0" w:line="271" w:lineRule="auto"/>
        <w:rPr>
          <w:sz w:val="20"/>
          <w:szCs w:val="20"/>
          <w:color w:val="auto"/>
        </w:rPr>
      </w:pPr>
      <w:r>
        <w:rPr>
          <w:rFonts w:ascii="Times New Roman" w:cs="Times New Roman" w:eastAsia="Times New Roman" w:hAnsi="Times New Roman"/>
          <w:sz w:val="14"/>
          <w:szCs w:val="14"/>
          <w:color w:val="auto"/>
        </w:rPr>
        <w:t>Information reporting and backup withholding may apply to the proceeds of a sale or other taxable disposition of the Securities within the U.S., and information reporting may (although backup withholding generally will not) apply to the proceeds of a sale or other taxable disposition of the Securities outside the U.S. conducted through certain U.S.-related financial intermediaries, in each case, unless the beneficial owner certifies under penalty of perjury that it is a non-U.S. holder on IRS Form W-8BEN or W-8BEN-E, or other applicable form (and the payor does not have actual knowledge or reason to know that the beneficial owner is a U.S. person) or such owner otherwise establishes an exemption. Proceeds of a disposition of the Securities conducted through a non-U.S. office of a non-U.S. broker generally will not be subject to backup withholding or information reporting. Non-U.S. holders should consult their tax advisors regarding the application of the information reporting and backup withholding rules to them.</w:t>
      </w:r>
    </w:p>
    <w:p>
      <w:pPr>
        <w:spacing w:after="0" w:line="146" w:lineRule="exact"/>
        <w:rPr>
          <w:sz w:val="20"/>
          <w:szCs w:val="20"/>
          <w:color w:val="auto"/>
        </w:rPr>
      </w:pPr>
    </w:p>
    <w:p>
      <w:pPr>
        <w:ind w:right="59"/>
        <w:spacing w:after="0" w:line="273" w:lineRule="auto"/>
        <w:rPr>
          <w:sz w:val="20"/>
          <w:szCs w:val="20"/>
          <w:color w:val="auto"/>
        </w:rPr>
      </w:pPr>
      <w:r>
        <w:rPr>
          <w:rFonts w:ascii="Times New Roman" w:cs="Times New Roman" w:eastAsia="Times New Roman" w:hAnsi="Times New Roman"/>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FATCA</w:t>
      </w:r>
    </w:p>
    <w:p>
      <w:pPr>
        <w:spacing w:after="0" w:line="97" w:lineRule="exact"/>
        <w:rPr>
          <w:sz w:val="20"/>
          <w:szCs w:val="20"/>
          <w:color w:val="auto"/>
        </w:rPr>
      </w:pPr>
    </w:p>
    <w:p>
      <w:pPr>
        <w:ind w:right="219"/>
        <w:spacing w:after="0" w:line="260" w:lineRule="auto"/>
        <w:rPr>
          <w:sz w:val="20"/>
          <w:szCs w:val="20"/>
          <w:color w:val="auto"/>
        </w:rPr>
      </w:pPr>
      <w:r>
        <w:rPr>
          <w:rFonts w:ascii="Times New Roman" w:cs="Times New Roman" w:eastAsia="Times New Roman" w:hAnsi="Times New Roman"/>
          <w:sz w:val="15"/>
          <w:szCs w:val="15"/>
          <w:color w:val="auto"/>
        </w:rPr>
        <w:t>Withholding taxes may be imposed under Sections 1471 to 1474 of the Code (“FATCA”) on certain payments made to non-U.S. financial institutions and certain other non-U.S. entities. Specifically, a 30% withholding tax may be imposed on dividends (including deemed dividends) paid on the Securities to a “foreign financial</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S-23</w:t>
      </w:r>
    </w:p>
    <w:p>
      <w:pPr>
        <w:sectPr>
          <w:pgSz w:w="11900" w:h="16838" w:orient="portrait"/>
          <w:cols w:equalWidth="0" w:num="1">
            <w:col w:w="9039"/>
          </w:cols>
          <w:pgMar w:left="1420" w:top="247" w:right="1440" w:bottom="1440" w:gutter="0" w:footer="0" w:header="0"/>
        </w:sectPr>
      </w:pPr>
    </w:p>
    <w:bookmarkStart w:id="25" w:name="page26"/>
    <w:bookmarkEnd w:id="25"/>
    <w:p>
      <w:pPr>
        <w:ind w:right="19"/>
        <w:spacing w:after="0" w:line="24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in each case subject to the proposed Treasury Regulations discussed below.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Because we may not know the extent to which a distribution is a dividend for U.S. federal income tax purposes at the time it is made, for purposes of these withholding rules we or the applicable withholding agent may treat the entire distribution as a dividend.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Prospective investors should consult their tax advisors regarding the potential application of these withholding provisions. Foreign financial institutions located in jurisdictions that have an intergovernmental agreement with the U.S. governing FATCA may be subject to different rules.</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S-24</w:t>
      </w:r>
    </w:p>
    <w:p>
      <w:pPr>
        <w:sectPr>
          <w:pgSz w:w="11900" w:h="16838" w:orient="portrait"/>
          <w:cols w:equalWidth="0" w:num="1">
            <w:col w:w="9039"/>
          </w:cols>
          <w:pgMar w:left="1420" w:top="247"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UNDERWRITING</w:t>
      </w:r>
    </w:p>
    <w:p>
      <w:pPr>
        <w:spacing w:after="0" w:line="18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5"/>
          <w:szCs w:val="15"/>
          <w:color w:val="auto"/>
        </w:rPr>
        <w:t>Subject to the terms and conditions set forth in the underwriting agreement, dated August 20, 2025, between us and Cantor Fitzgerald &amp; Co. (the “Representative”) and the sole book-running manager of this offering, we have agreed to sell to the Representative, and the Representative has agreed to purchase from us, the shares of common stock and pre-funded warrants shown opposite its name below:</w:t>
      </w:r>
    </w:p>
    <w:p>
      <w:pPr>
        <w:spacing w:after="0" w:line="150" w:lineRule="exact"/>
        <w:rPr>
          <w:sz w:val="20"/>
          <w:szCs w:val="20"/>
          <w:color w:val="auto"/>
        </w:rPr>
      </w:pPr>
    </w:p>
    <w:tbl>
      <w:tblPr>
        <w:tblLayout w:type="fixed"/>
        <w:tblInd w:w="10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0" w:type="dxa"/>
            <w:vAlign w:val="bottom"/>
          </w:tcPr>
          <w:p>
            <w:pPr>
              <w:spacing w:after="0"/>
              <w:rPr>
                <w:sz w:val="1"/>
                <w:szCs w:val="1"/>
                <w:color w:val="auto"/>
              </w:rPr>
            </w:pPr>
          </w:p>
        </w:tc>
      </w:tr>
      <w:tr>
        <w:trPr>
          <w:trHeight w:val="122"/>
        </w:trPr>
        <w:tc>
          <w:tcPr>
            <w:tcW w:w="46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Underwriter</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Number of Shares</w:t>
            </w:r>
          </w:p>
        </w:tc>
        <w:tc>
          <w:tcPr>
            <w:tcW w:w="440" w:type="dxa"/>
            <w:vAlign w:val="bottom"/>
          </w:tcPr>
          <w:p>
            <w:pPr>
              <w:spacing w:after="0"/>
              <w:rPr>
                <w:sz w:val="10"/>
                <w:szCs w:val="10"/>
                <w:color w:val="auto"/>
              </w:rPr>
            </w:pPr>
          </w:p>
        </w:tc>
        <w:tc>
          <w:tcPr>
            <w:tcW w:w="8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b w:val="1"/>
                <w:bCs w:val="1"/>
                <w:color w:val="auto"/>
              </w:rPr>
              <w:t>Pre-Funded</w:t>
            </w:r>
          </w:p>
        </w:tc>
        <w:tc>
          <w:tcPr>
            <w:tcW w:w="0" w:type="dxa"/>
            <w:vAlign w:val="bottom"/>
          </w:tcPr>
          <w:p>
            <w:pPr>
              <w:spacing w:after="0"/>
              <w:rPr>
                <w:sz w:val="1"/>
                <w:szCs w:val="1"/>
                <w:color w:val="auto"/>
              </w:rPr>
            </w:pPr>
          </w:p>
        </w:tc>
      </w:tr>
      <w:tr>
        <w:trPr>
          <w:trHeight w:val="130"/>
        </w:trPr>
        <w:tc>
          <w:tcPr>
            <w:tcW w:w="4680" w:type="dxa"/>
            <w:vAlign w:val="bottom"/>
            <w:gridSpan w:val="3"/>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2"/>
          </w:tcPr>
          <w:p>
            <w:pPr>
              <w:jc w:val="center"/>
              <w:ind w:right="40"/>
              <w:spacing w:after="0" w:line="130" w:lineRule="exact"/>
              <w:rPr>
                <w:sz w:val="20"/>
                <w:szCs w:val="20"/>
                <w:color w:val="auto"/>
              </w:rPr>
            </w:pPr>
            <w:r>
              <w:rPr>
                <w:rFonts w:ascii="Times New Roman" w:cs="Times New Roman" w:eastAsia="Times New Roman" w:hAnsi="Times New Roman"/>
                <w:sz w:val="12"/>
                <w:szCs w:val="12"/>
                <w:b w:val="1"/>
                <w:bCs w:val="1"/>
                <w:color w:val="auto"/>
                <w:w w:val="95"/>
              </w:rPr>
              <w:t>Warrants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Cantor Fitzgerald &amp; Co.</w:t>
            </w:r>
          </w:p>
        </w:tc>
        <w:tc>
          <w:tcPr>
            <w:tcW w:w="9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74,811,404</w:t>
            </w:r>
          </w:p>
        </w:tc>
        <w:tc>
          <w:tcPr>
            <w:tcW w:w="4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80"/>
              <w:spacing w:after="0" w:line="159" w:lineRule="exact"/>
              <w:rPr>
                <w:sz w:val="20"/>
                <w:szCs w:val="20"/>
                <w:color w:val="auto"/>
              </w:rPr>
            </w:pPr>
            <w:r>
              <w:rPr>
                <w:rFonts w:ascii="Times New Roman" w:cs="Times New Roman" w:eastAsia="Times New Roman" w:hAnsi="Times New Roman"/>
                <w:sz w:val="15"/>
                <w:szCs w:val="15"/>
                <w:color w:val="auto"/>
                <w:w w:val="94"/>
              </w:rPr>
              <w:t>21,342,442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6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Total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74,811,404</w:t>
            </w:r>
          </w:p>
        </w:tc>
        <w:tc>
          <w:tcPr>
            <w:tcW w:w="440" w:type="dxa"/>
            <w:vAlign w:val="bottom"/>
          </w:tcPr>
          <w:p>
            <w:pPr>
              <w:spacing w:after="0"/>
              <w:rPr>
                <w:sz w:val="15"/>
                <w:szCs w:val="15"/>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4"/>
              </w:rPr>
              <w:t>21,342,442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5"/>
          <w:szCs w:val="15"/>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and pre-funded warrants if any of them are purchased.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5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5"/>
          <w:szCs w:val="15"/>
          <w:color w:val="auto"/>
        </w:rPr>
        <w:t>The underwriters are offering the shares of common stock and pre-funded warrants subject to their acceptance of the shares of common stock and pre-funded warrants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Option to Purchase Additional Shares</w:t>
      </w:r>
    </w:p>
    <w:p>
      <w:pPr>
        <w:spacing w:after="0" w:line="9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We have granted to the underwriters an option, exercisable 30 days from the date of this prospectus supplement, to purchase, from time to time, in whole or in part, up to an aggregate of 14,423,076 shares from us at the public offering price set forth on the cover page of this prospectus supplement, less underwriting discounts and commissions. If the underwriters exercise this option, each underwriter will be obligated, subject to certain conditions, to purchase a number of additional shares approximately proportionate to that underwriter’s initial purchase commitment as indicated in the table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Commission and Expenses</w:t>
      </w:r>
    </w:p>
    <w:p>
      <w:pPr>
        <w:spacing w:after="0" w:line="9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5"/>
          <w:szCs w:val="15"/>
          <w:color w:val="auto"/>
        </w:rPr>
        <w:t>The underwriters have advised us that they propose to offer the shares of common stock and pre-funded warrants to the public at the public offering price set forth on the cover page of this prospectus supplement and to certain dealers, which may include the underwriters, at that price less a concession not in excess of $0.018 per share of common stock and $0.018 per pre-funded warrant. After the initial offering, the Representative may change the offering price and other selling terms.</w:t>
      </w:r>
    </w:p>
    <w:p>
      <w:pPr>
        <w:spacing w:after="0" w:line="15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5"/>
          <w:szCs w:val="15"/>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Per</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ind w:left="140"/>
              <w:spacing w:after="0" w:line="94" w:lineRule="exact"/>
              <w:rPr>
                <w:sz w:val="20"/>
                <w:szCs w:val="20"/>
                <w:color w:val="auto"/>
              </w:rPr>
            </w:pPr>
            <w:r>
              <w:rPr>
                <w:rFonts w:ascii="Times New Roman" w:cs="Times New Roman" w:eastAsia="Times New Roman" w:hAnsi="Times New Roman"/>
                <w:sz w:val="9"/>
                <w:szCs w:val="9"/>
                <w:b w:val="1"/>
                <w:bCs w:val="1"/>
                <w:color w:val="auto"/>
              </w:rPr>
              <w:t>Per</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Without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With</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b w:val="1"/>
                <w:bCs w:val="1"/>
                <w:color w:val="auto"/>
                <w:w w:val="97"/>
              </w:rPr>
              <w:t>Pre-Funded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Warrant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Public offering price</w:t>
            </w:r>
          </w:p>
        </w:tc>
        <w:tc>
          <w:tcPr>
            <w:tcW w:w="1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0.52</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shd w:val="clear" w:color="auto" w:fill="CCEEFF"/>
          </w:tcPr>
          <w:p>
            <w:pPr>
              <w:ind w:left="160"/>
              <w:spacing w:after="0" w:line="169" w:lineRule="exact"/>
              <w:rPr>
                <w:sz w:val="20"/>
                <w:szCs w:val="20"/>
                <w:color w:val="auto"/>
              </w:rPr>
            </w:pPr>
            <w:r>
              <w:rPr>
                <w:rFonts w:ascii="Times New Roman" w:cs="Times New Roman" w:eastAsia="Times New Roman" w:hAnsi="Times New Roman"/>
                <w:sz w:val="15"/>
                <w:szCs w:val="15"/>
                <w:color w:val="auto"/>
                <w:w w:val="92"/>
              </w:rPr>
              <w:t>0.5199</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99"/>
              </w:rPr>
              <w:t>49,997,865.68</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99"/>
              </w:rPr>
              <w:t>57,497,865.20</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Underwriting discounts and commissions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0.0312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15"/>
                <w:szCs w:val="15"/>
                <w:color w:val="auto"/>
                <w:w w:val="92"/>
              </w:rPr>
              <w:t>0.0312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3,449,999.97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to us, before expenses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0.4888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w w:val="92"/>
              </w:rPr>
              <w:t>0.4887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46,997,865.68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54,047,865.23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340" w:type="dxa"/>
            <w:vAlign w:val="bottom"/>
            <w:gridSpan w:val="2"/>
          </w:tcPr>
          <w:p>
            <w:pPr>
              <w:jc w:val="right"/>
              <w:ind w:right="206"/>
              <w:spacing w:after="0"/>
              <w:rPr>
                <w:sz w:val="20"/>
                <w:szCs w:val="20"/>
                <w:color w:val="auto"/>
              </w:rPr>
            </w:pPr>
            <w:r>
              <w:rPr>
                <w:rFonts w:ascii="Times New Roman" w:cs="Times New Roman" w:eastAsia="Times New Roman" w:hAnsi="Times New Roman"/>
                <w:sz w:val="15"/>
                <w:szCs w:val="15"/>
                <w:color w:val="auto"/>
              </w:rPr>
              <w:t>S-25</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20" w:top="245" w:right="1439" w:bottom="1440" w:gutter="0" w:footer="0" w:header="0"/>
        </w:sectPr>
      </w:pPr>
    </w:p>
    <w:bookmarkStart w:id="27" w:name="page28"/>
    <w:bookmarkEnd w:id="27"/>
    <w:p>
      <w:pPr>
        <w:ind w:right="120"/>
        <w:spacing w:after="0" w:line="25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We estimate expenses payable by us in connection with this offering, other than the underwriting discounts and commissions referred to above, will be approximately $500,000. Included in these estimated expenses payable by us is $175,000, which is the maximum amount we have agreed to reimburse the underwriters for certain of their counsels’ fees and expenses, which reimbursed fee is deemed underwriting compensation for this offering by the Financial Industry Regulatory Authority.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Listing</w:t>
      </w:r>
    </w:p>
    <w:p>
      <w:pPr>
        <w:spacing w:after="0" w:line="9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5"/>
          <w:szCs w:val="15"/>
          <w:color w:val="auto"/>
        </w:rPr>
        <w:t>Our common stock is listed on the Nasdaq Global Market under the trading symbol “IVVD.” There is no established public trading market for the pre-funded warrants, and we do not expect a market to develop. We do not intend to list the pre-funded warrants on The Nasdaq Global Market or any other national securities exchange or nationally recognized trading system.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 Sales of Similar Securities</w:t>
      </w:r>
    </w:p>
    <w:p>
      <w:pPr>
        <w:spacing w:after="0" w:line="95"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5"/>
          <w:szCs w:val="15"/>
          <w:color w:val="auto"/>
        </w:rPr>
        <w:t>We, our officers and our directors have agreed, subject to certain specified exceptions, not to directly or indirectly, through and including the 60th day after the date of the underwriting agreement (the “Lock-Up Period”):</w:t>
      </w:r>
    </w:p>
    <w:p>
      <w:pPr>
        <w:spacing w:after="0" w:line="62" w:lineRule="exact"/>
        <w:rPr>
          <w:sz w:val="20"/>
          <w:szCs w:val="20"/>
          <w:color w:val="auto"/>
        </w:rPr>
      </w:pPr>
    </w:p>
    <w:p>
      <w:pPr>
        <w:ind w:left="800" w:right="120" w:hanging="354"/>
        <w:spacing w:after="0" w:line="255" w:lineRule="auto"/>
        <w:tabs>
          <w:tab w:leader="none" w:pos="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offer to sell, contract to sell or lend, effect any short sale or establish or increase a “put equivalent position” within the meaning of Rule 16a-l(h) under the Exchange Act, or liquidate or decrease any “call equivalent position” (as defined in Rule 16a-1(b) under the Exchange Act), pledge, hypothecate or grant any security interest in, or in any other way transfer or dispose of, any common stock or any securities convertible into or exchangeable or exercisable for common stock,</w:t>
      </w:r>
    </w:p>
    <w:p>
      <w:pPr>
        <w:spacing w:after="0" w:line="75" w:lineRule="exact"/>
        <w:rPr>
          <w:rFonts w:ascii="Times New Roman" w:cs="Times New Roman" w:eastAsia="Times New Roman" w:hAnsi="Times New Roman"/>
          <w:sz w:val="15"/>
          <w:szCs w:val="15"/>
          <w:color w:val="auto"/>
        </w:rPr>
      </w:pPr>
    </w:p>
    <w:p>
      <w:pPr>
        <w:ind w:left="800" w:right="80" w:hanging="354"/>
        <w:spacing w:after="0" w:line="260" w:lineRule="auto"/>
        <w:tabs>
          <w:tab w:leader="none" w:pos="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demand for, or exercise any right with respect to, the registration of any shares of common stock or the filing of any registration statement, prospectus or prospectus supplement (or an amendment or supplement thereto) in connection therewith, under the Securities Act,</w:t>
      </w:r>
    </w:p>
    <w:p>
      <w:pPr>
        <w:spacing w:after="0" w:line="71" w:lineRule="exact"/>
        <w:rPr>
          <w:rFonts w:ascii="Times New Roman" w:cs="Times New Roman" w:eastAsia="Times New Roman" w:hAnsi="Times New Roman"/>
          <w:sz w:val="15"/>
          <w:szCs w:val="15"/>
          <w:color w:val="auto"/>
        </w:rPr>
      </w:pPr>
    </w:p>
    <w:p>
      <w:pPr>
        <w:ind w:left="800" w:right="40" w:hanging="354"/>
        <w:spacing w:after="0" w:line="260" w:lineRule="auto"/>
        <w:tabs>
          <w:tab w:leader="none" w:pos="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swap, hedge or any other agreement or transaction that transfers, in whole or in part, the economic consequence of ownership of common stock, whether any such swap or transaction is to be settled by delivery of common stock or other securities, in cash or otherwise, or</w:t>
      </w:r>
    </w:p>
    <w:p>
      <w:pPr>
        <w:spacing w:after="0" w:line="71" w:lineRule="exact"/>
        <w:rPr>
          <w:rFonts w:ascii="Times New Roman" w:cs="Times New Roman" w:eastAsia="Times New Roman" w:hAnsi="Times New Roman"/>
          <w:sz w:val="15"/>
          <w:szCs w:val="15"/>
          <w:color w:val="auto"/>
        </w:rPr>
      </w:pPr>
    </w:p>
    <w:p>
      <w:pPr>
        <w:ind w:left="800" w:right="860" w:hanging="354"/>
        <w:spacing w:after="0" w:line="273" w:lineRule="auto"/>
        <w:tabs>
          <w:tab w:leader="none" w:pos="8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publicly announce an intention to do any of the foregoing during the Lock-Up Period without the prior written consent of the Representative.</w:t>
      </w:r>
    </w:p>
    <w:p>
      <w:pPr>
        <w:spacing w:after="0" w:line="140"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5"/>
          <w:szCs w:val="15"/>
          <w:color w:val="auto"/>
        </w:rPr>
        <w:t>The Representative may, in its sole discretion and at any time or from time to time before the termination of the 60-day period release all or any portion of the securities subject to lock-up agreements.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restrictions in the preceding paragraph do not apply in certain circumstances, including, with respect to our officers and directors:</w:t>
      </w:r>
    </w:p>
    <w:p>
      <w:pPr>
        <w:spacing w:after="0" w:line="105" w:lineRule="exact"/>
        <w:rPr>
          <w:sz w:val="20"/>
          <w:szCs w:val="20"/>
          <w:color w:val="auto"/>
        </w:rPr>
      </w:pPr>
    </w:p>
    <w:p>
      <w:pPr>
        <w:ind w:left="800" w:hanging="443"/>
        <w:spacing w:after="0"/>
        <w:tabs>
          <w:tab w:leader="none" w:pos="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as a bona fide gift or gifts, charitable contribution or for bona fide estate planning purposes;</w:t>
      </w:r>
    </w:p>
    <w:p>
      <w:pPr>
        <w:spacing w:after="0" w:line="104" w:lineRule="exact"/>
        <w:rPr>
          <w:rFonts w:ascii="Times New Roman" w:cs="Times New Roman" w:eastAsia="Times New Roman" w:hAnsi="Times New Roman"/>
          <w:sz w:val="15"/>
          <w:szCs w:val="15"/>
          <w:color w:val="auto"/>
        </w:rPr>
      </w:pPr>
    </w:p>
    <w:p>
      <w:pPr>
        <w:ind w:left="800" w:right="40" w:hanging="443"/>
        <w:spacing w:after="0" w:line="255" w:lineRule="auto"/>
        <w:tabs>
          <w:tab w:leader="none" w:pos="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to any immediate family member or to any trust for the direct or indirect benefit of the lock-up signatory or the immediate family of the lock-up signatory (for purposes of these restrictions, “immediate family” shall mean the spouse, domestic partner, lineal descendant, father, mother, brother, sister, or any other person with whom the lock-up signatory has a relationship by blood, marriage or adoption not more remote than first cousin);</w:t>
      </w:r>
    </w:p>
    <w:p>
      <w:pPr>
        <w:spacing w:after="0" w:line="75" w:lineRule="exact"/>
        <w:rPr>
          <w:rFonts w:ascii="Times New Roman" w:cs="Times New Roman" w:eastAsia="Times New Roman" w:hAnsi="Times New Roman"/>
          <w:sz w:val="15"/>
          <w:szCs w:val="15"/>
          <w:color w:val="auto"/>
        </w:rPr>
      </w:pPr>
    </w:p>
    <w:p>
      <w:pPr>
        <w:ind w:left="800" w:hanging="443"/>
        <w:spacing w:after="0"/>
        <w:tabs>
          <w:tab w:leader="none" w:pos="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pursuant to a qualified domestic order or in connection with a divorce settlement;</w:t>
      </w:r>
    </w:p>
    <w:p>
      <w:pPr>
        <w:spacing w:after="0" w:line="104" w:lineRule="exact"/>
        <w:rPr>
          <w:rFonts w:ascii="Times New Roman" w:cs="Times New Roman" w:eastAsia="Times New Roman" w:hAnsi="Times New Roman"/>
          <w:sz w:val="15"/>
          <w:szCs w:val="15"/>
          <w:color w:val="auto"/>
        </w:rPr>
      </w:pPr>
    </w:p>
    <w:p>
      <w:pPr>
        <w:ind w:left="800" w:right="80" w:hanging="443"/>
        <w:spacing w:after="0" w:line="273" w:lineRule="auto"/>
        <w:tabs>
          <w:tab w:leader="none" w:pos="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by will or intestate succession to the legal representative, heir, beneficiary or immediate family of the lock-up signatory upon the death of the lock-up signatory;</w:t>
      </w:r>
    </w:p>
    <w:p>
      <w:pPr>
        <w:spacing w:after="0" w:line="61" w:lineRule="exact"/>
        <w:rPr>
          <w:rFonts w:ascii="Times New Roman" w:cs="Times New Roman" w:eastAsia="Times New Roman" w:hAnsi="Times New Roman"/>
          <w:sz w:val="15"/>
          <w:szCs w:val="15"/>
          <w:color w:val="auto"/>
        </w:rPr>
      </w:pPr>
    </w:p>
    <w:p>
      <w:pPr>
        <w:ind w:left="800" w:hanging="443"/>
        <w:spacing w:after="0" w:line="255" w:lineRule="auto"/>
        <w:tabs>
          <w:tab w:leader="none" w:pos="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pursuant to the exercise or exchange by the lock-up signatory of any options to purchase shares of our common stock, including the sales or transfers of shares of common stock or any security convertible into or exercisable or exchangeable for common stock upon the exercise of options to purchase our securities for cash or on a “cashless” or “net exercise” basis to cover exercise price and/or tax withholding obligations of the lock-up signatory in connection with such exercise, pursuant to our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S-26</w:t>
      </w:r>
    </w:p>
    <w:p>
      <w:pPr>
        <w:sectPr>
          <w:pgSz w:w="11900" w:h="16838" w:orient="portrait"/>
          <w:cols w:equalWidth="0" w:num="1">
            <w:col w:w="9040"/>
          </w:cols>
          <w:pgMar w:left="1420" w:top="247" w:right="1439" w:bottom="1440" w:gutter="0" w:footer="0" w:header="0"/>
        </w:sectPr>
      </w:pPr>
    </w:p>
    <w:bookmarkStart w:id="28" w:name="page29"/>
    <w:bookmarkEnd w:id="28"/>
    <w:p>
      <w:pPr>
        <w:ind w:left="820" w:right="300"/>
        <w:spacing w:after="0" w:line="25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stock option, stock bonus or other stock plan or arrangement; provided, however, that the underlying shares of common stock shall continue to be subject to the restrictions on transfer in the lock-up agreement and that any filing under Section 16 of the Exchange Act made in connection with such exercise or exchange shall clearly indicate in the footnotes thereto that (i) the filing relates to the circumstances described herein and (ii) the purpose of such sale or transfer was to cover the exercise price and/or tax withholding obligations, as applicable, of the lock-up signatory in connection with such exercise;</w:t>
      </w:r>
    </w:p>
    <w:p>
      <w:pPr>
        <w:spacing w:after="0" w:line="77" w:lineRule="exact"/>
        <w:rPr>
          <w:sz w:val="20"/>
          <w:szCs w:val="20"/>
          <w:color w:val="auto"/>
        </w:rPr>
      </w:pPr>
    </w:p>
    <w:p>
      <w:pPr>
        <w:ind w:left="800" w:hanging="443"/>
        <w:spacing w:after="0" w:line="255" w:lineRule="auto"/>
        <w:tabs>
          <w:tab w:leader="none" w:pos="8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pursuant to a bona fide third-party tender offer, merger, consolidation or other similar transaction, that is approved by our board of directors and made to all holders of our securities involving a change of control (as defined in the lock-up agreement) of our company, provided that in the event that such tender offer, merger, consolidation or other such transaction is not completed, such securities held by such lock-up party shall remain subject to the provisions of the lock-up agreement;</w:t>
      </w:r>
    </w:p>
    <w:p>
      <w:pPr>
        <w:spacing w:after="0" w:line="75" w:lineRule="exact"/>
        <w:rPr>
          <w:rFonts w:ascii="Times New Roman" w:cs="Times New Roman" w:eastAsia="Times New Roman" w:hAnsi="Times New Roman"/>
          <w:sz w:val="15"/>
          <w:szCs w:val="15"/>
          <w:color w:val="auto"/>
        </w:rPr>
      </w:pPr>
    </w:p>
    <w:p>
      <w:pPr>
        <w:ind w:left="800" w:hanging="443"/>
        <w:spacing w:after="0" w:line="252" w:lineRule="auto"/>
        <w:tabs>
          <w:tab w:leader="none" w:pos="8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a 10b5-1 trading plan that complies with Rule 10b5-1 under the Exchange Act (a “10b5-1 Trading Plan”) or from amending an existing 10b5-1 Trading Plan so long as there are no sales of our common stock under any such 10b5-1 Trading Plan during the Lock-Up Period; and provided that, the establishment of a 10b5-1 Trading Plan or the amendment of a 10b5-1 Trading Plan shall only be permitted if (1) the establishment or amendment of such plan is not required to be reported in any public report or filing with the SEC or otherwise, during the Lock-Up Period and (2) the lock-up signatory does not otherwise voluntarily effect any public filing or report regarding the establishment or amendment of such plan during the Lock-Up Period; or</w:t>
      </w:r>
    </w:p>
    <w:p>
      <w:pPr>
        <w:spacing w:after="0" w:line="76" w:lineRule="exact"/>
        <w:rPr>
          <w:rFonts w:ascii="Times New Roman" w:cs="Times New Roman" w:eastAsia="Times New Roman" w:hAnsi="Times New Roman"/>
          <w:sz w:val="15"/>
          <w:szCs w:val="15"/>
          <w:color w:val="auto"/>
        </w:rPr>
      </w:pPr>
    </w:p>
    <w:p>
      <w:pPr>
        <w:ind w:left="800" w:right="100" w:hanging="443"/>
        <w:spacing w:after="0" w:line="268" w:lineRule="auto"/>
        <w:tabs>
          <w:tab w:leader="none" w:pos="8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our common stock, at any time on or after the date of the underwriting agreement, pursuant to an existing trading plan that was established prior to the execution of the l lock-up agreement (an “Existing 10b5-1 Trading Plan”), providing for the sale of our common stock by the lock-up signatory, which trading plan meets the requirements of Rule 10b5-1(c) under the Exchange Act (including sell-to-cover transactions effected to satisfy the payment of withholding tax liability incurred upon the vesting of restricted stock units), provided the existence and details of such Existing 10b5-1 Trading Plan were communicated to the Representative and such Existing</w:t>
      </w:r>
    </w:p>
    <w:p>
      <w:pPr>
        <w:spacing w:after="0" w:line="2" w:lineRule="exact"/>
        <w:rPr>
          <w:rFonts w:ascii="Times New Roman" w:cs="Times New Roman" w:eastAsia="Times New Roman" w:hAnsi="Times New Roman"/>
          <w:sz w:val="14"/>
          <w:szCs w:val="14"/>
          <w:color w:val="auto"/>
        </w:rPr>
      </w:pPr>
    </w:p>
    <w:p>
      <w:pPr>
        <w:ind w:left="800" w:right="20"/>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10b5-1 Trading Plan will not be amended or otherwise modified during the Lock-Up Period; provided, further, that if the lock-up signatory reports any such sale on a Form 4 filed with the SEC, the lock-up signatory shall cause such Form 4 to include a statement that such sale was effected pursuant to such Existing 10b5-1 Trading Plan.</w:t>
      </w:r>
    </w:p>
    <w:p>
      <w:pPr>
        <w:spacing w:after="0" w:line="1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5"/>
          <w:szCs w:val="15"/>
          <w:color w:val="auto"/>
        </w:rPr>
        <w:t>Provided that, with respect to (i) through (iv) above, (1) prior to any such transfer, the Representative receives a signed lock-up agreement for the balance of the Lock-Up Period from each donee, trustee, distributee or transferee, as the case may be, (2) any such transfer shall not involve a disposition for value, (3) in the case of clauses (i) through (iii), such transfers are not required to be reported with the SEC under the Exchange Act, and (4) each such person does not otherwise voluntarily effect any public filing or report regarding such transfers.</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restrictions in the preceding paragraph do not apply in certain circumstances, including, with respect to us:</w:t>
      </w:r>
    </w:p>
    <w:p>
      <w:pPr>
        <w:spacing w:after="0" w:line="105" w:lineRule="exact"/>
        <w:rPr>
          <w:sz w:val="20"/>
          <w:szCs w:val="20"/>
          <w:color w:val="auto"/>
        </w:rPr>
      </w:pPr>
    </w:p>
    <w:p>
      <w:pPr>
        <w:ind w:left="800" w:right="140" w:hanging="443"/>
        <w:spacing w:after="0" w:line="273" w:lineRule="auto"/>
        <w:tabs>
          <w:tab w:leader="none" w:pos="8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effect the transactions contemplated by the underwriting agreement, including the delivery of the shares of our common stock issuable upon exercise of the pre-funded warrants;</w:t>
      </w:r>
    </w:p>
    <w:p>
      <w:pPr>
        <w:spacing w:after="0" w:line="61" w:lineRule="exact"/>
        <w:rPr>
          <w:rFonts w:ascii="Times New Roman" w:cs="Times New Roman" w:eastAsia="Times New Roman" w:hAnsi="Times New Roman"/>
          <w:sz w:val="15"/>
          <w:szCs w:val="15"/>
          <w:color w:val="auto"/>
        </w:rPr>
      </w:pPr>
    </w:p>
    <w:p>
      <w:pPr>
        <w:ind w:left="800" w:hanging="443"/>
        <w:spacing w:after="0" w:line="252" w:lineRule="auto"/>
        <w:tabs>
          <w:tab w:leader="none" w:pos="8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shares of common stock or any security convertible into or exercisable or exchangeable for common stock pursuant to any director or employee equity incentive plan, stock ownership plan, employee stock purchase plan, or dividend reinvestment plan in effect on the date of the underwriting agreement, which are described in the registration statement of which this prospectus supplement forms a part, or pursuant to inducement grants within the meaning of Nasdaq Listing Rule 5635(c)(4), provided that we cause each newly appointed director or executive officer that is a recipient of such shares or options to enter into a lock-up agreement with the Representative for the remainder of the Lock-Up Period;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S-27</w:t>
      </w:r>
    </w:p>
    <w:p>
      <w:pPr>
        <w:sectPr>
          <w:pgSz w:w="11900" w:h="16838" w:orient="portrait"/>
          <w:cols w:equalWidth="0" w:num="1">
            <w:col w:w="9040"/>
          </w:cols>
          <w:pgMar w:left="1420" w:top="247" w:right="1439" w:bottom="1440" w:gutter="0" w:footer="0" w:header="0"/>
        </w:sectPr>
      </w:pPr>
    </w:p>
    <w:bookmarkStart w:id="29" w:name="page30"/>
    <w:bookmarkEnd w:id="29"/>
    <w:p>
      <w:pPr>
        <w:jc w:val="both"/>
        <w:ind w:left="800" w:right="340" w:hanging="443"/>
        <w:spacing w:after="0" w:line="260" w:lineRule="auto"/>
        <w:tabs>
          <w:tab w:leader="none" w:pos="8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the issuance of shares of common stock pursuant to the vesting or exercise (including net exercise) of any security convertible into or exercisable or exchangeable for common stock, which are described in the registration statement of which this prospectus supplement forms a part;</w:t>
      </w:r>
    </w:p>
    <w:p>
      <w:pPr>
        <w:spacing w:after="0" w:line="71" w:lineRule="exact"/>
        <w:rPr>
          <w:rFonts w:ascii="Times New Roman" w:cs="Times New Roman" w:eastAsia="Times New Roman" w:hAnsi="Times New Roman"/>
          <w:sz w:val="15"/>
          <w:szCs w:val="15"/>
          <w:color w:val="auto"/>
        </w:rPr>
      </w:pPr>
    </w:p>
    <w:p>
      <w:pPr>
        <w:ind w:left="800" w:right="80" w:hanging="443"/>
        <w:spacing w:after="0" w:line="251" w:lineRule="auto"/>
        <w:tabs>
          <w:tab w:leader="none" w:pos="8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shares of common stock or any security convertible into or exercisable or exchangeable for common stock in connection with a transaction with a third party that includes a bona fide commercial relationship (including joint ventures, marketing or distribution arrangements, collaboration agreements or intellectual property license agreements) or any acquisition of assets of not less than a majority or controlling portion of the equity of another entity, provided that (x) the aggregate number of shares of common stock or any security convertible into or exercisable or exchangeable for common stock shall not exceed 5% of the total number of shares of common stock issued and outstanding as of the date of the underwriting agreement and (y) each recipient of shares or related securities shall execute a lock-up agreement with the Representative;</w:t>
      </w:r>
    </w:p>
    <w:p>
      <w:pPr>
        <w:spacing w:after="0" w:line="78" w:lineRule="exact"/>
        <w:rPr>
          <w:rFonts w:ascii="Times New Roman" w:cs="Times New Roman" w:eastAsia="Times New Roman" w:hAnsi="Times New Roman"/>
          <w:sz w:val="15"/>
          <w:szCs w:val="15"/>
          <w:color w:val="auto"/>
        </w:rPr>
      </w:pPr>
    </w:p>
    <w:p>
      <w:pPr>
        <w:ind w:left="800" w:right="160" w:hanging="443"/>
        <w:spacing w:after="0" w:line="260" w:lineRule="auto"/>
        <w:tabs>
          <w:tab w:leader="none" w:pos="8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filing of a registration statement on Form S-8 relating to shares of common stock or any security convertible into or exercisable or exchangeable for common stock granted (x) pursuant to our benefit plans, which are described in the registration statement of which this prospectus supplement forms a part, or (y) pursuant to inducement grants within the meaning of Nasdaq Listing Rule 5635(c)(4);</w:t>
      </w:r>
    </w:p>
    <w:p>
      <w:pPr>
        <w:spacing w:after="0" w:line="71" w:lineRule="exact"/>
        <w:rPr>
          <w:rFonts w:ascii="Times New Roman" w:cs="Times New Roman" w:eastAsia="Times New Roman" w:hAnsi="Times New Roman"/>
          <w:sz w:val="15"/>
          <w:szCs w:val="15"/>
          <w:color w:val="auto"/>
        </w:rPr>
      </w:pPr>
    </w:p>
    <w:p>
      <w:pPr>
        <w:jc w:val="both"/>
        <w:ind w:left="800" w:right="260" w:hanging="443"/>
        <w:spacing w:after="0" w:line="260" w:lineRule="auto"/>
        <w:tabs>
          <w:tab w:leader="none" w:pos="8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shares of common stock in connection with sales under the Sales Agreement, provided no sales shall be made under the Sales Agreement until the earlier of (i) the exercise in full by the underwriters of their option to purchase additional shares of common stock or (ii) 30 days after the date of the underwriting agreement; or</w:t>
      </w:r>
    </w:p>
    <w:p>
      <w:pPr>
        <w:spacing w:after="0" w:line="71" w:lineRule="exact"/>
        <w:rPr>
          <w:rFonts w:ascii="Times New Roman" w:cs="Times New Roman" w:eastAsia="Times New Roman" w:hAnsi="Times New Roman"/>
          <w:sz w:val="15"/>
          <w:szCs w:val="15"/>
          <w:color w:val="auto"/>
        </w:rPr>
      </w:pPr>
    </w:p>
    <w:p>
      <w:pPr>
        <w:ind w:left="800" w:hanging="443"/>
        <w:spacing w:after="0" w:line="273" w:lineRule="auto"/>
        <w:tabs>
          <w:tab w:leader="none" w:pos="8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filing of a shelf registration statement on Form S-3 relating to shares of common stock or any security convertible into or exercisable or exchangeable for common stock, including a prospectus with respect to the Sales Agreement.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 Making, Stabilization and Other Transactions</w:t>
      </w:r>
    </w:p>
    <w:p>
      <w:pPr>
        <w:spacing w:after="0" w:line="9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5"/>
          <w:szCs w:val="15"/>
          <w:color w:val="auto"/>
        </w:rPr>
        <w:t>The Representative may make a market in the common stock as permitted by applicable laws and regulations. However, the Representative is not obligated to do so, and the Representative may discontinue any market-making activities at any time without notice in its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5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5"/>
          <w:szCs w:val="15"/>
          <w:color w:val="auto"/>
        </w:rPr>
        <w:t>The underwriters have advised us that they, pursuant to Regulation M under the Exchange Act,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5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5"/>
          <w:szCs w:val="15"/>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5"/>
          <w:szCs w:val="15"/>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S-28</w:t>
      </w:r>
    </w:p>
    <w:p>
      <w:pPr>
        <w:sectPr>
          <w:pgSz w:w="11900" w:h="16838" w:orient="portrait"/>
          <w:cols w:equalWidth="0" w:num="1">
            <w:col w:w="9040"/>
          </w:cols>
          <w:pgMar w:left="1420" w:top="247" w:right="1439" w:bottom="1440" w:gutter="0" w:footer="0" w:header="0"/>
        </w:sectPr>
      </w:pPr>
    </w:p>
    <w:bookmarkStart w:id="30" w:name="page31"/>
    <w:bookmarkEnd w:id="30"/>
    <w:p>
      <w:pPr>
        <w:ind w:right="119"/>
        <w:spacing w:after="0" w:line="25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58" w:lineRule="exact"/>
        <w:rPr>
          <w:sz w:val="20"/>
          <w:szCs w:val="20"/>
          <w:color w:val="auto"/>
        </w:rPr>
      </w:pPr>
    </w:p>
    <w:p>
      <w:pPr>
        <w:ind w:right="159"/>
        <w:spacing w:after="0" w:line="260" w:lineRule="auto"/>
        <w:rPr>
          <w:sz w:val="20"/>
          <w:szCs w:val="20"/>
          <w:color w:val="auto"/>
        </w:rPr>
      </w:pPr>
      <w:r>
        <w:rPr>
          <w:rFonts w:ascii="Times New Roman" w:cs="Times New Roman" w:eastAsia="Times New Roman" w:hAnsi="Times New Roman"/>
          <w:sz w:val="15"/>
          <w:szCs w:val="15"/>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may end any of these activities at any time. These transactions may be effected on Nasdaq in the over-the-counter market or otherwise.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Passive Market Making</w:t>
      </w:r>
    </w:p>
    <w:p>
      <w:pPr>
        <w:spacing w:after="0" w:line="95" w:lineRule="exact"/>
        <w:rPr>
          <w:sz w:val="20"/>
          <w:szCs w:val="20"/>
          <w:color w:val="auto"/>
        </w:rPr>
      </w:pPr>
    </w:p>
    <w:p>
      <w:pPr>
        <w:ind w:right="19"/>
        <w:spacing w:after="0" w:line="251" w:lineRule="auto"/>
        <w:rPr>
          <w:sz w:val="20"/>
          <w:szCs w:val="20"/>
          <w:color w:val="auto"/>
        </w:rPr>
      </w:pPr>
      <w:r>
        <w:rPr>
          <w:rFonts w:ascii="Times New Roman" w:cs="Times New Roman" w:eastAsia="Times New Roman" w:hAnsi="Times New Roman"/>
          <w:sz w:val="15"/>
          <w:szCs w:val="15"/>
          <w:color w:val="auto"/>
        </w:rPr>
        <w:t>The underwriters may also engage in passive market making transactions in our common stock on Nasdaq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if commenced, may end passive market making activities at any time.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Electronic Distribution</w:t>
      </w:r>
    </w:p>
    <w:p>
      <w:pPr>
        <w:spacing w:after="0" w:line="95" w:lineRule="exact"/>
        <w:rPr>
          <w:sz w:val="20"/>
          <w:szCs w:val="20"/>
          <w:color w:val="auto"/>
        </w:rPr>
      </w:pPr>
    </w:p>
    <w:p>
      <w:pPr>
        <w:ind w:right="159"/>
        <w:spacing w:after="0" w:line="252" w:lineRule="auto"/>
        <w:rPr>
          <w:sz w:val="20"/>
          <w:szCs w:val="20"/>
          <w:color w:val="auto"/>
        </w:rPr>
      </w:pPr>
      <w:r>
        <w:rPr>
          <w:rFonts w:ascii="Times New Roman" w:cs="Times New Roman" w:eastAsia="Times New Roman" w:hAnsi="Times New Roman"/>
          <w:sz w:val="15"/>
          <w:szCs w:val="15"/>
          <w:color w:val="auto"/>
        </w:rPr>
        <w:t>A prospectus in electronic format may be made available by e-mail or on the web sites or through online services maintained by one or more of the underwriters, selling group members (if any) or their affiliates.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Activities and Relationships</w:t>
      </w:r>
    </w:p>
    <w:p>
      <w:pPr>
        <w:spacing w:after="0" w:line="95" w:lineRule="exact"/>
        <w:rPr>
          <w:sz w:val="20"/>
          <w:szCs w:val="20"/>
          <w:color w:val="auto"/>
        </w:rPr>
      </w:pPr>
    </w:p>
    <w:p>
      <w:pPr>
        <w:ind w:right="59"/>
        <w:spacing w:after="0" w:line="253" w:lineRule="auto"/>
        <w:rPr>
          <w:sz w:val="20"/>
          <w:szCs w:val="20"/>
          <w:color w:val="auto"/>
        </w:rPr>
      </w:pPr>
      <w:r>
        <w:rPr>
          <w:rFonts w:ascii="Times New Roman" w:cs="Times New Roman" w:eastAsia="Times New Roman" w:hAnsi="Times New Roman"/>
          <w:sz w:val="15"/>
          <w:szCs w:val="15"/>
          <w:color w:val="auto"/>
        </w:rPr>
        <w:t>The underwriters and certain of their respective affiliates are full service financial institutions engaged in a wide range of activities for their own accounts and the accounts of customers, which may include, among other things, corporate finance, mergers and acquisitions, merchant banking, equity and fixed income sales, trading and research, derivatives, foreign exchange, futures, asset management, custody, clearance and securities lending. The underwriters and certain of their affiliates have, from time to time, performed, and may in the future perform, various investment banking and financial advisory services for us and our affiliates, for which they received or will receive customary fees and expenses.</w:t>
      </w:r>
    </w:p>
    <w:p>
      <w:pPr>
        <w:spacing w:after="0" w:line="155" w:lineRule="exact"/>
        <w:rPr>
          <w:sz w:val="20"/>
          <w:szCs w:val="20"/>
          <w:color w:val="auto"/>
        </w:rPr>
      </w:pPr>
    </w:p>
    <w:p>
      <w:pPr>
        <w:ind w:right="79"/>
        <w:spacing w:after="0" w:line="273" w:lineRule="auto"/>
        <w:rPr>
          <w:sz w:val="20"/>
          <w:szCs w:val="20"/>
          <w:color w:val="auto"/>
        </w:rPr>
      </w:pPr>
      <w:r>
        <w:rPr>
          <w:rFonts w:ascii="Times New Roman" w:cs="Times New Roman" w:eastAsia="Times New Roman" w:hAnsi="Times New Roman"/>
          <w:sz w:val="15"/>
          <w:szCs w:val="15"/>
          <w:color w:val="auto"/>
        </w:rPr>
        <w:t>In addition, in the ordinary course of its business, the underwriters and their respective affiliates may, directly or indirectly, hold long or short positions, trade and otherwise conduct such activities in or with respect to debt or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S-29</w:t>
      </w:r>
    </w:p>
    <w:p>
      <w:pPr>
        <w:sectPr>
          <w:pgSz w:w="11900" w:h="16838" w:orient="portrait"/>
          <w:cols w:equalWidth="0" w:num="1">
            <w:col w:w="9039"/>
          </w:cols>
          <w:pgMar w:left="1420" w:top="247" w:right="1440" w:bottom="1440" w:gutter="0" w:footer="0" w:header="0"/>
        </w:sectPr>
      </w:pPr>
    </w:p>
    <w:bookmarkStart w:id="31" w:name="page32"/>
    <w:bookmarkEnd w:id="31"/>
    <w:p>
      <w:pPr>
        <w:ind w:right="40"/>
        <w:spacing w:after="0" w:line="25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equity securities and/or bank debt of, and/or derivative products.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Additionally, the Representative is a party to the Sales Agreement.</w:t>
      </w:r>
    </w:p>
    <w:p>
      <w:pPr>
        <w:spacing w:after="0" w:line="153"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5"/>
          <w:szCs w:val="15"/>
          <w:color w:val="auto"/>
        </w:rPr>
        <w:t>We have granted the Representative a right of first refusal, for a period of 12 months from the closing of this offering, to act as a lead underwriter or in a similar capacity and receive a percentage of the aggregate gross spread or fees in connection with a subsequent equity financing.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Stamp Taxes</w:t>
      </w:r>
    </w:p>
    <w:p>
      <w:pPr>
        <w:spacing w:after="0" w:line="9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5"/>
          <w:szCs w:val="15"/>
          <w:color w:val="auto"/>
        </w:rPr>
        <w:t>If you purchase securities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TO INVESTORS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Canada</w:t>
      </w:r>
    </w:p>
    <w:p>
      <w:pPr>
        <w:spacing w:after="0" w:line="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securities. No securities commission or similar regulatory authority in Canada has reviewed or in any way passed upon this prospectus supplement or on the merits of the securities and any representation to the contrary is an offence.</w:t>
      </w:r>
    </w:p>
    <w:p>
      <w:pPr>
        <w:spacing w:after="0" w:line="1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Canadian investors are advised that this prospectus supplement has been prepared in reliance on section 3A.3 of National Instrument 33-105 </w:t>
      </w:r>
      <w:r>
        <w:rPr>
          <w:rFonts w:ascii="Times New Roman" w:cs="Times New Roman" w:eastAsia="Times New Roman" w:hAnsi="Times New Roman"/>
          <w:sz w:val="15"/>
          <w:szCs w:val="15"/>
          <w:b w:val="1"/>
          <w:bCs w:val="1"/>
          <w:i w:val="1"/>
          <w:iCs w:val="1"/>
          <w:color w:val="auto"/>
        </w:rPr>
        <w:t xml:space="preserve">Underwriting Conflicts </w:t>
      </w:r>
      <w:r>
        <w:rPr>
          <w:rFonts w:ascii="Times New Roman" w:cs="Times New Roman" w:eastAsia="Times New Roman" w:hAnsi="Times New Roman"/>
          <w:sz w:val="15"/>
          <w:szCs w:val="15"/>
          <w:b w:val="1"/>
          <w:bCs w:val="1"/>
          <w:color w:val="auto"/>
        </w:rPr>
        <w:t>(“NI 33-105”). Pursuant to section 3A.3 of NI 33-105, this prospectus supplement is exempt from the requirement that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the issuer and the underwriter(s) provide investors with certain conflicts of interest disclosure pertaining to “connected issuer” and/or “related issuer” relationships that may exist between the issuer and the underwriter(s) as would otherwise be required pursuant to subsection 2.1(1) of NI 33-105.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Resale Restrictions</w:t>
      </w:r>
    </w:p>
    <w:p>
      <w:pPr>
        <w:spacing w:after="0" w:line="95"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5"/>
          <w:szCs w:val="15"/>
          <w:color w:val="auto"/>
        </w:rPr>
        <w:t>The offer and sale of the securities in Canada is being made on a private placement basis only and is exempt from the requirement that the issuer prepares and files a prospectus under applicable Canadian securities laws. Any resale of the securities acquired by a Canadian investor in this offering must be made in accordance with applicable Canadian securities laws, which may vary depending on the relevant jurisdiction, and which may require resales to be made in accordance with Canadian prospectus requirements, pursuant to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securities outside of Canada.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Representations of Purchasers</w:t>
      </w:r>
    </w:p>
    <w:p>
      <w:pPr>
        <w:spacing w:after="0" w:line="9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5"/>
          <w:szCs w:val="15"/>
          <w:color w:val="auto"/>
        </w:rPr>
        <w:t>Each Canadian investor who purchases the securities will be deemed to have represented to the issuer and the underwriter(s) that the investor (i) is purchasing the securities as principal, or is deemed to be purchasing as principal in accordance with applicable Canadian securities laws, for investment only and not with a view to resale or redistribution; (ii) is an “accredited investor” as such term is defined in section 1.1 of National</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S-30</w:t>
      </w:r>
    </w:p>
    <w:p>
      <w:pPr>
        <w:sectPr>
          <w:pgSz w:w="11900" w:h="16838" w:orient="portrait"/>
          <w:cols w:equalWidth="0" w:num="1">
            <w:col w:w="9040"/>
          </w:cols>
          <w:pgMar w:left="1420" w:top="247" w:right="1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 xml:space="preserve">Instrument 45-106 </w:t>
      </w:r>
      <w:r>
        <w:rPr>
          <w:rFonts w:ascii="Times New Roman" w:cs="Times New Roman" w:eastAsia="Times New Roman" w:hAnsi="Times New Roman"/>
          <w:sz w:val="15"/>
          <w:szCs w:val="15"/>
          <w:i w:val="1"/>
          <w:iCs w:val="1"/>
          <w:color w:val="auto"/>
        </w:rPr>
        <w:t>Prospectus Exemptions</w:t>
      </w:r>
      <w:r>
        <w:rPr>
          <w:rFonts w:ascii="Times New Roman" w:cs="Times New Roman" w:eastAsia="Times New Roman" w:hAnsi="Times New Roman"/>
          <w:sz w:val="15"/>
          <w:szCs w:val="15"/>
          <w:color w:val="auto"/>
        </w:rPr>
        <w:t xml:space="preserve"> (“NI 45-106”) or, in Ontario, as such term is defined in section 73.3(1) of the </w:t>
      </w:r>
      <w:r>
        <w:rPr>
          <w:rFonts w:ascii="Times New Roman" w:cs="Times New Roman" w:eastAsia="Times New Roman" w:hAnsi="Times New Roman"/>
          <w:sz w:val="15"/>
          <w:szCs w:val="15"/>
          <w:i w:val="1"/>
          <w:iCs w:val="1"/>
          <w:color w:val="auto"/>
        </w:rPr>
        <w:t>Securities Act</w:t>
      </w:r>
      <w:r>
        <w:rPr>
          <w:rFonts w:ascii="Times New Roman" w:cs="Times New Roman" w:eastAsia="Times New Roman" w:hAnsi="Times New Roman"/>
          <w:sz w:val="15"/>
          <w:szCs w:val="15"/>
          <w:color w:val="auto"/>
        </w:rPr>
        <w:t xml:space="preserve"> (Ontario); and</w:t>
      </w:r>
    </w:p>
    <w:p>
      <w:pPr>
        <w:spacing w:after="0" w:line="21" w:lineRule="exact"/>
        <w:rPr>
          <w:sz w:val="20"/>
          <w:szCs w:val="20"/>
          <w:color w:val="auto"/>
        </w:rPr>
      </w:pPr>
    </w:p>
    <w:p>
      <w:pPr>
        <w:ind w:right="240" w:firstLine="2"/>
        <w:spacing w:after="0" w:line="253" w:lineRule="auto"/>
        <w:tabs>
          <w:tab w:leader="none" w:pos="25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is a “permitted client” as such term is defined in section 1.1 of National Instrument 31-103 </w:t>
      </w:r>
      <w:r>
        <w:rPr>
          <w:rFonts w:ascii="Times New Roman" w:cs="Times New Roman" w:eastAsia="Times New Roman" w:hAnsi="Times New Roman"/>
          <w:sz w:val="15"/>
          <w:szCs w:val="15"/>
          <w:i w:val="1"/>
          <w:iCs w:val="1"/>
          <w:color w:val="auto"/>
        </w:rPr>
        <w:t>Registration Requirements, Exemptions and Ongoing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Registrant Obligations</w:t>
      </w:r>
      <w:r>
        <w:rPr>
          <w:rFonts w:ascii="Times New Roman" w:cs="Times New Roman" w:eastAsia="Times New Roman" w:hAnsi="Times New Roman"/>
          <w:sz w:val="15"/>
          <w:szCs w:val="15"/>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Taxation and Eligibility for Investment</w:t>
      </w:r>
    </w:p>
    <w:p>
      <w:pPr>
        <w:spacing w:after="0" w:line="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Any discussion of taxation and related matters contained in this prospectus supplement does not purport to be a comprehensive description of all of the tax considerations that may be relevant to a Canadian investor when deciding to purchase the securities and, in particular, does not address any Canadian tax considerations. No representation or warranty is hereby made as to the tax consequences to a resident, or deemed resident, of Canada of an investment in the securities or with respect to the eligibility of the securities for investment by such investor under relevant Canadian federal and provincial legislation and regulations.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Rights of Action for Damages or Rescission</w:t>
      </w:r>
    </w:p>
    <w:p>
      <w:pPr>
        <w:spacing w:after="0" w:line="9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Times New Roman" w:cs="Times New Roman" w:eastAsia="Times New Roman" w:hAnsi="Times New Roman"/>
          <w:sz w:val="15"/>
          <w:szCs w:val="15"/>
          <w:i w:val="1"/>
          <w:iCs w:val="1"/>
          <w:color w:val="auto"/>
        </w:rPr>
        <w:t>Ontario Prospectus and Registration Exemptions</w:t>
      </w:r>
      <w:r>
        <w:rPr>
          <w:rFonts w:ascii="Times New Roman" w:cs="Times New Roman" w:eastAsia="Times New Roman" w:hAnsi="Times New Roman"/>
          <w:sz w:val="15"/>
          <w:szCs w:val="15"/>
          <w:color w:val="auto"/>
        </w:rPr>
        <w:t xml:space="preserve"> and in Multilateral Instrument 45-107 </w:t>
      </w:r>
      <w:r>
        <w:rPr>
          <w:rFonts w:ascii="Times New Roman" w:cs="Times New Roman" w:eastAsia="Times New Roman" w:hAnsi="Times New Roman"/>
          <w:sz w:val="15"/>
          <w:szCs w:val="15"/>
          <w:i w:val="1"/>
          <w:iCs w:val="1"/>
          <w:color w:val="auto"/>
        </w:rPr>
        <w:t>Listing Representation and Statutory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Rights of Action Disclosure Exemptions</w:t>
      </w:r>
      <w:r>
        <w:rPr>
          <w:rFonts w:ascii="Times New Roman" w:cs="Times New Roman" w:eastAsia="Times New Roman" w:hAnsi="Times New Roman"/>
          <w:sz w:val="15"/>
          <w:szCs w:val="15"/>
          <w:color w:val="auto"/>
        </w:rPr>
        <w:t>, as applicable, with a remedy for damages or rescission, or both, in addition to any other rights they may have 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Language of Documents</w:t>
      </w:r>
    </w:p>
    <w:p>
      <w:pPr>
        <w:spacing w:after="0" w:line="9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5"/>
          <w:szCs w:val="15"/>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w:cs="Times New Roman" w:eastAsia="Times New Roman" w:hAnsi="Times New Roman"/>
          <w:sz w:val="15"/>
          <w:szCs w:val="15"/>
          <w:i w:val="1"/>
          <w:iCs w:val="1"/>
          <w:color w:val="auto"/>
        </w:rPr>
        <w:t>Par la réception de ce document, chaque investisseur Canadien confirme par les présentes qu’il a expressément exigé que tous les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r>
        <w:rPr>
          <w:rFonts w:ascii="Times New Roman" w:cs="Times New Roman" w:eastAsia="Times New Roman" w:hAnsi="Times New Roman"/>
          <w:sz w:val="15"/>
          <w:szCs w:val="15"/>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Australia</w:t>
      </w:r>
    </w:p>
    <w:p>
      <w:pPr>
        <w:spacing w:after="0" w:line="9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5"/>
          <w:szCs w:val="15"/>
          <w:color w:val="auto"/>
        </w:rPr>
        <w:t>This document does not constitute a prospectus, product disclosure statement or other disclosure document under the Australia’s Corporations Act 2001 (Cth) (the “Corporations Act”) of Australia. This document has not been lodged with the Australian Securities &amp; Investments Commission and is only directed to the categories of exempt persons set out below. Accordingly, if you receive this document in Australia:</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You confirm and warrant that you are either:</w:t>
      </w:r>
    </w:p>
    <w:p>
      <w:pPr>
        <w:spacing w:after="0" w:line="105" w:lineRule="exact"/>
        <w:rPr>
          <w:sz w:val="20"/>
          <w:szCs w:val="20"/>
          <w:color w:val="auto"/>
        </w:rPr>
      </w:pPr>
    </w:p>
    <w:p>
      <w:pPr>
        <w:ind w:left="800" w:hanging="354"/>
        <w:spacing w:after="0"/>
        <w:tabs>
          <w:tab w:leader="none" w:pos="8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“sophisticated investor” under section 708(8)(a) or (b) of the Corporations Act;</w:t>
      </w:r>
    </w:p>
    <w:p>
      <w:pPr>
        <w:spacing w:after="0" w:line="104" w:lineRule="exact"/>
        <w:rPr>
          <w:rFonts w:ascii="Times New Roman" w:cs="Times New Roman" w:eastAsia="Times New Roman" w:hAnsi="Times New Roman"/>
          <w:sz w:val="15"/>
          <w:szCs w:val="15"/>
          <w:color w:val="auto"/>
        </w:rPr>
      </w:pPr>
    </w:p>
    <w:p>
      <w:pPr>
        <w:ind w:left="800" w:right="20" w:hanging="354"/>
        <w:spacing w:after="0" w:line="260" w:lineRule="auto"/>
        <w:tabs>
          <w:tab w:leader="none" w:pos="8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or</w:t>
      </w:r>
    </w:p>
    <w:p>
      <w:pPr>
        <w:spacing w:after="0" w:line="7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“professional investor” within the meaning of section 708(11)(a) or (b) of the Corporations Act.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S-31</w:t>
      </w:r>
    </w:p>
    <w:p>
      <w:pPr>
        <w:sectPr>
          <w:pgSz w:w="11900" w:h="16838" w:orient="portrait"/>
          <w:cols w:equalWidth="0" w:num="1">
            <w:col w:w="9040"/>
          </w:cols>
          <w:pgMar w:left="1420" w:top="245" w:right="1439" w:bottom="1440" w:gutter="0" w:footer="0" w:header="0"/>
        </w:sectPr>
      </w:pPr>
    </w:p>
    <w:bookmarkStart w:id="33" w:name="page34"/>
    <w:bookmarkEnd w:id="33"/>
    <w:p>
      <w:pPr>
        <w:ind w:right="20"/>
        <w:spacing w:after="0" w:line="27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To the extent that you are unable to confirm or warrant that you are an exempt sophisticated investor or professional investor under the Corporations Act any offer made to you under this document is void and incapable of acceptance.</w:t>
      </w:r>
    </w:p>
    <w:p>
      <w:pPr>
        <w:spacing w:after="0" w:line="140"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5"/>
          <w:szCs w:val="15"/>
          <w:color w:val="auto"/>
        </w:rPr>
        <w:t>You warrant and agree that you will not offer any of the securities issued to you pursuant to this document for resale in Australia within 12 months of those securities being issued unless any such resale offer is exempt from the requirement to issue a disclosure document under section 708 of the Corporations Act.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European Economic Area</w:t>
      </w:r>
    </w:p>
    <w:p>
      <w:pPr>
        <w:spacing w:after="0" w:line="9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“Member State”), no securities have been offered or will be offered pursuant to the offer described herein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the securities may be offered to the public in that Member State at any time:</w:t>
      </w:r>
    </w:p>
    <w:p>
      <w:pPr>
        <w:spacing w:after="0" w:line="138" w:lineRule="exact"/>
        <w:rPr>
          <w:sz w:val="20"/>
          <w:szCs w:val="20"/>
          <w:color w:val="auto"/>
        </w:rPr>
      </w:pPr>
    </w:p>
    <w:p>
      <w:pPr>
        <w:ind w:left="540" w:hanging="176"/>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Article 2 of the Prospectus Regulation;</w:t>
      </w:r>
    </w:p>
    <w:p>
      <w:pPr>
        <w:spacing w:after="0" w:line="182" w:lineRule="exact"/>
        <w:rPr>
          <w:rFonts w:ascii="Times New Roman" w:cs="Times New Roman" w:eastAsia="Times New Roman" w:hAnsi="Times New Roman"/>
          <w:sz w:val="15"/>
          <w:szCs w:val="15"/>
          <w:color w:val="auto"/>
        </w:rPr>
      </w:pPr>
    </w:p>
    <w:p>
      <w:pPr>
        <w:ind w:right="180" w:firstLine="364"/>
        <w:spacing w:after="0" w:line="273" w:lineRule="auto"/>
        <w:tabs>
          <w:tab w:leader="none" w:pos="579"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Article 2 of the Prospectus Regulation), subject to obtaining the prior consent of the underwriters for any such offer; or</w:t>
      </w:r>
    </w:p>
    <w:p>
      <w:pPr>
        <w:spacing w:after="0" w:line="139" w:lineRule="exact"/>
        <w:rPr>
          <w:rFonts w:ascii="Times New Roman" w:cs="Times New Roman" w:eastAsia="Times New Roman" w:hAnsi="Times New Roman"/>
          <w:sz w:val="15"/>
          <w:szCs w:val="15"/>
          <w:color w:val="auto"/>
        </w:rPr>
      </w:pPr>
    </w:p>
    <w:p>
      <w:pPr>
        <w:ind w:left="620" w:hanging="256"/>
        <w:spacing w:after="0"/>
        <w:tabs>
          <w:tab w:leader="none" w:pos="6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Article 1(4) of the Prospectus Regulation,</w:t>
      </w:r>
    </w:p>
    <w:p>
      <w:pPr>
        <w:spacing w:after="0" w:line="182" w:lineRule="exact"/>
        <w:rPr>
          <w:sz w:val="20"/>
          <w:szCs w:val="20"/>
          <w:color w:val="auto"/>
        </w:rPr>
      </w:pPr>
    </w:p>
    <w:p>
      <w:pPr>
        <w:ind w:right="120" w:firstLine="362"/>
        <w:spacing w:after="0" w:line="273" w:lineRule="auto"/>
        <w:rPr>
          <w:sz w:val="20"/>
          <w:szCs w:val="20"/>
          <w:color w:val="auto"/>
        </w:rPr>
      </w:pPr>
      <w:r>
        <w:rPr>
          <w:rFonts w:ascii="Times New Roman" w:cs="Times New Roman" w:eastAsia="Times New Roman" w:hAnsi="Times New Roman"/>
          <w:sz w:val="15"/>
          <w:szCs w:val="15"/>
          <w:color w:val="auto"/>
        </w:rPr>
        <w:t>provided that no such offer of securities shall require the issuer or any underwriter to publish a prospectus pursuant to Article 3 of the Prospectus Regulation or supplement a prospectus pursuant to Article 23 of the Prospectus Regulation.</w:t>
      </w:r>
    </w:p>
    <w:p>
      <w:pPr>
        <w:spacing w:after="0" w:line="14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5"/>
          <w:szCs w:val="15"/>
          <w:color w:val="auto"/>
        </w:rPr>
        <w:t>Each person in a Member State who acquires any securities in the offer or to whom any offer is made will be deemed to have represented, acknowledged and agreed to and with the issuer and the underwriters that it is a qualified investor within the meaning of the Prospectus Regulation.</w:t>
      </w:r>
    </w:p>
    <w:p>
      <w:pPr>
        <w:spacing w:after="0" w:line="14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5"/>
          <w:szCs w:val="15"/>
          <w:color w:val="auto"/>
        </w:rPr>
        <w:t>In the case of any securities being offered to a financial intermediary as that term is used in Article 5(1) of the Prospectus Regulation, each such financial intermediary will be deemed to have represented, acknowledged and agreed to and with the issuer and the underwriters that the securities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consent of the underwriters has been obtained to each such proposed offer or resale. Neither the issuer nor the underwriters have authorised, nor do they authorise, the making of any offer of securities through any financial intermediary, other than offers made by the underwriters which constitute the final placement of securities contemplated in this document.</w:t>
      </w:r>
    </w:p>
    <w:p>
      <w:pPr>
        <w:spacing w:after="0" w:line="156"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15"/>
          <w:szCs w:val="15"/>
          <w:color w:val="auto"/>
        </w:rPr>
        <w:t>The issuer and the underwriters and their affiliates will rely upon the truth and accuracy of the foregoing representations, acknowledgements and agreements.</w:t>
      </w:r>
    </w:p>
    <w:p>
      <w:pPr>
        <w:spacing w:after="0" w:line="14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4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5"/>
          <w:szCs w:val="15"/>
          <w:color w:val="auto"/>
        </w:rPr>
        <w:t>In Member States, this document is being distributed only to, and is directed only at, persons who are “qualified investors” within the meaning of Article 2(e) of the Prospectus Regulation (“Qualified Investors”). This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S-32</w:t>
      </w:r>
    </w:p>
    <w:p>
      <w:pPr>
        <w:sectPr>
          <w:pgSz w:w="11900" w:h="16838" w:orient="portrait"/>
          <w:cols w:equalWidth="0" w:num="1">
            <w:col w:w="9040"/>
          </w:cols>
          <w:pgMar w:left="1420" w:top="247" w:right="1439" w:bottom="1440" w:gutter="0" w:footer="0" w:header="0"/>
        </w:sectPr>
      </w:pPr>
    </w:p>
    <w:bookmarkStart w:id="34" w:name="page35"/>
    <w:bookmarkEnd w:id="34"/>
    <w:p>
      <w:pPr>
        <w:ind w:right="139"/>
        <w:spacing w:after="0" w:line="27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document must not be acted on or relied on in any Member State by persons who are not Qualified Investors. Any investment or investment activity to which this document relates is available in any Member State only to Qualified Investors and will be engaged in only with such persons.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Hong Kong</w:t>
      </w:r>
    </w:p>
    <w:p>
      <w:pPr>
        <w:spacing w:after="0" w:line="95" w:lineRule="exact"/>
        <w:rPr>
          <w:sz w:val="20"/>
          <w:szCs w:val="20"/>
          <w:color w:val="auto"/>
        </w:rPr>
      </w:pPr>
    </w:p>
    <w:p>
      <w:pPr>
        <w:ind w:right="39"/>
        <w:spacing w:after="0" w:line="275" w:lineRule="auto"/>
        <w:rPr>
          <w:sz w:val="20"/>
          <w:szCs w:val="20"/>
          <w:color w:val="auto"/>
        </w:rPr>
      </w:pPr>
      <w:r>
        <w:rPr>
          <w:rFonts w:ascii="Times New Roman" w:cs="Times New Roman" w:eastAsia="Times New Roman" w:hAnsi="Times New Roman"/>
          <w:sz w:val="14"/>
          <w:szCs w:val="14"/>
          <w:color w:val="auto"/>
        </w:rPr>
        <w:t>No securities have been, may be or will be offered or sold in Hong Kong, by means of any document, other than to persons whose ordinary business is to buy or sell shares or debentures, whether as principal or agent; or to “professional investors” as defined in the Securities and Futures Ordinance (Cap.</w:t>
      </w:r>
    </w:p>
    <w:p>
      <w:pPr>
        <w:ind w:right="119" w:firstLine="2"/>
        <w:spacing w:after="0" w:line="247" w:lineRule="auto"/>
        <w:tabs>
          <w:tab w:leader="none" w:pos="308"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Hong Kong (the “SFO”) and any rules made thereunder; or in other circumstances which do not result in the document being a “prospectus” as defined in the Companies (Winding UP and Miscellaneous Provisions) Ordinance (Cap. 32) of Hong Kong (the “C(WUMP)O”), or which do not constitute an offer to the public within the meaning of the C(WUMP)O. No document, invitation or advertisement relating to the securities has been issued or may be issued or will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thereunder.</w:t>
      </w:r>
    </w:p>
    <w:p>
      <w:pPr>
        <w:spacing w:after="0" w:line="162" w:lineRule="exact"/>
        <w:rPr>
          <w:sz w:val="20"/>
          <w:szCs w:val="20"/>
          <w:color w:val="auto"/>
        </w:rPr>
      </w:pPr>
    </w:p>
    <w:p>
      <w:pPr>
        <w:ind w:right="119"/>
        <w:spacing w:after="0" w:line="253" w:lineRule="auto"/>
        <w:rPr>
          <w:sz w:val="20"/>
          <w:szCs w:val="20"/>
          <w:color w:val="auto"/>
        </w:rPr>
      </w:pPr>
      <w:r>
        <w:rPr>
          <w:rFonts w:ascii="Times New Roman" w:cs="Times New Roman" w:eastAsia="Times New Roman" w:hAnsi="Times New Roman"/>
          <w:sz w:val="15"/>
          <w:szCs w:val="15"/>
          <w:color w:val="auto"/>
        </w:rPr>
        <w:t>This document has not been and will not be registered with the Registrar of Companies in Hong Kong. Accordingly, this document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document and the relevant offering documents and that he is not acquiring, and has not been offered any securities in circumstances that contravene any such restrictions.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Japan</w:t>
      </w:r>
    </w:p>
    <w:p>
      <w:pPr>
        <w:spacing w:after="0" w:line="95" w:lineRule="exact"/>
        <w:rPr>
          <w:sz w:val="20"/>
          <w:szCs w:val="20"/>
          <w:color w:val="auto"/>
        </w:rPr>
      </w:pPr>
    </w:p>
    <w:p>
      <w:pPr>
        <w:ind w:right="119"/>
        <w:spacing w:after="0" w:line="252" w:lineRule="auto"/>
        <w:rPr>
          <w:sz w:val="20"/>
          <w:szCs w:val="20"/>
          <w:color w:val="auto"/>
        </w:rPr>
      </w:pPr>
      <w:r>
        <w:rPr>
          <w:rFonts w:ascii="Times New Roman" w:cs="Times New Roman" w:eastAsia="Times New Roman" w:hAnsi="Times New Roman"/>
          <w:sz w:val="15"/>
          <w:szCs w:val="15"/>
          <w:color w:val="auto"/>
        </w:rPr>
        <w:t>The offering has not been and will not be registered under the Financial Instruments and Exchange Act of Japan (Act No. 25 of 1948 of Japan, as amended) (the “FIEA”), and the Initial Purchaser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FIEA and any other applicable laws, regulations and ministerial guidelines of Japan.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Singapore</w:t>
      </w:r>
    </w:p>
    <w:p>
      <w:pPr>
        <w:spacing w:after="0" w:line="95" w:lineRule="exact"/>
        <w:rPr>
          <w:sz w:val="20"/>
          <w:szCs w:val="20"/>
          <w:color w:val="auto"/>
        </w:rPr>
      </w:pPr>
    </w:p>
    <w:p>
      <w:pPr>
        <w:ind w:right="79"/>
        <w:spacing w:after="0" w:line="250" w:lineRule="auto"/>
        <w:rPr>
          <w:sz w:val="20"/>
          <w:szCs w:val="20"/>
          <w:color w:val="auto"/>
        </w:rPr>
      </w:pPr>
      <w:r>
        <w:rPr>
          <w:rFonts w:ascii="Times New Roman" w:cs="Times New Roman" w:eastAsia="Times New Roman" w:hAnsi="Times New Roman"/>
          <w:sz w:val="15"/>
          <w:szCs w:val="15"/>
          <w:color w:val="auto"/>
        </w:rPr>
        <w:t xml:space="preserve">This document has not been and will not be lodged or registered with the Monetary Authority of Singapore. Accordingly, this document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any person in Singapore other than (i) to an institutional investor under Section 274 of the Securities and Futures Act, Chapter 289 of Singapore (the “SFA”), (ii) to a relevant person as defined under Section 275(2) of the SFA, or any person pursuant to Section 275(1A) of the SFA, and in accordance with the conditions, specified in Section 275 of the SFA and where (where applicable) Regulation 3 of the Securities and Futures (Classes of Investors) Regulations 2018 , or (iii) otherwise pursuant to, and in accordance with the conditions of any other applicable provision of the SFA. </w:t>
      </w:r>
      <w:r>
        <w:rPr>
          <w:rFonts w:ascii="Times New Roman" w:cs="Times New Roman" w:eastAsia="Times New Roman" w:hAnsi="Times New Roman"/>
          <w:sz w:val="15"/>
          <w:szCs w:val="15"/>
          <w:b w:val="1"/>
          <w:bCs w:val="1"/>
          <w:color w:val="auto"/>
        </w:rPr>
        <w:t>In the event that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you are not an investor falling within any of the categories set out above, please return this document immediately. You may not forward or circulate this document to any other person in Singapore.</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S-33</w:t>
      </w:r>
    </w:p>
    <w:p>
      <w:pPr>
        <w:sectPr>
          <w:pgSz w:w="11900" w:h="16838" w:orient="portrait"/>
          <w:cols w:equalWidth="0" w:num="1">
            <w:col w:w="9039"/>
          </w:cols>
          <w:pgMar w:left="1420" w:top="247" w:right="1440" w:bottom="1440" w:gutter="0" w:footer="0" w:header="0"/>
        </w:sectPr>
      </w:pPr>
    </w:p>
    <w:bookmarkStart w:id="35" w:name="page36"/>
    <w:bookmarkEnd w:id="35"/>
    <w:p>
      <w:pPr>
        <w:jc w:val="both"/>
        <w:ind w:right="240"/>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No offer is made to you with a view to the securities being subsequently offered for sale to any other party. There are on-sale restrictions that may be applicable to investors who acquire securities. As such, investors are advised to acquaint themselves with the provisions of the SFA relating to resale restrictions and comply accordingly.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Where the securities are subscribed or purchased under Section 275 of the SFA by a relevant person which is:</w:t>
      </w:r>
    </w:p>
    <w:p>
      <w:pPr>
        <w:spacing w:after="0" w:line="105" w:lineRule="exact"/>
        <w:rPr>
          <w:sz w:val="20"/>
          <w:szCs w:val="20"/>
          <w:color w:val="auto"/>
        </w:rPr>
      </w:pPr>
    </w:p>
    <w:p>
      <w:pPr>
        <w:ind w:left="800" w:right="580" w:hanging="354"/>
        <w:spacing w:after="0" w:line="310" w:lineRule="auto"/>
        <w:tabs>
          <w:tab w:leader="none" w:pos="8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under Section 4A of the SFA) the sole business of which is to hold investments and the entire share capital of which is owned by one or more individuals, each of whom is an accredited investor; or</w:t>
      </w:r>
    </w:p>
    <w:p>
      <w:pPr>
        <w:spacing w:after="0" w:line="38" w:lineRule="exact"/>
        <w:rPr>
          <w:rFonts w:ascii="Times New Roman" w:cs="Times New Roman" w:eastAsia="Times New Roman" w:hAnsi="Times New Roman"/>
          <w:sz w:val="14"/>
          <w:szCs w:val="14"/>
          <w:color w:val="auto"/>
        </w:rPr>
      </w:pPr>
    </w:p>
    <w:p>
      <w:pPr>
        <w:ind w:left="800" w:right="300" w:hanging="354"/>
        <w:spacing w:after="0" w:line="273" w:lineRule="auto"/>
        <w:tabs>
          <w:tab w:leader="none" w:pos="8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(where the trustee is not an accredited investor) whose sole purpose is to hold investments and each beneficiary is an accredited investor,</w:t>
      </w:r>
    </w:p>
    <w:p>
      <w:pPr>
        <w:spacing w:after="0" w:line="14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securities or securities-based derivatives contracts (each term as defined in Section 2(1) of the SFA) of that corporation or the beneficiaries’ rights and interest (howsoever described) in that trust shall not be transferable within six months after that corporation or that trust has acquired the securities under Section 275 of the SFA except:</w:t>
      </w:r>
    </w:p>
    <w:p>
      <w:pPr>
        <w:spacing w:after="0" w:line="71" w:lineRule="exact"/>
        <w:rPr>
          <w:sz w:val="20"/>
          <w:szCs w:val="20"/>
          <w:color w:val="auto"/>
        </w:rPr>
      </w:pPr>
    </w:p>
    <w:p>
      <w:pPr>
        <w:ind w:left="800" w:right="300" w:hanging="354"/>
        <w:spacing w:after="0" w:line="273" w:lineRule="auto"/>
        <w:tabs>
          <w:tab w:leader="none" w:pos="8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 institutional investor under Section 274 of the SFA or to a relevant person defined in Section 275(2) of the SFA, or to any person pursuant to an offer referred to in Section 275(1A) or Section 276(4)(i)(B) of the SFA;</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no consideration is given for the transfer;</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transfer is by operation of law;</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specified in Section 276(7) of the SFA; or</w:t>
      </w:r>
    </w:p>
    <w:p>
      <w:pPr>
        <w:spacing w:after="0" w:line="104" w:lineRule="exact"/>
        <w:rPr>
          <w:rFonts w:ascii="Times New Roman" w:cs="Times New Roman" w:eastAsia="Times New Roman" w:hAnsi="Times New Roman"/>
          <w:sz w:val="15"/>
          <w:szCs w:val="15"/>
          <w:color w:val="auto"/>
        </w:rPr>
      </w:pPr>
    </w:p>
    <w:p>
      <w:pPr>
        <w:ind w:left="800" w:right="620" w:hanging="354"/>
        <w:spacing w:after="0" w:line="273" w:lineRule="auto"/>
        <w:tabs>
          <w:tab w:leader="none" w:pos="8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specified in Regulation 37A of the Securities and Futures (Offers of Investments) (Securities and Securities-based Derivatives Contracts) Regulations 2018 of Singapore.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Switzerland</w:t>
      </w:r>
    </w:p>
    <w:p>
      <w:pPr>
        <w:spacing w:after="0" w:line="9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5"/>
          <w:szCs w:val="15"/>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5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5"/>
          <w:szCs w:val="15"/>
          <w:color w:val="auto"/>
        </w:rPr>
        <w:t>Neither this document nor any other offering or marketing material relating to the offering, the issuer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Israel</w:t>
      </w:r>
    </w:p>
    <w:p>
      <w:pPr>
        <w:spacing w:after="0" w:line="9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5"/>
          <w:szCs w:val="15"/>
          <w:color w:val="auto"/>
        </w:rPr>
        <w:t>This document does not constitute a prospectus under the Israeli Securities Law, 5728-1968 (the “Securities Law”), and has not been filed with or approved by the Israel Securities Authority. In the State of Israel, this document is being distributed only to, and is directed only at, and any offer of the securities is directed only at, investors listed in the first addendum (the “Addendum”) to the Israeli Securities Law, consisting primarily of joint investment in trust funds, provident funds, insurance companies, banks, portfolio managers, investment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S-34</w:t>
      </w:r>
    </w:p>
    <w:p>
      <w:pPr>
        <w:sectPr>
          <w:pgSz w:w="11900" w:h="16838" w:orient="portrait"/>
          <w:cols w:equalWidth="0" w:num="1">
            <w:col w:w="9040"/>
          </w:cols>
          <w:pgMar w:left="1420" w:top="247" w:right="1439" w:bottom="1440" w:gutter="0" w:footer="0" w:header="0"/>
        </w:sectPr>
      </w:pPr>
    </w:p>
    <w:bookmarkStart w:id="36" w:name="page37"/>
    <w:bookmarkEnd w:id="36"/>
    <w:p>
      <w:pPr>
        <w:ind w:right="119"/>
        <w:spacing w:after="0" w:line="25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United Kingdom</w:t>
      </w:r>
    </w:p>
    <w:p>
      <w:pPr>
        <w:spacing w:after="0" w:line="95" w:lineRule="exact"/>
        <w:rPr>
          <w:sz w:val="20"/>
          <w:szCs w:val="20"/>
          <w:color w:val="auto"/>
        </w:rPr>
      </w:pPr>
    </w:p>
    <w:p>
      <w:pPr>
        <w:jc w:val="both"/>
        <w:ind w:right="179"/>
        <w:spacing w:after="0" w:line="260" w:lineRule="auto"/>
        <w:rPr>
          <w:sz w:val="20"/>
          <w:szCs w:val="20"/>
          <w:color w:val="auto"/>
        </w:rPr>
      </w:pPr>
      <w:r>
        <w:rPr>
          <w:rFonts w:ascii="Times New Roman" w:cs="Times New Roman" w:eastAsia="Times New Roman" w:hAnsi="Times New Roman"/>
          <w:sz w:val="15"/>
          <w:szCs w:val="15"/>
          <w:color w:val="auto"/>
        </w:rPr>
        <w:t>In relation to the United Kingdom, no securities have been offered or will be offered pursuant to the offer described herein to the public in the United Kingdom prior to the publication of a prospectus in relation to the securities which has been approved by the UK Financial Conduct Authority, except that the securities may be offered to the public in the United Kingdom at any time:</w:t>
      </w:r>
    </w:p>
    <w:p>
      <w:pPr>
        <w:spacing w:after="0" w:line="149" w:lineRule="exact"/>
        <w:rPr>
          <w:sz w:val="20"/>
          <w:szCs w:val="20"/>
          <w:color w:val="auto"/>
        </w:rPr>
      </w:pPr>
    </w:p>
    <w:p>
      <w:pPr>
        <w:ind w:left="540" w:hanging="176"/>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Article 2 of the UK Prospectus Regulation;</w:t>
      </w:r>
    </w:p>
    <w:p>
      <w:pPr>
        <w:spacing w:after="0" w:line="182" w:lineRule="exact"/>
        <w:rPr>
          <w:rFonts w:ascii="Times New Roman" w:cs="Times New Roman" w:eastAsia="Times New Roman" w:hAnsi="Times New Roman"/>
          <w:sz w:val="15"/>
          <w:szCs w:val="15"/>
          <w:color w:val="auto"/>
        </w:rPr>
      </w:pPr>
    </w:p>
    <w:p>
      <w:pPr>
        <w:ind w:right="79" w:firstLine="364"/>
        <w:spacing w:after="0" w:line="273" w:lineRule="auto"/>
        <w:tabs>
          <w:tab w:leader="none" w:pos="57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Article 2 of the UK Prospectus Regulation), subject to obtaining the prior consent of the underwriters for any such offer; or</w:t>
      </w:r>
    </w:p>
    <w:p>
      <w:pPr>
        <w:spacing w:after="0" w:line="139" w:lineRule="exact"/>
        <w:rPr>
          <w:rFonts w:ascii="Times New Roman" w:cs="Times New Roman" w:eastAsia="Times New Roman" w:hAnsi="Times New Roman"/>
          <w:sz w:val="15"/>
          <w:szCs w:val="15"/>
          <w:color w:val="auto"/>
        </w:rPr>
      </w:pPr>
    </w:p>
    <w:p>
      <w:pPr>
        <w:ind w:left="620" w:hanging="256"/>
        <w:spacing w:after="0"/>
        <w:tabs>
          <w:tab w:leader="none" w:pos="6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Section 86 of the Financial Services and Markets Act 2000 (as amended) (the “FSMA”),</w:t>
      </w:r>
    </w:p>
    <w:p>
      <w:pPr>
        <w:spacing w:after="0" w:line="182" w:lineRule="exact"/>
        <w:rPr>
          <w:sz w:val="20"/>
          <w:szCs w:val="20"/>
          <w:color w:val="auto"/>
        </w:rPr>
      </w:pPr>
    </w:p>
    <w:p>
      <w:pPr>
        <w:ind w:right="19" w:firstLine="362"/>
        <w:spacing w:after="0" w:line="273" w:lineRule="auto"/>
        <w:rPr>
          <w:sz w:val="20"/>
          <w:szCs w:val="20"/>
          <w:color w:val="auto"/>
        </w:rPr>
      </w:pPr>
      <w:r>
        <w:rPr>
          <w:rFonts w:ascii="Times New Roman" w:cs="Times New Roman" w:eastAsia="Times New Roman" w:hAnsi="Times New Roman"/>
          <w:sz w:val="15"/>
          <w:szCs w:val="15"/>
          <w:color w:val="auto"/>
        </w:rPr>
        <w:t>provided that no such offer of the securities shall require the issuer or any underwriter to publish a prospectus pursuant to Section 85 of the FSMA or supplement a prospectus pursuant to Article 23 of the UK Prospectus Regulation.</w:t>
      </w:r>
    </w:p>
    <w:p>
      <w:pPr>
        <w:spacing w:after="0" w:line="140" w:lineRule="exact"/>
        <w:rPr>
          <w:sz w:val="20"/>
          <w:szCs w:val="20"/>
          <w:color w:val="auto"/>
        </w:rPr>
      </w:pPr>
    </w:p>
    <w:p>
      <w:pPr>
        <w:ind w:right="59"/>
        <w:spacing w:after="0" w:line="310" w:lineRule="auto"/>
        <w:rPr>
          <w:sz w:val="20"/>
          <w:szCs w:val="20"/>
          <w:color w:val="auto"/>
        </w:rPr>
      </w:pPr>
      <w:r>
        <w:rPr>
          <w:rFonts w:ascii="Times New Roman" w:cs="Times New Roman" w:eastAsia="Times New Roman" w:hAnsi="Times New Roman"/>
          <w:sz w:val="14"/>
          <w:szCs w:val="14"/>
          <w:color w:val="auto"/>
        </w:rPr>
        <w:t>Each person in the United Kingdom who acquires any securities in the offer or to whom any offer is made will be deemed to have represented, acknowledged and agreed to and with the issuer and the underwriters that it is a qualified investor within the meaning of the UK Prospectus Regulation.</w:t>
      </w:r>
    </w:p>
    <w:p>
      <w:pPr>
        <w:spacing w:after="0" w:line="116" w:lineRule="exact"/>
        <w:rPr>
          <w:sz w:val="20"/>
          <w:szCs w:val="20"/>
          <w:color w:val="auto"/>
        </w:rPr>
      </w:pPr>
    </w:p>
    <w:p>
      <w:pPr>
        <w:ind w:right="39"/>
        <w:spacing w:after="0" w:line="251" w:lineRule="auto"/>
        <w:rPr>
          <w:sz w:val="20"/>
          <w:szCs w:val="20"/>
          <w:color w:val="auto"/>
        </w:rPr>
      </w:pPr>
      <w:r>
        <w:rPr>
          <w:rFonts w:ascii="Times New Roman" w:cs="Times New Roman" w:eastAsia="Times New Roman" w:hAnsi="Times New Roman"/>
          <w:sz w:val="15"/>
          <w:szCs w:val="15"/>
          <w:color w:val="auto"/>
        </w:rPr>
        <w:t>In the case of any securities being offered to a financial intermediary as that term is used in Article 5(1) of the UK Prospectus Regulation, each such financial intermediary will be deemed to have represented, acknowledged and agreed to and with the issuer and the underwriters that the securities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underwriters has been obtained to each such proposed offer or resale. Neither the issuer nor the underwriters have authorised, nor do they authorise, the making of any offer of securities through any financial intermediary, other than offers made by the underwriters which constitute the final placement of securities contemplated in this document.</w:t>
      </w:r>
    </w:p>
    <w:p>
      <w:pPr>
        <w:spacing w:after="0" w:line="156" w:lineRule="exact"/>
        <w:rPr>
          <w:sz w:val="20"/>
          <w:szCs w:val="20"/>
          <w:color w:val="auto"/>
        </w:rPr>
      </w:pPr>
    </w:p>
    <w:p>
      <w:pPr>
        <w:ind w:right="479"/>
        <w:spacing w:after="0" w:line="273" w:lineRule="auto"/>
        <w:rPr>
          <w:sz w:val="20"/>
          <w:szCs w:val="20"/>
          <w:color w:val="auto"/>
        </w:rPr>
      </w:pPr>
      <w:r>
        <w:rPr>
          <w:rFonts w:ascii="Times New Roman" w:cs="Times New Roman" w:eastAsia="Times New Roman" w:hAnsi="Times New Roman"/>
          <w:sz w:val="15"/>
          <w:szCs w:val="15"/>
          <w:color w:val="auto"/>
        </w:rPr>
        <w:t>The issuer and the underwriters and their affiliates will rely upon the truth and accuracy of the foregoing representations, acknowledgements and agreements.</w:t>
      </w:r>
    </w:p>
    <w:p>
      <w:pPr>
        <w:spacing w:after="0" w:line="140" w:lineRule="exact"/>
        <w:rPr>
          <w:sz w:val="20"/>
          <w:szCs w:val="20"/>
          <w:color w:val="auto"/>
        </w:rPr>
      </w:pPr>
    </w:p>
    <w:p>
      <w:pPr>
        <w:ind w:right="99"/>
        <w:spacing w:after="0" w:line="255"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United Kingdom law by virtue of the European Union (Withdrawal) Act 2018.</w:t>
      </w:r>
    </w:p>
    <w:p>
      <w:pPr>
        <w:spacing w:after="0" w:line="153" w:lineRule="exact"/>
        <w:rPr>
          <w:sz w:val="20"/>
          <w:szCs w:val="20"/>
          <w:color w:val="auto"/>
        </w:rPr>
      </w:pPr>
    </w:p>
    <w:p>
      <w:pPr>
        <w:ind w:right="119"/>
        <w:spacing w:after="0" w:line="273" w:lineRule="auto"/>
        <w:rPr>
          <w:sz w:val="20"/>
          <w:szCs w:val="20"/>
          <w:color w:val="auto"/>
        </w:rPr>
      </w:pPr>
      <w:r>
        <w:rPr>
          <w:rFonts w:ascii="Times New Roman" w:cs="Times New Roman" w:eastAsia="Times New Roman" w:hAnsi="Times New Roman"/>
          <w:sz w:val="15"/>
          <w:szCs w:val="15"/>
          <w:color w:val="auto"/>
        </w:rPr>
        <w:t>In the United Kingdom, this document is being distributed only to, and is directed only at, persons who are “qualified investors” within the meaning of Article 2(e) of the UK Prospectus Regulation who are also: (i) persons</w:t>
      </w:r>
    </w:p>
    <w:p>
      <w:pPr>
        <w:spacing w:after="0" w:line="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S-35</w:t>
      </w:r>
    </w:p>
    <w:p>
      <w:pPr>
        <w:sectPr>
          <w:pgSz w:w="11900" w:h="16838" w:orient="portrait"/>
          <w:cols w:equalWidth="0" w:num="1">
            <w:col w:w="9039"/>
          </w:cols>
          <w:pgMar w:left="1420" w:top="247" w:right="1440" w:bottom="1440" w:gutter="0" w:footer="0" w:header="0"/>
        </w:sectPr>
      </w:pPr>
    </w:p>
    <w:bookmarkStart w:id="37" w:name="page38"/>
    <w:bookmarkEnd w:id="37"/>
    <w:p>
      <w:pPr>
        <w:ind w:right="359"/>
        <w:spacing w:after="0" w:line="25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who fall within the definition of “investment professionals” in Article 19(5) of the Financial Services and Markets Act 2000 (Financial Promotion) Order 2005, as amended (the “Order”); (ii) persons falling within Article 49(2) of the Order; or (iii) persons to whom it may otherwise lawfully be communicated (all such persons together being referred to as “relevant persons”). This document must not be acted on or relied on in the United Kingdom by persons who are not relevant persons. Any investment or investment activity to which this document relates is available in the United Kingdom only to relevant persons and will be engaged in only with such persons.</w:t>
      </w:r>
    </w:p>
    <w:p>
      <w:pPr>
        <w:spacing w:after="0" w:line="155" w:lineRule="exact"/>
        <w:rPr>
          <w:sz w:val="20"/>
          <w:szCs w:val="20"/>
          <w:color w:val="auto"/>
        </w:rPr>
      </w:pPr>
    </w:p>
    <w:p>
      <w:pPr>
        <w:ind w:right="19"/>
        <w:spacing w:after="0" w:line="255" w:lineRule="auto"/>
        <w:rPr>
          <w:sz w:val="20"/>
          <w:szCs w:val="20"/>
          <w:color w:val="auto"/>
        </w:rPr>
      </w:pPr>
      <w:r>
        <w:rPr>
          <w:rFonts w:ascii="Times New Roman" w:cs="Times New Roman" w:eastAsia="Times New Roman" w:hAnsi="Times New Roman"/>
          <w:sz w:val="15"/>
          <w:szCs w:val="15"/>
          <w:color w:val="auto"/>
        </w:rPr>
        <w:t>Any invitation or inducement to engage in investment activity (within the meaning of Section 21 of the FSMA) may only be communicated or caused to be communicated in connection with the issue or sale of the securities in circumstances in which Section 21(1) of the FSMA does not apply. All applicable provisions of the FSMA and the Order must be complied with in respect of anything done by any person in relation to the securities in, from or otherwise involving the United Kingdom.</w:t>
      </w: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S-36</w:t>
      </w:r>
    </w:p>
    <w:p>
      <w:pPr>
        <w:sectPr>
          <w:pgSz w:w="11900" w:h="16838" w:orient="portrait"/>
          <w:cols w:equalWidth="0" w:num="1">
            <w:col w:w="9039"/>
          </w:cols>
          <w:pgMar w:left="1420" w:top="247" w:right="1440"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LEGAL MATTERS</w:t>
      </w:r>
    </w:p>
    <w:p>
      <w:pPr>
        <w:spacing w:after="0" w:line="184" w:lineRule="exact"/>
        <w:rPr>
          <w:sz w:val="20"/>
          <w:szCs w:val="20"/>
          <w:color w:val="auto"/>
        </w:rPr>
      </w:pPr>
    </w:p>
    <w:p>
      <w:pPr>
        <w:ind w:right="39"/>
        <w:spacing w:after="0" w:line="273" w:lineRule="auto"/>
        <w:rPr>
          <w:sz w:val="20"/>
          <w:szCs w:val="20"/>
          <w:color w:val="auto"/>
        </w:rPr>
      </w:pPr>
      <w:r>
        <w:rPr>
          <w:rFonts w:ascii="Times New Roman" w:cs="Times New Roman" w:eastAsia="Times New Roman" w:hAnsi="Times New Roman"/>
          <w:sz w:val="15"/>
          <w:szCs w:val="15"/>
          <w:color w:val="auto"/>
        </w:rPr>
        <w:t>The validity of the securities offered hereby will be passed upon for us by Hogan Lovells US LLP. The underwriters are being represented in connection with this offering by Cooley LLP, New York, New York.</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84" w:lineRule="exact"/>
        <w:rPr>
          <w:sz w:val="20"/>
          <w:szCs w:val="20"/>
          <w:color w:val="auto"/>
        </w:rPr>
      </w:pPr>
    </w:p>
    <w:p>
      <w:pPr>
        <w:ind w:right="119"/>
        <w:spacing w:after="0" w:line="255" w:lineRule="auto"/>
        <w:rPr>
          <w:sz w:val="20"/>
          <w:szCs w:val="20"/>
          <w:color w:val="auto"/>
        </w:rPr>
      </w:pPr>
      <w:r>
        <w:rPr>
          <w:rFonts w:ascii="Times New Roman" w:cs="Times New Roman" w:eastAsia="Times New Roman" w:hAnsi="Times New Roman"/>
          <w:sz w:val="15"/>
          <w:szCs w:val="15"/>
          <w:color w:val="auto"/>
        </w:rPr>
        <w:t>The financial statements incorporated in this prospectus supplement by reference to the Annual Report on Form 10-K for the year ended December 31, 2024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84" w:lineRule="exact"/>
        <w:rPr>
          <w:sz w:val="20"/>
          <w:szCs w:val="20"/>
          <w:color w:val="auto"/>
        </w:rPr>
      </w:pPr>
    </w:p>
    <w:p>
      <w:pPr>
        <w:ind w:right="19"/>
        <w:spacing w:after="0" w:line="260" w:lineRule="auto"/>
        <w:rPr>
          <w:sz w:val="20"/>
          <w:szCs w:val="20"/>
          <w:color w:val="auto"/>
        </w:rPr>
      </w:pPr>
      <w:r>
        <w:rPr>
          <w:rFonts w:ascii="Times New Roman" w:cs="Times New Roman" w:eastAsia="Times New Roman" w:hAnsi="Times New Roman"/>
          <w:sz w:val="15"/>
          <w:szCs w:val="15"/>
          <w:color w:val="auto"/>
        </w:rPr>
        <w:t>With respect to the statements contained in this prospectus supplement regarding the contents of any agreement or any other document, in each instance, the statement is qualified in all respects by the complete text of the agreement or document, a copy of which has been filed as an exhibit to, or incorporated by reference into, the registration statement.</w:t>
      </w:r>
    </w:p>
    <w:p>
      <w:pPr>
        <w:spacing w:after="0" w:line="149" w:lineRule="exact"/>
        <w:rPr>
          <w:sz w:val="20"/>
          <w:szCs w:val="20"/>
          <w:color w:val="auto"/>
        </w:rPr>
      </w:pPr>
    </w:p>
    <w:p>
      <w:pPr>
        <w:ind w:right="399"/>
        <w:spacing w:after="0" w:line="310" w:lineRule="auto"/>
        <w:rPr>
          <w:sz w:val="20"/>
          <w:szCs w:val="20"/>
          <w:color w:val="auto"/>
        </w:rPr>
      </w:pPr>
      <w:r>
        <w:rPr>
          <w:rFonts w:ascii="Times New Roman" w:cs="Times New Roman" w:eastAsia="Times New Roman" w:hAnsi="Times New Roman"/>
          <w:sz w:val="14"/>
          <w:szCs w:val="14"/>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w:t>
      </w:r>
    </w:p>
    <w:p>
      <w:pPr>
        <w:spacing w:after="0" w:line="116" w:lineRule="exact"/>
        <w:rPr>
          <w:sz w:val="20"/>
          <w:szCs w:val="20"/>
          <w:color w:val="auto"/>
        </w:rPr>
      </w:pPr>
    </w:p>
    <w:p>
      <w:pPr>
        <w:ind w:right="59"/>
        <w:spacing w:after="0" w:line="279" w:lineRule="auto"/>
        <w:rPr>
          <w:sz w:val="20"/>
          <w:szCs w:val="20"/>
          <w:color w:val="auto"/>
        </w:rPr>
      </w:pPr>
      <w:r>
        <w:rPr>
          <w:rFonts w:ascii="Times New Roman" w:cs="Times New Roman" w:eastAsia="Times New Roman" w:hAnsi="Times New Roman"/>
          <w:sz w:val="14"/>
          <w:szCs w:val="14"/>
          <w:color w:val="auto"/>
        </w:rPr>
        <w:t>We make available free of charge on our website our annual, quarterly and current reports, including amendments to such reports, as soon as reasonably practicable after we electronically file such material with, or furnish such material to, the SEC. Please note, however, that we have not incorporated any other information by reference from our website, other than the documents listed below under the heading “Incorporation of Certain Information by Reference.” In addition, you may request copies of these filings at no cost by writing or telephoning us at the following address or telephone number:</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Invivyd, Inc.</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1601 Trapelo Road, Suite 178</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Waltham, Massachusetts 02451</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Telephone: (781) 819-0080</w:t>
      </w: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INCORPORATION OF CERTAIN INFORMATION BY REFERENCE</w:t>
      </w:r>
    </w:p>
    <w:p>
      <w:pPr>
        <w:spacing w:after="0" w:line="184" w:lineRule="exact"/>
        <w:rPr>
          <w:sz w:val="20"/>
          <w:szCs w:val="20"/>
          <w:color w:val="auto"/>
        </w:rPr>
      </w:pPr>
    </w:p>
    <w:p>
      <w:pPr>
        <w:ind w:right="59"/>
        <w:spacing w:after="0" w:line="249"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S-3 under the Securities Act, of which this prospectus supplement forms a part. The rules and regulations of the SEC allow us to omit from this prospectus supplement certain information included in the registration statement. For further information about us and the securities offered under this prospectus supplement, you should refer to the registration statement and the exhibits and schedules filed with the registration statement. The SEC allows us to “incorporate by reference” information into this prospectus supplement. This means that we can disclose important information to you by referring you to documents we have filed separately with the SEC, without actually including the specific information in this prospectus supplement. The information incorporated by reference is considered to be a part of this prospectus supplement, and information in documents that we file later with the SEC will automatically update and supersede information contained in documents filed earlier with the SEC or contained in this prospectus supplement. We incorporate by reference in this prospectus supplement the documents listed below and any future filings that we may make with the SEC under Sections 13(a), 13(c), 14, or 15(d) of the Exchange Act prior to the termination of the offering under this prospectus supplement; provided, however, that we are not</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S-37</w:t>
      </w:r>
    </w:p>
    <w:p>
      <w:pPr>
        <w:sectPr>
          <w:pgSz w:w="11900" w:h="16838" w:orient="portrait"/>
          <w:cols w:equalWidth="0" w:num="1">
            <w:col w:w="9039"/>
          </w:cols>
          <w:pgMar w:left="1420" w:top="245" w:right="1440" w:bottom="1440" w:gutter="0" w:footer="0" w:header="0"/>
        </w:sectPr>
      </w:pPr>
    </w:p>
    <w:bookmarkStart w:id="39" w:name="page40"/>
    <w:bookmarkEnd w:id="39"/>
    <w:p>
      <w:pPr>
        <w:ind w:right="339"/>
        <w:spacing w:after="0" w:line="27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incorporating, in each case, any documents or information deemed to have been furnished and not filed, including any information that we disclose under Items 2.02 or 7.01 of any Current Report on Form 8-K, in accordance with SEC rules:</w:t>
      </w:r>
    </w:p>
    <w:p>
      <w:pPr>
        <w:spacing w:after="0" w:line="62" w:lineRule="exact"/>
        <w:rPr>
          <w:sz w:val="20"/>
          <w:szCs w:val="20"/>
          <w:color w:val="auto"/>
        </w:rPr>
      </w:pPr>
    </w:p>
    <w:p>
      <w:pPr>
        <w:ind w:left="800" w:right="39" w:hanging="354"/>
        <w:spacing w:after="0" w:line="260" w:lineRule="auto"/>
        <w:tabs>
          <w:tab w:leader="none" w:pos="8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52">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for the fiscal year ended December 31, 2024, filed with the SEC on March 20, 2025 (including those portions our Definitive Proxy Statement on </w:t>
      </w:r>
      <w:hyperlink r:id="rId53">
        <w:r>
          <w:rPr>
            <w:rFonts w:ascii="Times New Roman" w:cs="Times New Roman" w:eastAsia="Times New Roman" w:hAnsi="Times New Roman"/>
            <w:sz w:val="15"/>
            <w:szCs w:val="15"/>
            <w:u w:val="single" w:color="auto"/>
            <w:color w:val="0000EE"/>
          </w:rPr>
          <w:t>Schedule 14A</w:t>
        </w:r>
      </w:hyperlink>
      <w:r>
        <w:rPr>
          <w:rFonts w:ascii="Times New Roman" w:cs="Times New Roman" w:eastAsia="Times New Roman" w:hAnsi="Times New Roman"/>
          <w:sz w:val="15"/>
          <w:szCs w:val="15"/>
          <w:color w:val="auto"/>
        </w:rPr>
        <w:t>, filed with the SEC on April 7, 2025, that are incorporated by reference into Part III of such Annual Report on Form 10-K);</w:t>
      </w:r>
    </w:p>
    <w:p>
      <w:pPr>
        <w:spacing w:after="0" w:line="71" w:lineRule="exact"/>
        <w:rPr>
          <w:rFonts w:ascii="Times New Roman" w:cs="Times New Roman" w:eastAsia="Times New Roman" w:hAnsi="Times New Roman"/>
          <w:sz w:val="15"/>
          <w:szCs w:val="15"/>
          <w:color w:val="auto"/>
        </w:rPr>
      </w:pPr>
    </w:p>
    <w:p>
      <w:pPr>
        <w:ind w:left="800" w:right="199" w:hanging="354"/>
        <w:spacing w:after="0" w:line="273" w:lineRule="auto"/>
        <w:tabs>
          <w:tab w:leader="none" w:pos="8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Reports on Form 10-Q for the quarterly periods ended </w:t>
      </w:r>
      <w:hyperlink r:id="rId54">
        <w:r>
          <w:rPr>
            <w:rFonts w:ascii="Times New Roman" w:cs="Times New Roman" w:eastAsia="Times New Roman" w:hAnsi="Times New Roman"/>
            <w:sz w:val="15"/>
            <w:szCs w:val="15"/>
            <w:u w:val="single" w:color="auto"/>
            <w:color w:val="0000EE"/>
          </w:rPr>
          <w:t>March 31, 2025</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w:t>
      </w:r>
      <w:hyperlink r:id="rId55">
        <w:r>
          <w:rPr>
            <w:rFonts w:ascii="Times New Roman" w:cs="Times New Roman" w:eastAsia="Times New Roman" w:hAnsi="Times New Roman"/>
            <w:sz w:val="15"/>
            <w:szCs w:val="15"/>
            <w:u w:val="single" w:color="auto"/>
            <w:color w:val="0000EE"/>
          </w:rPr>
          <w:t>June 30, 2025</w:t>
        </w:r>
      </w:hyperlink>
      <w:r>
        <w:rPr>
          <w:rFonts w:ascii="Times New Roman" w:cs="Times New Roman" w:eastAsia="Times New Roman" w:hAnsi="Times New Roman"/>
          <w:sz w:val="15"/>
          <w:szCs w:val="15"/>
          <w:color w:val="auto"/>
        </w:rPr>
        <w:t>, filed with the SEC on May 15, 2025 and August 14, 2025, respectively;</w:t>
      </w:r>
    </w:p>
    <w:p>
      <w:pPr>
        <w:spacing w:after="0" w:line="61" w:lineRule="exact"/>
        <w:rPr>
          <w:rFonts w:ascii="Times New Roman" w:cs="Times New Roman" w:eastAsia="Times New Roman" w:hAnsi="Times New Roman"/>
          <w:sz w:val="15"/>
          <w:szCs w:val="15"/>
          <w:color w:val="auto"/>
        </w:rPr>
      </w:pPr>
    </w:p>
    <w:p>
      <w:pPr>
        <w:ind w:left="800" w:right="179" w:hanging="354"/>
        <w:spacing w:after="0" w:line="275" w:lineRule="auto"/>
        <w:tabs>
          <w:tab w:leader="none" w:pos="800" w:val="left"/>
        </w:tabs>
        <w:numPr>
          <w:ilvl w:val="0"/>
          <w:numId w:val="26"/>
        </w:numPr>
        <w:rPr>
          <w:rFonts w:ascii="Times New Roman" w:cs="Times New Roman" w:eastAsia="Times New Roman" w:hAnsi="Times New Roman"/>
          <w:sz w:val="14"/>
          <w:szCs w:val="14"/>
          <w:color w:val="0000EE"/>
        </w:rPr>
      </w:pPr>
      <w:hyperlink r:id="rId56">
        <w:r>
          <w:rPr>
            <w:rFonts w:ascii="Times New Roman" w:cs="Times New Roman" w:eastAsia="Times New Roman" w:hAnsi="Times New Roman"/>
            <w:sz w:val="14"/>
            <w:szCs w:val="14"/>
            <w:color w:val="auto"/>
          </w:rPr>
          <w:t xml:space="preserve">our Current Reports on Form 8-K (other than the portions thereof that are furnished and not filed) as filed with the SEC on </w:t>
        </w:r>
        <w:r>
          <w:rPr>
            <w:rFonts w:ascii="Times New Roman" w:cs="Times New Roman" w:eastAsia="Times New Roman" w:hAnsi="Times New Roman"/>
            <w:sz w:val="14"/>
            <w:szCs w:val="14"/>
            <w:u w:val="single" w:color="auto"/>
            <w:color w:val="0000EE"/>
          </w:rPr>
          <w:t>January 10,</w:t>
        </w:r>
      </w:hyperlink>
      <w:r>
        <w:rPr>
          <w:rFonts w:ascii="Times New Roman" w:cs="Times New Roman" w:eastAsia="Times New Roman" w:hAnsi="Times New Roman"/>
          <w:sz w:val="14"/>
          <w:szCs w:val="14"/>
          <w:color w:val="auto"/>
        </w:rPr>
        <w:t xml:space="preserve"> </w:t>
      </w:r>
      <w:hyperlink r:id="rId57">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January 27,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February 3,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February 24,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March 5,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March 26,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April 21,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April 25,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May</w:t>
        </w:r>
      </w:hyperlink>
    </w:p>
    <w:p>
      <w:pPr>
        <w:ind w:left="800"/>
        <w:spacing w:after="0"/>
        <w:rPr>
          <w:rFonts w:ascii="Times New Roman" w:cs="Times New Roman" w:eastAsia="Times New Roman" w:hAnsi="Times New Roman"/>
          <w:sz w:val="15"/>
          <w:szCs w:val="15"/>
          <w:color w:val="0000EE"/>
        </w:rPr>
      </w:pPr>
      <w:hyperlink r:id="rId57">
        <w:r>
          <w:rPr>
            <w:rFonts w:ascii="Times New Roman" w:cs="Times New Roman" w:eastAsia="Times New Roman" w:hAnsi="Times New Roman"/>
            <w:sz w:val="15"/>
            <w:szCs w:val="15"/>
            <w:u w:val="single" w:color="auto"/>
            <w:color w:val="0000EE"/>
          </w:rPr>
          <w:t>12, 2025</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58">
        <w:r>
          <w:rPr>
            <w:rFonts w:ascii="Times New Roman" w:cs="Times New Roman" w:eastAsia="Times New Roman" w:hAnsi="Times New Roman"/>
            <w:sz w:val="15"/>
            <w:szCs w:val="15"/>
            <w:u w:val="single" w:color="auto"/>
            <w:color w:val="0000EE"/>
          </w:rPr>
          <w:t>May 15, 2025</w:t>
        </w:r>
      </w:hyperlink>
      <w:hyperlink r:id="rId57">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59">
        <w:r>
          <w:rPr>
            <w:rFonts w:ascii="Times New Roman" w:cs="Times New Roman" w:eastAsia="Times New Roman" w:hAnsi="Times New Roman"/>
            <w:sz w:val="15"/>
            <w:szCs w:val="15"/>
            <w:u w:val="single" w:color="auto"/>
            <w:color w:val="0000EE"/>
          </w:rPr>
          <w:t>May 20, 2025</w:t>
        </w:r>
      </w:hyperlink>
      <w:hyperlink r:id="rId57">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60">
        <w:r>
          <w:rPr>
            <w:rFonts w:ascii="Times New Roman" w:cs="Times New Roman" w:eastAsia="Times New Roman" w:hAnsi="Times New Roman"/>
            <w:sz w:val="15"/>
            <w:szCs w:val="15"/>
            <w:u w:val="single" w:color="auto"/>
            <w:color w:val="0000EE"/>
          </w:rPr>
          <w:t>June 26, 2025</w:t>
        </w:r>
      </w:hyperlink>
      <w:hyperlink r:id="rId57">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61">
        <w:r>
          <w:rPr>
            <w:rFonts w:ascii="Times New Roman" w:cs="Times New Roman" w:eastAsia="Times New Roman" w:hAnsi="Times New Roman"/>
            <w:sz w:val="15"/>
            <w:szCs w:val="15"/>
            <w:u w:val="single" w:color="auto"/>
            <w:color w:val="0000EE"/>
          </w:rPr>
          <w:t xml:space="preserve">July 2, 2025 </w:t>
        </w:r>
      </w:hyperlink>
      <w:hyperlink r:id="rId57">
        <w:r>
          <w:rPr>
            <w:rFonts w:ascii="Times New Roman" w:cs="Times New Roman" w:eastAsia="Times New Roman" w:hAnsi="Times New Roman"/>
            <w:sz w:val="15"/>
            <w:szCs w:val="15"/>
            <w:color w:val="000000"/>
          </w:rPr>
          <w:t>and</w:t>
        </w:r>
        <w:r>
          <w:rPr>
            <w:rFonts w:ascii="Times New Roman" w:cs="Times New Roman" w:eastAsia="Times New Roman" w:hAnsi="Times New Roman"/>
            <w:sz w:val="15"/>
            <w:szCs w:val="15"/>
            <w:color w:val="0000EE"/>
          </w:rPr>
          <w:t xml:space="preserve"> </w:t>
        </w:r>
      </w:hyperlink>
      <w:hyperlink r:id="rId62">
        <w:r>
          <w:rPr>
            <w:rFonts w:ascii="Times New Roman" w:cs="Times New Roman" w:eastAsia="Times New Roman" w:hAnsi="Times New Roman"/>
            <w:sz w:val="15"/>
            <w:szCs w:val="15"/>
            <w:u w:val="single" w:color="auto"/>
            <w:color w:val="0000EE"/>
          </w:rPr>
          <w:t>August 14, 2025</w:t>
        </w:r>
      </w:hyperlink>
      <w:hyperlink r:id="rId57">
        <w:r>
          <w:rPr>
            <w:rFonts w:ascii="Times New Roman" w:cs="Times New Roman" w:eastAsia="Times New Roman" w:hAnsi="Times New Roman"/>
            <w:sz w:val="15"/>
            <w:szCs w:val="15"/>
            <w:color w:val="000000"/>
          </w:rPr>
          <w:t>; and</w:t>
        </w:r>
      </w:hyperlink>
    </w:p>
    <w:p>
      <w:pPr>
        <w:spacing w:after="0" w:line="90" w:lineRule="exact"/>
        <w:rPr>
          <w:rFonts w:ascii="Times New Roman" w:cs="Times New Roman" w:eastAsia="Times New Roman" w:hAnsi="Times New Roman"/>
          <w:sz w:val="15"/>
          <w:szCs w:val="15"/>
          <w:color w:val="0000EE"/>
        </w:rPr>
      </w:pPr>
    </w:p>
    <w:p>
      <w:pPr>
        <w:ind w:left="800" w:right="79" w:hanging="354"/>
        <w:spacing w:after="0" w:line="260" w:lineRule="auto"/>
        <w:tabs>
          <w:tab w:leader="none" w:pos="800" w:val="left"/>
        </w:tabs>
        <w:numPr>
          <w:ilvl w:val="0"/>
          <w:numId w:val="27"/>
        </w:numPr>
        <w:rPr>
          <w:rFonts w:ascii="Times New Roman" w:cs="Times New Roman" w:eastAsia="Times New Roman" w:hAnsi="Times New Roman"/>
          <w:sz w:val="15"/>
          <w:szCs w:val="15"/>
          <w:color w:val="0000EE"/>
        </w:rPr>
      </w:pPr>
      <w:hyperlink r:id="rId63">
        <w:r>
          <w:rPr>
            <w:rFonts w:ascii="Times New Roman" w:cs="Times New Roman" w:eastAsia="Times New Roman" w:hAnsi="Times New Roman"/>
            <w:sz w:val="15"/>
            <w:szCs w:val="15"/>
            <w:color w:val="auto"/>
          </w:rPr>
          <w:t xml:space="preserve">the description of our common stock contained in our Registration Statement on </w:t>
        </w:r>
        <w:r>
          <w:rPr>
            <w:rFonts w:ascii="Times New Roman" w:cs="Times New Roman" w:eastAsia="Times New Roman" w:hAnsi="Times New Roman"/>
            <w:sz w:val="15"/>
            <w:szCs w:val="15"/>
            <w:u w:val="single" w:color="auto"/>
            <w:color w:val="0000EE"/>
          </w:rPr>
          <w:t>Form 8-A</w:t>
        </w:r>
        <w:r>
          <w:rPr>
            <w:rFonts w:ascii="Times New Roman" w:cs="Times New Roman" w:eastAsia="Times New Roman" w:hAnsi="Times New Roman"/>
            <w:sz w:val="15"/>
            <w:szCs w:val="15"/>
            <w:color w:val="auto"/>
          </w:rPr>
          <w:t xml:space="preserve"> filed on August 3, 2021, as updated by </w:t>
        </w:r>
        <w:r>
          <w:rPr>
            <w:rFonts w:ascii="Times New Roman" w:cs="Times New Roman" w:eastAsia="Times New Roman" w:hAnsi="Times New Roman"/>
            <w:sz w:val="15"/>
            <w:szCs w:val="15"/>
            <w:u w:val="single" w:color="auto"/>
            <w:color w:val="0000EE"/>
          </w:rPr>
          <w:t>Exhibit</w:t>
        </w:r>
      </w:hyperlink>
      <w:r>
        <w:rPr>
          <w:rFonts w:ascii="Times New Roman" w:cs="Times New Roman" w:eastAsia="Times New Roman" w:hAnsi="Times New Roman"/>
          <w:sz w:val="15"/>
          <w:szCs w:val="15"/>
          <w:color w:val="auto"/>
        </w:rPr>
        <w:t xml:space="preserve"> </w:t>
      </w:r>
      <w:hyperlink r:id="rId63">
        <w:r>
          <w:rPr>
            <w:rFonts w:ascii="Times New Roman" w:cs="Times New Roman" w:eastAsia="Times New Roman" w:hAnsi="Times New Roman"/>
            <w:sz w:val="15"/>
            <w:szCs w:val="15"/>
            <w:u w:val="single" w:color="auto"/>
            <w:color w:val="0000EE"/>
          </w:rPr>
          <w:t>4.2</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to our Annual Report on Form 10-K for the fiscal year ended December 31, 2023, including any amendments or reports filed for the</w:t>
        </w:r>
      </w:hyperlink>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purpose of updating such description.</w:t>
      </w:r>
    </w:p>
    <w:p>
      <w:pPr>
        <w:spacing w:after="0" w:line="149"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5"/>
          <w:szCs w:val="15"/>
          <w:color w:val="auto"/>
        </w:rPr>
        <w:t>To obtain copies of these filings, see the section entitled “Where You Can Find More Information” on page S-37 of this prospectus supplement.</w:t>
      </w:r>
    </w:p>
    <w:p>
      <w:pPr>
        <w:spacing w:after="0" w:line="127" w:lineRule="exact"/>
        <w:rPr>
          <w:rFonts w:ascii="Times New Roman" w:cs="Times New Roman" w:eastAsia="Times New Roman" w:hAnsi="Times New Roman"/>
          <w:sz w:val="15"/>
          <w:szCs w:val="15"/>
          <w:color w:val="auto"/>
        </w:rPr>
      </w:pPr>
    </w:p>
    <w:p>
      <w:pPr>
        <w:ind w:left="4380"/>
        <w:spacing w:after="0"/>
        <w:rPr>
          <w:sz w:val="20"/>
          <w:szCs w:val="20"/>
          <w:color w:val="auto"/>
        </w:rPr>
      </w:pPr>
      <w:r>
        <w:rPr>
          <w:rFonts w:ascii="Times New Roman" w:cs="Times New Roman" w:eastAsia="Times New Roman" w:hAnsi="Times New Roman"/>
          <w:sz w:val="15"/>
          <w:szCs w:val="15"/>
          <w:color w:val="auto"/>
        </w:rPr>
        <w:t>S-38</w:t>
      </w:r>
    </w:p>
    <w:p>
      <w:pPr>
        <w:sectPr>
          <w:pgSz w:w="11900" w:h="16838" w:orient="portrait"/>
          <w:cols w:equalWidth="0" w:num="1">
            <w:col w:w="9039"/>
          </w:cols>
          <w:pgMar w:left="1420" w:top="247"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76835</wp:posOffset>
            </wp:positionV>
            <wp:extent cx="4018280" cy="5911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401828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$400,000,000</w:t>
      </w: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Preferred Stock</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Warrants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Debt Securities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118745</wp:posOffset>
            </wp:positionV>
            <wp:extent cx="120332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We may offer to the public from time to time in one or more series or issuances and on terms that we will determine at the time of the offering:</w:t>
      </w:r>
    </w:p>
    <w:p>
      <w:pPr>
        <w:spacing w:after="0" w:line="116" w:lineRule="exact"/>
        <w:rPr>
          <w:sz w:val="20"/>
          <w:szCs w:val="20"/>
          <w:color w:val="auto"/>
        </w:rPr>
      </w:pPr>
    </w:p>
    <w:p>
      <w:pPr>
        <w:ind w:left="720" w:hanging="274"/>
        <w:spacing w:after="0"/>
        <w:tabs>
          <w:tab w:leader="none" w:pos="7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our common stock;</w:t>
      </w:r>
    </w:p>
    <w:p>
      <w:pPr>
        <w:spacing w:after="0" w:line="116" w:lineRule="exact"/>
        <w:rPr>
          <w:rFonts w:ascii="Times New Roman" w:cs="Times New Roman" w:eastAsia="Times New Roman" w:hAnsi="Times New Roman"/>
          <w:sz w:val="13"/>
          <w:szCs w:val="13"/>
          <w:color w:val="auto"/>
        </w:rPr>
      </w:pPr>
    </w:p>
    <w:p>
      <w:pPr>
        <w:ind w:left="720" w:hanging="274"/>
        <w:spacing w:after="0"/>
        <w:tabs>
          <w:tab w:leader="none" w:pos="7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our preferred stock;</w:t>
      </w:r>
    </w:p>
    <w:p>
      <w:pPr>
        <w:spacing w:after="0" w:line="116" w:lineRule="exact"/>
        <w:rPr>
          <w:rFonts w:ascii="Times New Roman" w:cs="Times New Roman" w:eastAsia="Times New Roman" w:hAnsi="Times New Roman"/>
          <w:sz w:val="13"/>
          <w:szCs w:val="13"/>
          <w:color w:val="auto"/>
        </w:rPr>
      </w:pPr>
    </w:p>
    <w:p>
      <w:pPr>
        <w:ind w:left="720" w:hanging="274"/>
        <w:spacing w:after="0"/>
        <w:tabs>
          <w:tab w:leader="none" w:pos="7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warrants to purchase shares of our common stock, preferred stock and/or debt securities;</w:t>
      </w:r>
    </w:p>
    <w:p>
      <w:pPr>
        <w:spacing w:after="0" w:line="116" w:lineRule="exact"/>
        <w:rPr>
          <w:rFonts w:ascii="Times New Roman" w:cs="Times New Roman" w:eastAsia="Times New Roman" w:hAnsi="Times New Roman"/>
          <w:sz w:val="13"/>
          <w:szCs w:val="13"/>
          <w:color w:val="auto"/>
        </w:rPr>
      </w:pPr>
    </w:p>
    <w:p>
      <w:pPr>
        <w:ind w:left="720" w:hanging="274"/>
        <w:spacing w:after="0"/>
        <w:tabs>
          <w:tab w:leader="none" w:pos="7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securities consisting of debentures, notes or other evidences of indebtedness;</w:t>
      </w:r>
    </w:p>
    <w:p>
      <w:pPr>
        <w:spacing w:after="0" w:line="116" w:lineRule="exact"/>
        <w:rPr>
          <w:rFonts w:ascii="Times New Roman" w:cs="Times New Roman" w:eastAsia="Times New Roman" w:hAnsi="Times New Roman"/>
          <w:sz w:val="13"/>
          <w:szCs w:val="13"/>
          <w:color w:val="auto"/>
        </w:rPr>
      </w:pPr>
    </w:p>
    <w:p>
      <w:pPr>
        <w:ind w:left="720" w:hanging="274"/>
        <w:spacing w:after="0"/>
        <w:tabs>
          <w:tab w:leader="none" w:pos="7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units consisting of a combination of the foregoing securities; or</w:t>
      </w:r>
    </w:p>
    <w:p>
      <w:pPr>
        <w:spacing w:after="0" w:line="116" w:lineRule="exact"/>
        <w:rPr>
          <w:rFonts w:ascii="Times New Roman" w:cs="Times New Roman" w:eastAsia="Times New Roman" w:hAnsi="Times New Roman"/>
          <w:sz w:val="13"/>
          <w:szCs w:val="13"/>
          <w:color w:val="auto"/>
        </w:rPr>
      </w:pPr>
    </w:p>
    <w:p>
      <w:pPr>
        <w:ind w:left="720" w:hanging="274"/>
        <w:spacing w:after="0"/>
        <w:tabs>
          <w:tab w:leader="none" w:pos="7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combination of these securities.</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aggregate initial offering price of all securities sold by us pursuant to this prospectus will not exceed $400,000,000.</w:t>
      </w:r>
    </w:p>
    <w:p>
      <w:pPr>
        <w:spacing w:after="0" w:line="105" w:lineRule="exact"/>
        <w:rPr>
          <w:sz w:val="20"/>
          <w:szCs w:val="20"/>
          <w:color w:val="auto"/>
        </w:rPr>
      </w:pPr>
    </w:p>
    <w:p>
      <w:pPr>
        <w:ind w:right="99" w:firstLine="362"/>
        <w:spacing w:after="0" w:line="285" w:lineRule="auto"/>
        <w:rPr>
          <w:sz w:val="20"/>
          <w:szCs w:val="20"/>
          <w:color w:val="auto"/>
        </w:rPr>
      </w:pPr>
      <w:r>
        <w:rPr>
          <w:rFonts w:ascii="Times New Roman" w:cs="Times New Roman" w:eastAsia="Times New Roman" w:hAnsi="Times New Roman"/>
          <w:sz w:val="13"/>
          <w:szCs w:val="13"/>
          <w:color w:val="auto"/>
        </w:rPr>
        <w:t>This prospectus provides a general description of the securities that we may offer. Each time that we offer securities under this prospectus, we will provide the specific terms of the securities offered, including the public offering price, in a supplement to this prospectus. Any prospectus supplement may add to, update or change information contained or incorporated by reference in this prospectus.</w:t>
      </w:r>
    </w:p>
    <w:p>
      <w:pPr>
        <w:spacing w:after="0" w:line="55" w:lineRule="exact"/>
        <w:rPr>
          <w:sz w:val="20"/>
          <w:szCs w:val="20"/>
          <w:color w:val="auto"/>
        </w:rPr>
      </w:pPr>
    </w:p>
    <w:p>
      <w:pPr>
        <w:ind w:right="399" w:firstLine="362"/>
        <w:spacing w:after="0" w:line="279" w:lineRule="auto"/>
        <w:rPr>
          <w:sz w:val="20"/>
          <w:szCs w:val="20"/>
          <w:color w:val="auto"/>
        </w:rPr>
      </w:pPr>
      <w:r>
        <w:rPr>
          <w:rFonts w:ascii="Times New Roman" w:cs="Times New Roman" w:eastAsia="Times New Roman" w:hAnsi="Times New Roman"/>
          <w:sz w:val="13"/>
          <w:szCs w:val="13"/>
          <w:color w:val="auto"/>
        </w:rPr>
        <w:t>The securities may be sold by us to or through underwriters or dealers, directly to purchasers or through agents designated from time to time. For additional information on the methods of sale, you should refer to the section entitled “Plan of Distribution” in this prospectus and the comparable section of any applicable prospectus supplement. If any underwriters are involved in the sale of the securities with respect to which this prospectus is being delivered, the names of such underwriters and any applicable discounts, commissions and purchase options will be set forth in the applicable prospectus supplement.</w:t>
      </w:r>
    </w:p>
    <w:p>
      <w:pPr>
        <w:spacing w:after="0" w:line="58" w:lineRule="exact"/>
        <w:rPr>
          <w:sz w:val="20"/>
          <w:szCs w:val="20"/>
          <w:color w:val="auto"/>
        </w:rPr>
      </w:pPr>
    </w:p>
    <w:p>
      <w:pPr>
        <w:ind w:right="99" w:firstLine="362"/>
        <w:spacing w:after="0" w:line="279" w:lineRule="auto"/>
        <w:rPr>
          <w:sz w:val="20"/>
          <w:szCs w:val="20"/>
          <w:color w:val="auto"/>
        </w:rPr>
      </w:pPr>
      <w:r>
        <w:rPr>
          <w:rFonts w:ascii="Times New Roman" w:cs="Times New Roman" w:eastAsia="Times New Roman" w:hAnsi="Times New Roman"/>
          <w:sz w:val="13"/>
          <w:szCs w:val="13"/>
          <w:color w:val="auto"/>
        </w:rPr>
        <w:t>Our common stock trades on the Nasdaq Global Market under the ticker symbol “IVVD”. On September 27, 2022, the last reported sale price per share of our common stock was $3.10. We have not yet determined whether the other securities that may be offered by this prospectus will be listed on any exchange, interdealer quotation system or over-the-counter market. If we decide to seek the listing of any such securities upon issuance, the prospectus supplement relating to those securities will disclose the exchange, quotation system or market on which those securities will be listed.</w:t>
      </w:r>
    </w:p>
    <w:p>
      <w:pPr>
        <w:spacing w:after="0" w:line="58" w:lineRule="exact"/>
        <w:rPr>
          <w:sz w:val="20"/>
          <w:szCs w:val="20"/>
          <w:color w:val="auto"/>
        </w:rPr>
      </w:pPr>
    </w:p>
    <w:p>
      <w:pPr>
        <w:ind w:right="39" w:firstLine="362"/>
        <w:spacing w:after="0" w:line="285" w:lineRule="auto"/>
        <w:rPr>
          <w:sz w:val="20"/>
          <w:szCs w:val="20"/>
          <w:color w:val="auto"/>
        </w:rPr>
      </w:pPr>
      <w:r>
        <w:rPr>
          <w:rFonts w:ascii="Times New Roman" w:cs="Times New Roman" w:eastAsia="Times New Roman" w:hAnsi="Times New Roman"/>
          <w:sz w:val="13"/>
          <w:szCs w:val="13"/>
          <w:color w:val="auto"/>
        </w:rPr>
        <w:t>We are an “emerging growth company” as defined by the Jumpstart Our Business Startups Act of 2012 and, as such, we are subject to reduced public company reporting requirements for this prospectus and future filings. Refer to the section entitled “Implications of Being an Emerging Growth Company” beginning on page 4 of this prospectus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104775</wp:posOffset>
            </wp:positionV>
            <wp:extent cx="120332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28" w:lineRule="exact"/>
        <w:rPr>
          <w:sz w:val="20"/>
          <w:szCs w:val="20"/>
          <w:color w:val="auto"/>
        </w:rPr>
      </w:pPr>
    </w:p>
    <w:p>
      <w:pPr>
        <w:ind w:right="239" w:firstLine="362"/>
        <w:spacing w:after="0" w:line="256" w:lineRule="auto"/>
        <w:rPr>
          <w:sz w:val="20"/>
          <w:szCs w:val="20"/>
          <w:color w:val="auto"/>
        </w:rPr>
      </w:pPr>
      <w:r>
        <w:rPr>
          <w:rFonts w:ascii="Times New Roman" w:cs="Times New Roman" w:eastAsia="Times New Roman" w:hAnsi="Times New Roman"/>
          <w:sz w:val="15"/>
          <w:szCs w:val="15"/>
          <w:b w:val="1"/>
          <w:bCs w:val="1"/>
          <w:color w:val="auto"/>
        </w:rPr>
        <w:t>INVESTING IN OUR SECURITIES INVOLVES A HIGH DEGREE OF RISK. RISKS ASSOCIATED WITH AN INVESTMENT IN OUR SECURITIES WILL BE DESCRIBED IN THE APPLICABLE PROSPECTUS SUPPLEMENT AND CERTAIN OF OUR FILINGS WITH THE SECURITIES AND EXCHANGE COMMISSION INCORPORATED BY REFERENCE INTO THIS PROSPECTUS, AS DESCRIBED UNDER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ON PAGE 6.</w:t>
      </w:r>
    </w:p>
    <w:p>
      <w:pPr>
        <w:spacing w:after="0" w:line="66" w:lineRule="exact"/>
        <w:rPr>
          <w:sz w:val="20"/>
          <w:szCs w:val="20"/>
          <w:color w:val="auto"/>
        </w:rPr>
      </w:pPr>
    </w:p>
    <w:p>
      <w:pPr>
        <w:ind w:right="179" w:firstLine="362"/>
        <w:spacing w:after="0" w:line="307" w:lineRule="auto"/>
        <w:rPr>
          <w:sz w:val="20"/>
          <w:szCs w:val="20"/>
          <w:color w:val="auto"/>
        </w:rPr>
      </w:pPr>
      <w:r>
        <w:rPr>
          <w:rFonts w:ascii="Times New Roman" w:cs="Times New Roman" w:eastAsia="Times New Roman" w:hAnsi="Times New Roman"/>
          <w:sz w:val="13"/>
          <w:szCs w:val="13"/>
          <w:b w:val="1"/>
          <w:bCs w:val="1"/>
          <w:color w:val="auto"/>
        </w:rPr>
        <w:t>You should read this prospectus and any applicable prospectus supplement together with additional information described under the heading “Where You Can Find More Information” before you make your investment decision.</w:t>
      </w:r>
    </w:p>
    <w:p>
      <w:pPr>
        <w:spacing w:after="0" w:line="39" w:lineRule="exact"/>
        <w:rPr>
          <w:sz w:val="20"/>
          <w:szCs w:val="20"/>
          <w:color w:val="auto"/>
        </w:rPr>
      </w:pPr>
    </w:p>
    <w:p>
      <w:pPr>
        <w:ind w:right="179" w:firstLine="362"/>
        <w:spacing w:after="0" w:line="307"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102870</wp:posOffset>
            </wp:positionV>
            <wp:extent cx="12033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The date of this prospectus is October 5, 2022</w:t>
      </w:r>
    </w:p>
    <w:p>
      <w:pPr>
        <w:sectPr>
          <w:pgSz w:w="11900" w:h="16838" w:orient="portrait"/>
          <w:cols w:equalWidth="0" w:num="1">
            <w:col w:w="9039"/>
          </w:cols>
          <w:pgMar w:left="1420" w:top="245"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2"/>
        </w:trPr>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60" w:type="dxa"/>
            <w:vAlign w:val="bottom"/>
            <w:gridSpan w:val="3"/>
          </w:tcPr>
          <w:p>
            <w:pPr>
              <w:jc w:val="right"/>
              <w:ind w:right="3617"/>
              <w:spacing w:after="0"/>
              <w:rPr>
                <w:sz w:val="20"/>
                <w:szCs w:val="20"/>
                <w:color w:val="auto"/>
              </w:rPr>
            </w:pPr>
            <w:r>
              <w:rPr>
                <w:rFonts w:ascii="Times New Roman" w:cs="Times New Roman" w:eastAsia="Times New Roman" w:hAnsi="Times New Roman"/>
                <w:sz w:val="15"/>
                <w:szCs w:val="15"/>
                <w:b w:val="1"/>
                <w:bCs w:val="1"/>
                <w:color w:val="auto"/>
                <w:w w:val="96"/>
              </w:rPr>
              <w:t>TABLE OF CONTENTS</w:t>
            </w:r>
          </w:p>
        </w:tc>
        <w:tc>
          <w:tcPr>
            <w:tcW w:w="0" w:type="dxa"/>
            <w:vAlign w:val="bottom"/>
          </w:tcPr>
          <w:p>
            <w:pPr>
              <w:spacing w:after="0"/>
              <w:rPr>
                <w:sz w:val="1"/>
                <w:szCs w:val="1"/>
                <w:color w:val="auto"/>
              </w:rPr>
            </w:pPr>
          </w:p>
        </w:tc>
      </w:tr>
      <w:tr>
        <w:trPr>
          <w:trHeight w:val="335"/>
        </w:trPr>
        <w:tc>
          <w:tcPr>
            <w:tcW w:w="1840" w:type="dxa"/>
            <w:vAlign w:val="bottom"/>
            <w:gridSpan w:val="7"/>
            <w:vMerge w:val="restart"/>
          </w:tcPr>
          <w:p>
            <w:pPr>
              <w:spacing w:after="0"/>
              <w:rPr>
                <w:sz w:val="20"/>
                <w:szCs w:val="20"/>
                <w:color w:val="auto"/>
              </w:rPr>
            </w:pPr>
            <w:r>
              <w:rPr>
                <w:rFonts w:ascii="Times New Roman" w:cs="Times New Roman" w:eastAsia="Times New Roman" w:hAnsi="Times New Roman"/>
                <w:sz w:val="15"/>
                <w:szCs w:val="15"/>
                <w:color w:val="0000EE"/>
                <w:w w:val="97"/>
              </w:rPr>
              <w:t>ABOUT THIS PROSPECTUS</w:t>
            </w:r>
          </w:p>
        </w:tc>
        <w:tc>
          <w:tcPr>
            <w:tcW w:w="1900" w:type="dxa"/>
            <w:vAlign w:val="bottom"/>
            <w:gridSpan w:val="9"/>
            <w:vMerge w:val="restart"/>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29"/>
        </w:trPr>
        <w:tc>
          <w:tcPr>
            <w:tcW w:w="1840" w:type="dxa"/>
            <w:vAlign w:val="bottom"/>
            <w:tcBorders>
              <w:bottom w:val="single" w:sz="8" w:color="0000EE"/>
            </w:tcBorders>
            <w:gridSpan w:val="7"/>
            <w:vMerge w:val="continue"/>
          </w:tcPr>
          <w:p>
            <w:pPr>
              <w:spacing w:after="0"/>
              <w:rPr>
                <w:sz w:val="10"/>
                <w:szCs w:val="10"/>
                <w:color w:val="auto"/>
              </w:rPr>
            </w:pPr>
          </w:p>
        </w:tc>
        <w:tc>
          <w:tcPr>
            <w:tcW w:w="1900" w:type="dxa"/>
            <w:vAlign w:val="bottom"/>
            <w:gridSpan w:val="9"/>
            <w:vMerge w:val="continue"/>
          </w:tcPr>
          <w:p>
            <w:pPr>
              <w:spacing w:after="0"/>
              <w:rPr>
                <w:sz w:val="10"/>
                <w:szCs w:val="10"/>
                <w:color w:val="auto"/>
              </w:rPr>
            </w:pPr>
          </w:p>
        </w:tc>
        <w:tc>
          <w:tcPr>
            <w:tcW w:w="15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ii</w:t>
            </w:r>
          </w:p>
        </w:tc>
        <w:tc>
          <w:tcPr>
            <w:tcW w:w="0" w:type="dxa"/>
            <w:vAlign w:val="bottom"/>
          </w:tcPr>
          <w:p>
            <w:pPr>
              <w:spacing w:after="0"/>
              <w:rPr>
                <w:sz w:val="1"/>
                <w:szCs w:val="1"/>
                <w:color w:val="auto"/>
              </w:rPr>
            </w:pPr>
          </w:p>
        </w:tc>
      </w:tr>
      <w:tr>
        <w:trPr>
          <w:trHeight w:val="168"/>
        </w:trPr>
        <w:tc>
          <w:tcPr>
            <w:tcW w:w="3740" w:type="dxa"/>
            <w:vAlign w:val="bottom"/>
            <w:gridSpan w:val="16"/>
          </w:tcPr>
          <w:p>
            <w:pPr>
              <w:spacing w:after="0" w:line="169" w:lineRule="exact"/>
              <w:rPr>
                <w:sz w:val="20"/>
                <w:szCs w:val="20"/>
                <w:color w:val="auto"/>
              </w:rPr>
            </w:pPr>
            <w:r>
              <w:rPr>
                <w:rFonts w:ascii="Times New Roman" w:cs="Times New Roman" w:eastAsia="Times New Roman" w:hAnsi="Times New Roman"/>
                <w:sz w:val="15"/>
                <w:szCs w:val="15"/>
                <w:color w:val="0000EE"/>
              </w:rPr>
              <w:t>FORWARD-LOOKING STATEMENTS</w:t>
            </w:r>
          </w:p>
        </w:tc>
        <w:tc>
          <w:tcPr>
            <w:tcW w:w="526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740" w:type="dxa"/>
            <w:vAlign w:val="bottom"/>
            <w:tcBorders>
              <w:bottom w:val="single" w:sz="8" w:color="0000EE"/>
            </w:tcBorders>
            <w:gridSpan w:val="10"/>
          </w:tcPr>
          <w:p>
            <w:pPr>
              <w:spacing w:after="0" w:line="157" w:lineRule="exact"/>
              <w:rPr>
                <w:sz w:val="20"/>
                <w:szCs w:val="20"/>
                <w:color w:val="auto"/>
              </w:rPr>
            </w:pPr>
            <w:r>
              <w:rPr>
                <w:rFonts w:ascii="Times New Roman" w:cs="Times New Roman" w:eastAsia="Times New Roman" w:hAnsi="Times New Roman"/>
                <w:sz w:val="15"/>
                <w:szCs w:val="15"/>
                <w:color w:val="0000EE"/>
                <w:w w:val="96"/>
              </w:rPr>
              <w:t>MARKET, INDUSTRY AND OTHER DATA</w:t>
            </w:r>
          </w:p>
        </w:tc>
        <w:tc>
          <w:tcPr>
            <w:tcW w:w="1000" w:type="dxa"/>
            <w:vAlign w:val="bottom"/>
            <w:gridSpan w:val="6"/>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57"/>
        </w:trPr>
        <w:tc>
          <w:tcPr>
            <w:tcW w:w="760" w:type="dxa"/>
            <w:vAlign w:val="bottom"/>
            <w:tcBorders>
              <w:bottom w:val="single" w:sz="8" w:color="0000EE"/>
            </w:tcBorders>
            <w:gridSpan w:val="2"/>
          </w:tcPr>
          <w:p>
            <w:pPr>
              <w:spacing w:after="0" w:line="157" w:lineRule="exact"/>
              <w:rPr>
                <w:sz w:val="20"/>
                <w:szCs w:val="20"/>
                <w:color w:val="auto"/>
              </w:rPr>
            </w:pPr>
            <w:r>
              <w:rPr>
                <w:rFonts w:ascii="Times New Roman" w:cs="Times New Roman" w:eastAsia="Times New Roman" w:hAnsi="Times New Roman"/>
                <w:sz w:val="15"/>
                <w:szCs w:val="15"/>
                <w:color w:val="0000EE"/>
                <w:w w:val="95"/>
              </w:rPr>
              <w:t>SUMMARY</w:t>
            </w:r>
          </w:p>
        </w:tc>
        <w:tc>
          <w:tcPr>
            <w:tcW w:w="2980" w:type="dxa"/>
            <w:vAlign w:val="bottom"/>
            <w:gridSpan w:val="14"/>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57"/>
        </w:trPr>
        <w:tc>
          <w:tcPr>
            <w:tcW w:w="3740" w:type="dxa"/>
            <w:vAlign w:val="bottom"/>
            <w:gridSpan w:val="16"/>
          </w:tcPr>
          <w:p>
            <w:pPr>
              <w:spacing w:after="0" w:line="157" w:lineRule="exact"/>
              <w:rPr>
                <w:sz w:val="20"/>
                <w:szCs w:val="20"/>
                <w:color w:val="auto"/>
              </w:rPr>
            </w:pPr>
            <w:r>
              <w:rPr>
                <w:rFonts w:ascii="Times New Roman" w:cs="Times New Roman" w:eastAsia="Times New Roman" w:hAnsi="Times New Roman"/>
                <w:sz w:val="15"/>
                <w:szCs w:val="15"/>
                <w:color w:val="0000EE"/>
              </w:rPr>
              <w:t>RISK FACTORS</w:t>
            </w: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tcBorders>
              <w:bottom w:val="single" w:sz="8" w:color="0000EE"/>
            </w:tcBorders>
            <w:gridSpan w:val="5"/>
          </w:tcPr>
          <w:p>
            <w:pPr>
              <w:spacing w:after="0" w:line="157" w:lineRule="exact"/>
              <w:rPr>
                <w:sz w:val="20"/>
                <w:szCs w:val="20"/>
                <w:color w:val="auto"/>
              </w:rPr>
            </w:pPr>
            <w:r>
              <w:rPr>
                <w:rFonts w:ascii="Times New Roman" w:cs="Times New Roman" w:eastAsia="Times New Roman" w:hAnsi="Times New Roman"/>
                <w:sz w:val="15"/>
                <w:szCs w:val="15"/>
                <w:color w:val="0000EE"/>
                <w:w w:val="97"/>
              </w:rPr>
              <w:t>USE OF PROCEEDS</w:t>
            </w:r>
          </w:p>
        </w:tc>
        <w:tc>
          <w:tcPr>
            <w:tcW w:w="2440" w:type="dxa"/>
            <w:vAlign w:val="bottom"/>
            <w:gridSpan w:val="11"/>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57"/>
        </w:trPr>
        <w:tc>
          <w:tcPr>
            <w:tcW w:w="3740" w:type="dxa"/>
            <w:vAlign w:val="bottom"/>
            <w:gridSpan w:val="16"/>
          </w:tcPr>
          <w:p>
            <w:pPr>
              <w:spacing w:after="0" w:line="157" w:lineRule="exact"/>
              <w:rPr>
                <w:sz w:val="20"/>
                <w:szCs w:val="20"/>
                <w:color w:val="auto"/>
              </w:rPr>
            </w:pPr>
            <w:r>
              <w:rPr>
                <w:rFonts w:ascii="Times New Roman" w:cs="Times New Roman" w:eastAsia="Times New Roman" w:hAnsi="Times New Roman"/>
                <w:sz w:val="15"/>
                <w:szCs w:val="15"/>
                <w:color w:val="0000EE"/>
              </w:rPr>
              <w:t>PLAN OF DISTRIBUTION</w:t>
            </w: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60" w:type="dxa"/>
            <w:vAlign w:val="bottom"/>
            <w:tcBorders>
              <w:bottom w:val="single" w:sz="8" w:color="0000EE"/>
            </w:tcBorders>
            <w:gridSpan w:val="15"/>
          </w:tcPr>
          <w:p>
            <w:pPr>
              <w:spacing w:after="0" w:line="157" w:lineRule="exact"/>
              <w:rPr>
                <w:sz w:val="20"/>
                <w:szCs w:val="20"/>
                <w:color w:val="auto"/>
              </w:rPr>
            </w:pPr>
            <w:r>
              <w:rPr>
                <w:rFonts w:ascii="Times New Roman" w:cs="Times New Roman" w:eastAsia="Times New Roman" w:hAnsi="Times New Roman"/>
                <w:sz w:val="15"/>
                <w:szCs w:val="15"/>
                <w:color w:val="0000EE"/>
                <w:w w:val="98"/>
              </w:rPr>
              <w:t>GENERAL DESCRIPTION OF OUR SECURITIES</w:t>
            </w:r>
          </w:p>
        </w:tc>
        <w:tc>
          <w:tcPr>
            <w:tcW w:w="580" w:type="dxa"/>
            <w:vAlign w:val="bottom"/>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57"/>
        </w:trPr>
        <w:tc>
          <w:tcPr>
            <w:tcW w:w="2780" w:type="dxa"/>
            <w:vAlign w:val="bottom"/>
            <w:tcBorders>
              <w:bottom w:val="single" w:sz="8" w:color="0000EE"/>
            </w:tcBorders>
            <w:gridSpan w:val="11"/>
          </w:tcPr>
          <w:p>
            <w:pPr>
              <w:spacing w:after="0" w:line="157" w:lineRule="exact"/>
              <w:rPr>
                <w:sz w:val="20"/>
                <w:szCs w:val="20"/>
                <w:color w:val="auto"/>
              </w:rPr>
            </w:pPr>
            <w:r>
              <w:rPr>
                <w:rFonts w:ascii="Times New Roman" w:cs="Times New Roman" w:eastAsia="Times New Roman" w:hAnsi="Times New Roman"/>
                <w:sz w:val="15"/>
                <w:szCs w:val="15"/>
                <w:color w:val="0000EE"/>
                <w:w w:val="97"/>
              </w:rPr>
              <w:t>DESCRIPTION OF OUR COMMON STOCK</w:t>
            </w:r>
          </w:p>
        </w:tc>
        <w:tc>
          <w:tcPr>
            <w:tcW w:w="960" w:type="dxa"/>
            <w:vAlign w:val="bottom"/>
            <w:gridSpan w:val="5"/>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57"/>
        </w:trPr>
        <w:tc>
          <w:tcPr>
            <w:tcW w:w="3740" w:type="dxa"/>
            <w:vAlign w:val="bottom"/>
            <w:gridSpan w:val="16"/>
          </w:tcPr>
          <w:p>
            <w:pPr>
              <w:spacing w:after="0" w:line="157" w:lineRule="exact"/>
              <w:rPr>
                <w:sz w:val="20"/>
                <w:szCs w:val="20"/>
                <w:color w:val="auto"/>
              </w:rPr>
            </w:pPr>
            <w:r>
              <w:rPr>
                <w:rFonts w:ascii="Times New Roman" w:cs="Times New Roman" w:eastAsia="Times New Roman" w:hAnsi="Times New Roman"/>
                <w:sz w:val="15"/>
                <w:szCs w:val="15"/>
                <w:color w:val="0000EE"/>
              </w:rPr>
              <w:t>DESCRIPTION OF OUR PREFERRED STOCK</w:t>
            </w: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157"/>
        </w:trPr>
        <w:tc>
          <w:tcPr>
            <w:tcW w:w="2920" w:type="dxa"/>
            <w:vAlign w:val="bottom"/>
            <w:tcBorders>
              <w:top w:val="single" w:sz="8" w:color="0000EE"/>
            </w:tcBorders>
            <w:gridSpan w:val="13"/>
          </w:tcPr>
          <w:p>
            <w:pPr>
              <w:spacing w:after="0" w:line="157" w:lineRule="exact"/>
              <w:rPr>
                <w:sz w:val="20"/>
                <w:szCs w:val="20"/>
                <w:color w:val="auto"/>
              </w:rPr>
            </w:pPr>
            <w:r>
              <w:rPr>
                <w:rFonts w:ascii="Times New Roman" w:cs="Times New Roman" w:eastAsia="Times New Roman" w:hAnsi="Times New Roman"/>
                <w:sz w:val="15"/>
                <w:szCs w:val="15"/>
                <w:color w:val="0000EE"/>
              </w:rPr>
              <w:t>DESCRIPTION OF OUR WARRANTS</w:t>
            </w:r>
          </w:p>
        </w:tc>
        <w:tc>
          <w:tcPr>
            <w:tcW w:w="820" w:type="dxa"/>
            <w:vAlign w:val="bottom"/>
            <w:gridSpan w:val="3"/>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40" w:type="dxa"/>
            <w:vAlign w:val="bottom"/>
            <w:tcBorders>
              <w:bottom w:val="single" w:sz="8" w:color="0000EE"/>
            </w:tcBorders>
            <w:gridSpan w:val="12"/>
          </w:tcPr>
          <w:p>
            <w:pPr>
              <w:spacing w:after="0" w:line="157" w:lineRule="exact"/>
              <w:rPr>
                <w:sz w:val="20"/>
                <w:szCs w:val="20"/>
                <w:color w:val="auto"/>
              </w:rPr>
            </w:pPr>
            <w:r>
              <w:rPr>
                <w:rFonts w:ascii="Times New Roman" w:cs="Times New Roman" w:eastAsia="Times New Roman" w:hAnsi="Times New Roman"/>
                <w:sz w:val="15"/>
                <w:szCs w:val="15"/>
                <w:color w:val="0000EE"/>
                <w:w w:val="98"/>
              </w:rPr>
              <w:t>DESCRIPTION OF OUR DEBT SECURITIES</w:t>
            </w:r>
          </w:p>
        </w:tc>
        <w:tc>
          <w:tcPr>
            <w:tcW w:w="900" w:type="dxa"/>
            <w:vAlign w:val="bottom"/>
            <w:gridSpan w:val="4"/>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57"/>
        </w:trPr>
        <w:tc>
          <w:tcPr>
            <w:tcW w:w="3740" w:type="dxa"/>
            <w:vAlign w:val="bottom"/>
            <w:gridSpan w:val="16"/>
          </w:tcPr>
          <w:p>
            <w:pPr>
              <w:spacing w:after="0" w:line="157" w:lineRule="exact"/>
              <w:rPr>
                <w:sz w:val="20"/>
                <w:szCs w:val="20"/>
                <w:color w:val="auto"/>
              </w:rPr>
            </w:pPr>
            <w:r>
              <w:rPr>
                <w:rFonts w:ascii="Times New Roman" w:cs="Times New Roman" w:eastAsia="Times New Roman" w:hAnsi="Times New Roman"/>
                <w:sz w:val="15"/>
                <w:szCs w:val="15"/>
                <w:color w:val="0000EE"/>
              </w:rPr>
              <w:t>DESCRIPTION OF OUR UNITS</w:t>
            </w: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40" w:type="dxa"/>
            <w:vAlign w:val="bottom"/>
            <w:tcBorders>
              <w:bottom w:val="single" w:sz="8" w:color="0000EE"/>
            </w:tcBorders>
            <w:gridSpan w:val="14"/>
          </w:tcPr>
          <w:p>
            <w:pPr>
              <w:spacing w:after="0" w:line="157" w:lineRule="exact"/>
              <w:rPr>
                <w:sz w:val="20"/>
                <w:szCs w:val="20"/>
                <w:color w:val="auto"/>
              </w:rPr>
            </w:pPr>
            <w:r>
              <w:rPr>
                <w:rFonts w:ascii="Times New Roman" w:cs="Times New Roman" w:eastAsia="Times New Roman" w:hAnsi="Times New Roman"/>
                <w:sz w:val="15"/>
                <w:szCs w:val="15"/>
                <w:color w:val="0000EE"/>
                <w:w w:val="97"/>
              </w:rPr>
              <w:t>WHERE YOU CAN FIND MORE INFORMATION</w:t>
            </w:r>
          </w:p>
        </w:tc>
        <w:tc>
          <w:tcPr>
            <w:tcW w:w="600" w:type="dxa"/>
            <w:vAlign w:val="bottom"/>
            <w:gridSpan w:val="2"/>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57"/>
        </w:trPr>
        <w:tc>
          <w:tcPr>
            <w:tcW w:w="2380" w:type="dxa"/>
            <w:vAlign w:val="bottom"/>
            <w:tcBorders>
              <w:bottom w:val="single" w:sz="8" w:color="0000EE"/>
            </w:tcBorders>
            <w:gridSpan w:val="9"/>
          </w:tcPr>
          <w:p>
            <w:pPr>
              <w:spacing w:after="0" w:line="157" w:lineRule="exact"/>
              <w:rPr>
                <w:sz w:val="20"/>
                <w:szCs w:val="20"/>
                <w:color w:val="auto"/>
              </w:rPr>
            </w:pPr>
            <w:r>
              <w:rPr>
                <w:rFonts w:ascii="Times New Roman" w:cs="Times New Roman" w:eastAsia="Times New Roman" w:hAnsi="Times New Roman"/>
                <w:sz w:val="15"/>
                <w:szCs w:val="15"/>
                <w:color w:val="0000EE"/>
                <w:w w:val="98"/>
              </w:rPr>
              <w:t>INCORPORATION BY REFERENCE</w:t>
            </w:r>
          </w:p>
        </w:tc>
        <w:tc>
          <w:tcPr>
            <w:tcW w:w="1360" w:type="dxa"/>
            <w:vAlign w:val="bottom"/>
            <w:gridSpan w:val="7"/>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57"/>
        </w:trPr>
        <w:tc>
          <w:tcPr>
            <w:tcW w:w="1200" w:type="dxa"/>
            <w:vAlign w:val="bottom"/>
            <w:tcBorders>
              <w:bottom w:val="single" w:sz="8" w:color="0000EE"/>
            </w:tcBorders>
            <w:gridSpan w:val="4"/>
          </w:tcPr>
          <w:p>
            <w:pPr>
              <w:spacing w:after="0" w:line="157" w:lineRule="exact"/>
              <w:rPr>
                <w:sz w:val="20"/>
                <w:szCs w:val="20"/>
                <w:color w:val="auto"/>
              </w:rPr>
            </w:pPr>
            <w:r>
              <w:rPr>
                <w:rFonts w:ascii="Times New Roman" w:cs="Times New Roman" w:eastAsia="Times New Roman" w:hAnsi="Times New Roman"/>
                <w:sz w:val="15"/>
                <w:szCs w:val="15"/>
                <w:color w:val="0000EE"/>
                <w:w w:val="95"/>
              </w:rPr>
              <w:t>LEGAL MATTERS</w:t>
            </w:r>
          </w:p>
        </w:tc>
        <w:tc>
          <w:tcPr>
            <w:tcW w:w="2540" w:type="dxa"/>
            <w:vAlign w:val="bottom"/>
            <w:gridSpan w:val="12"/>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57"/>
        </w:trPr>
        <w:tc>
          <w:tcPr>
            <w:tcW w:w="640" w:type="dxa"/>
            <w:vAlign w:val="bottom"/>
            <w:tcBorders>
              <w:bottom w:val="single" w:sz="8" w:color="0000EE"/>
            </w:tcBorders>
          </w:tcPr>
          <w:p>
            <w:pPr>
              <w:spacing w:after="0" w:line="157" w:lineRule="exact"/>
              <w:rPr>
                <w:sz w:val="20"/>
                <w:szCs w:val="20"/>
                <w:color w:val="auto"/>
              </w:rPr>
            </w:pPr>
            <w:r>
              <w:rPr>
                <w:rFonts w:ascii="Times New Roman" w:cs="Times New Roman" w:eastAsia="Times New Roman" w:hAnsi="Times New Roman"/>
                <w:sz w:val="15"/>
                <w:szCs w:val="15"/>
                <w:color w:val="0000EE"/>
                <w:w w:val="95"/>
              </w:rPr>
              <w:t>EXPERTS</w:t>
            </w:r>
          </w:p>
        </w:tc>
        <w:tc>
          <w:tcPr>
            <w:tcW w:w="3100" w:type="dxa"/>
            <w:vAlign w:val="bottom"/>
            <w:gridSpan w:val="15"/>
          </w:tcPr>
          <w:p>
            <w:pPr>
              <w:spacing w:after="0"/>
              <w:rPr>
                <w:sz w:val="13"/>
                <w:szCs w:val="13"/>
                <w:color w:val="auto"/>
              </w:rPr>
            </w:pPr>
          </w:p>
        </w:tc>
        <w:tc>
          <w:tcPr>
            <w:tcW w:w="52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bl>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96455" cy="336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9039"/>
          </w:cols>
          <w:pgMar w:left="1420" w:top="233"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ABOUT THIS PROSPECTUS</w:t>
      </w:r>
    </w:p>
    <w:p>
      <w:pPr>
        <w:spacing w:after="0" w:line="184" w:lineRule="exact"/>
        <w:rPr>
          <w:sz w:val="20"/>
          <w:szCs w:val="20"/>
          <w:color w:val="auto"/>
        </w:rPr>
      </w:pPr>
    </w:p>
    <w:p>
      <w:pPr>
        <w:ind w:right="99" w:firstLine="362"/>
        <w:spacing w:after="0" w:line="260" w:lineRule="auto"/>
        <w:rPr>
          <w:sz w:val="20"/>
          <w:szCs w:val="20"/>
          <w:color w:val="auto"/>
        </w:rPr>
      </w:pPr>
      <w:r>
        <w:rPr>
          <w:rFonts w:ascii="Times New Roman" w:cs="Times New Roman" w:eastAsia="Times New Roman" w:hAnsi="Times New Roman"/>
          <w:sz w:val="15"/>
          <w:szCs w:val="15"/>
          <w:color w:val="auto"/>
        </w:rPr>
        <w:t>This prospectus is a part of a registration statement on Form S-3 that we filed with the Securities and Exchange Commission, or the SEC, using a “shelf” registration process. Under this shelf registration process, we may offer to sell any of the securities, or any combination of the securities, described in this prospectus, in each case in one or more offerings, up to a total dollar amount of $400,000,000.</w:t>
      </w:r>
    </w:p>
    <w:p>
      <w:pPr>
        <w:spacing w:after="0" w:line="149" w:lineRule="exact"/>
        <w:rPr>
          <w:sz w:val="20"/>
          <w:szCs w:val="20"/>
          <w:color w:val="auto"/>
        </w:rPr>
      </w:pPr>
    </w:p>
    <w:p>
      <w:pPr>
        <w:ind w:right="19" w:firstLine="362"/>
        <w:spacing w:after="0" w:line="251" w:lineRule="auto"/>
        <w:rPr>
          <w:sz w:val="20"/>
          <w:szCs w:val="20"/>
          <w:color w:val="auto"/>
        </w:rPr>
      </w:pPr>
      <w:r>
        <w:rPr>
          <w:rFonts w:ascii="Times New Roman" w:cs="Times New Roman" w:eastAsia="Times New Roman" w:hAnsi="Times New Roman"/>
          <w:sz w:val="15"/>
          <w:szCs w:val="15"/>
          <w:color w:val="auto"/>
        </w:rPr>
        <w:t>This prospectus provides you only with a general description of the securities that we may offer. Each time securities are sold under this shelf registration statement, we will provide an accompanying prospectus supplement that will contain specific information about the terms of those securities and the terms of that offering. The accompanying prospectus supplement may also add, update or change information contained in this prospectus. If there is any inconsistency between the information in this prospectus and any accompanying prospectus supplement, you should rely on the information in the accompanying prospectus supplement. You should read both this prospectus and any accompanying prospectus supplement, including all documents incorporated by reference herein and therein, together with the additional information described under “Where You Can Find More Information” below.</w:t>
      </w:r>
    </w:p>
    <w:p>
      <w:pPr>
        <w:spacing w:after="0" w:line="156" w:lineRule="exact"/>
        <w:rPr>
          <w:sz w:val="20"/>
          <w:szCs w:val="20"/>
          <w:color w:val="auto"/>
        </w:rPr>
      </w:pPr>
    </w:p>
    <w:p>
      <w:pPr>
        <w:ind w:right="199" w:firstLine="362"/>
        <w:spacing w:after="0" w:line="260" w:lineRule="auto"/>
        <w:rPr>
          <w:sz w:val="20"/>
          <w:szCs w:val="20"/>
          <w:color w:val="auto"/>
        </w:rPr>
      </w:pPr>
      <w:r>
        <w:rPr>
          <w:rFonts w:ascii="Times New Roman" w:cs="Times New Roman" w:eastAsia="Times New Roman" w:hAnsi="Times New Roman"/>
          <w:sz w:val="15"/>
          <w:szCs w:val="15"/>
          <w:color w:val="auto"/>
        </w:rPr>
        <w:t>The information contained in this prospectus is not complete and may be changed. You should rely only on the information provided in or incorporated by reference in this prospectus or in any accompanying prospectus supplement, or documents to which we otherwise refer you. We have not authorized anyone else to provide you with different information.</w:t>
      </w:r>
    </w:p>
    <w:p>
      <w:pPr>
        <w:spacing w:after="0" w:line="147" w:lineRule="exact"/>
        <w:rPr>
          <w:sz w:val="20"/>
          <w:szCs w:val="20"/>
          <w:color w:val="auto"/>
        </w:rPr>
      </w:pPr>
    </w:p>
    <w:p>
      <w:pPr>
        <w:ind w:right="79" w:firstLine="362"/>
        <w:spacing w:after="0" w:line="249" w:lineRule="auto"/>
        <w:rPr>
          <w:sz w:val="20"/>
          <w:szCs w:val="20"/>
          <w:color w:val="auto"/>
        </w:rPr>
      </w:pPr>
      <w:r>
        <w:rPr>
          <w:rFonts w:ascii="Times New Roman" w:cs="Times New Roman" w:eastAsia="Times New Roman" w:hAnsi="Times New Roman"/>
          <w:sz w:val="15"/>
          <w:szCs w:val="15"/>
          <w:b w:val="1"/>
          <w:bCs w:val="1"/>
          <w:color w:val="auto"/>
        </w:rPr>
        <w:t>We have not authorized any dealer, agent or other person to give any information or to make any representation other than those contained or incorporated by reference in this prospectus and any accompanying prospectus supplement.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if any, constitute an offer to sell or the solicitation of an offer to buy securities in any jurisdiction to any person to whom it is unlawful to make such offer or solicitation in such jurisdiction. You should not assume that the information contained in this prospectus and the accompanying prospectus supplement, if any, is accurate on any date subsequent to the date set forth on the front of such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163" w:lineRule="exact"/>
        <w:rPr>
          <w:sz w:val="20"/>
          <w:szCs w:val="20"/>
          <w:color w:val="auto"/>
        </w:rPr>
      </w:pPr>
    </w:p>
    <w:p>
      <w:pPr>
        <w:ind w:right="319" w:firstLine="362"/>
        <w:spacing w:after="0" w:line="273" w:lineRule="auto"/>
        <w:rPr>
          <w:sz w:val="20"/>
          <w:szCs w:val="20"/>
          <w:color w:val="auto"/>
        </w:rPr>
      </w:pPr>
      <w:r>
        <w:rPr>
          <w:rFonts w:ascii="Times New Roman" w:cs="Times New Roman" w:eastAsia="Times New Roman" w:hAnsi="Times New Roman"/>
          <w:sz w:val="15"/>
          <w:szCs w:val="15"/>
          <w:color w:val="auto"/>
        </w:rPr>
        <w:t>References in this prospectus to the terms “the Company,” “Invivyd,” “we,” “our” and “us” or other similar terms mean Invivyd, Inc. and our wholly owned subsidiaries, unless we state otherwise or the context indicates otherwise.</w:t>
      </w:r>
    </w:p>
    <w:p>
      <w:pPr>
        <w:spacing w:after="0" w:line="140" w:lineRule="exact"/>
        <w:rPr>
          <w:sz w:val="20"/>
          <w:szCs w:val="20"/>
          <w:color w:val="auto"/>
        </w:rPr>
      </w:pPr>
    </w:p>
    <w:p>
      <w:pPr>
        <w:jc w:val="both"/>
        <w:ind w:right="159" w:firstLine="362"/>
        <w:spacing w:after="0" w:line="287" w:lineRule="auto"/>
        <w:rPr>
          <w:sz w:val="20"/>
          <w:szCs w:val="20"/>
          <w:color w:val="auto"/>
        </w:rPr>
      </w:pPr>
      <w:r>
        <w:rPr>
          <w:rFonts w:ascii="Times New Roman" w:cs="Times New Roman" w:eastAsia="Times New Roman" w:hAnsi="Times New Roman"/>
          <w:sz w:val="14"/>
          <w:szCs w:val="14"/>
          <w:color w:val="auto"/>
        </w:rPr>
        <w:t>“Invivyd,” “IVVD” and the Invivyd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w:t>
      </w:r>
    </w:p>
    <w:p>
      <w:pPr>
        <w:sectPr>
          <w:pgSz w:w="11900" w:h="16838" w:orient="portrait"/>
          <w:cols w:equalWidth="0" w:num="1">
            <w:col w:w="9039"/>
          </w:cols>
          <w:pgMar w:left="1420" w:top="245"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FORWARD-LOOKING STATEMENTS</w:t>
      </w:r>
    </w:p>
    <w:p>
      <w:pPr>
        <w:spacing w:after="0" w:line="184" w:lineRule="exact"/>
        <w:rPr>
          <w:sz w:val="20"/>
          <w:szCs w:val="20"/>
          <w:color w:val="auto"/>
        </w:rPr>
      </w:pPr>
    </w:p>
    <w:p>
      <w:pPr>
        <w:ind w:right="40" w:firstLine="362"/>
        <w:spacing w:after="0" w:line="270"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contain, and any prospectus supplement and the documents incorporated therein, may contain forward-looking statements that involve substantial risks and uncertainties. All statements, other than statements of historical facts, included in this prospectus, any prospectus supplement or the documents incorporated herein and therein by reference, including statements regarding our future financial condition, results of operations, business strategy and plans and objectives of management for future operations, industry trends and other future events, are forward-looking statements. In some cases, you can identify forward-looking statements by terminology such as “may,” “anticipate,” “believe,” “could,” “expect,” “intends,” “might,” “plan,” “possible,” “potential,” “aim,” “predict,” “project” “should,” “will,” “would” or the negative of these terms or other similar expressions, although not all forward-looking statements contain these identifying terms. The forward-looking statements in this prospectus and the documents incorporated herein by reference include, among other things, statements about:</w:t>
      </w:r>
    </w:p>
    <w:p>
      <w:pPr>
        <w:spacing w:after="0" w:line="69" w:lineRule="exact"/>
        <w:rPr>
          <w:sz w:val="20"/>
          <w:szCs w:val="20"/>
          <w:color w:val="auto"/>
        </w:rPr>
      </w:pPr>
    </w:p>
    <w:p>
      <w:pPr>
        <w:ind w:left="800" w:hanging="354"/>
        <w:spacing w:after="0" w:line="287" w:lineRule="auto"/>
        <w:tabs>
          <w:tab w:leader="none" w:pos="8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progress and results of our preclinical studies and clinical trials of our current and future product candidates, including statements regarding the timing of our planned regulatory submissions, initiation and completion of studies or trials and related preparatory work and the period during which the results of the trials will become available, and our research and development programs;</w:t>
      </w:r>
    </w:p>
    <w:p>
      <w:pPr>
        <w:spacing w:after="0" w:line="54" w:lineRule="exact"/>
        <w:rPr>
          <w:rFonts w:ascii="Times New Roman" w:cs="Times New Roman" w:eastAsia="Times New Roman" w:hAnsi="Times New Roman"/>
          <w:sz w:val="14"/>
          <w:szCs w:val="14"/>
          <w:color w:val="auto"/>
        </w:rPr>
      </w:pPr>
    </w:p>
    <w:p>
      <w:pPr>
        <w:ind w:left="800" w:right="360" w:hanging="354"/>
        <w:spacing w:after="0" w:line="273" w:lineRule="auto"/>
        <w:tabs>
          <w:tab w:leader="none" w:pos="8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any submission of filings for regulatory approval of, and our ability to obtain and maintain regulatory approvals for, our current and future product candidates;</w:t>
      </w:r>
    </w:p>
    <w:p>
      <w:pPr>
        <w:spacing w:after="0" w:line="61" w:lineRule="exact"/>
        <w:rPr>
          <w:rFonts w:ascii="Times New Roman" w:cs="Times New Roman" w:eastAsia="Times New Roman" w:hAnsi="Times New Roman"/>
          <w:sz w:val="15"/>
          <w:szCs w:val="15"/>
          <w:color w:val="auto"/>
        </w:rPr>
      </w:pPr>
    </w:p>
    <w:p>
      <w:pPr>
        <w:ind w:left="800" w:right="600" w:hanging="354"/>
        <w:spacing w:after="0" w:line="273" w:lineRule="auto"/>
        <w:tabs>
          <w:tab w:leader="none" w:pos="8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manufacturing capabilities and strategy, including the scalability and commercial viability of our manufacturing methods and processes;</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identify patients with the diseases treated by our product candidates and to enroll these patients in our clinical trials;</w:t>
      </w:r>
    </w:p>
    <w:p>
      <w:pPr>
        <w:spacing w:after="0" w:line="104" w:lineRule="exact"/>
        <w:rPr>
          <w:rFonts w:ascii="Times New Roman" w:cs="Times New Roman" w:eastAsia="Times New Roman" w:hAnsi="Times New Roman"/>
          <w:sz w:val="15"/>
          <w:szCs w:val="15"/>
          <w:color w:val="auto"/>
        </w:rPr>
      </w:pPr>
    </w:p>
    <w:p>
      <w:pPr>
        <w:ind w:left="800" w:right="300" w:hanging="354"/>
        <w:spacing w:after="0" w:line="273" w:lineRule="auto"/>
        <w:tabs>
          <w:tab w:leader="none" w:pos="8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size of the patient populations, market acceptance and opportunity for and clinical utility of our product candidates, if approved for commercial use;</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scope of any approved indication for adintrevimab or any other product candidate;</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commercialize our product candidates;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leverage technology to identify and develop future product candidates;</w:t>
      </w:r>
    </w:p>
    <w:p>
      <w:pPr>
        <w:spacing w:after="0" w:line="104" w:lineRule="exact"/>
        <w:rPr>
          <w:rFonts w:ascii="Times New Roman" w:cs="Times New Roman" w:eastAsia="Times New Roman" w:hAnsi="Times New Roman"/>
          <w:sz w:val="15"/>
          <w:szCs w:val="15"/>
          <w:color w:val="auto"/>
        </w:rPr>
      </w:pPr>
    </w:p>
    <w:p>
      <w:pPr>
        <w:ind w:left="800" w:right="80" w:hanging="354"/>
        <w:spacing w:after="0" w:line="273" w:lineRule="auto"/>
        <w:tabs>
          <w:tab w:leader="none" w:pos="8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of our expenses, ongoing losses, future revenue, capital requirements and our need for or ability to obtain additional funding before we can expect to generate any revenue from product sales;</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belief regarding the sufficiency of our cash resources to fund our operating expenses and capital expenditure requirements;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competitive position and the development of and projections relating to our competitors or our industry;</w:t>
      </w:r>
    </w:p>
    <w:p>
      <w:pPr>
        <w:spacing w:after="0" w:line="104" w:lineRule="exact"/>
        <w:rPr>
          <w:rFonts w:ascii="Times New Roman" w:cs="Times New Roman" w:eastAsia="Times New Roman" w:hAnsi="Times New Roman"/>
          <w:sz w:val="15"/>
          <w:szCs w:val="15"/>
          <w:color w:val="auto"/>
        </w:rPr>
      </w:pPr>
    </w:p>
    <w:p>
      <w:pPr>
        <w:ind w:left="800" w:right="120" w:hanging="354"/>
        <w:spacing w:after="0" w:line="273" w:lineRule="auto"/>
        <w:tabs>
          <w:tab w:leader="none" w:pos="8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disruptions affecting our preclinical studies or the initiation, patient enrollment, development and operation of our clinical trials, including a public health crisis, such as the outbreak of COVID-19; and</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use of proceeds.</w:t>
      </w:r>
    </w:p>
    <w:p>
      <w:pPr>
        <w:spacing w:after="0" w:line="182" w:lineRule="exact"/>
        <w:rPr>
          <w:sz w:val="20"/>
          <w:szCs w:val="20"/>
          <w:color w:val="auto"/>
        </w:rPr>
      </w:pPr>
    </w:p>
    <w:p>
      <w:pPr>
        <w:jc w:val="both"/>
        <w:ind w:right="120" w:firstLine="362"/>
        <w:spacing w:after="0" w:line="255" w:lineRule="auto"/>
        <w:rPr>
          <w:sz w:val="20"/>
          <w:szCs w:val="20"/>
          <w:color w:val="auto"/>
        </w:rPr>
      </w:pPr>
      <w:r>
        <w:rPr>
          <w:rFonts w:ascii="Times New Roman" w:cs="Times New Roman" w:eastAsia="Times New Roman" w:hAnsi="Times New Roman"/>
          <w:sz w:val="15"/>
          <w:szCs w:val="15"/>
          <w:color w:val="auto"/>
        </w:rPr>
        <w:t>We cannot guarantee that the results and other expectations expressed, anticipated or implied in any forward-looking statement will be realized. The risks set forth under Item 1A of our Annual Report on Form 10-K for the fiscal year ended December 31, 2021, as revised or supplemented by our Quarterly Reports on Form 10-Q and other documents we file with the SEC, describe material risks to our business, and you should read and interpret any forward-looking statements together with these risks. A variety of factors, including these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9040"/>
          </w:cols>
          <w:pgMar w:left="1420" w:top="245" w:right="1439" w:bottom="1440" w:gutter="0" w:footer="0" w:header="0"/>
        </w:sectPr>
      </w:pPr>
    </w:p>
    <w:bookmarkStart w:id="44" w:name="page45"/>
    <w:bookmarkEnd w:id="44"/>
    <w:p>
      <w:pPr>
        <w:spacing w:after="0" w:line="25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153" w:lineRule="exact"/>
        <w:rPr>
          <w:sz w:val="20"/>
          <w:szCs w:val="20"/>
          <w:color w:val="auto"/>
        </w:rPr>
      </w:pPr>
    </w:p>
    <w:p>
      <w:pPr>
        <w:ind w:right="80" w:firstLine="362"/>
        <w:spacing w:after="0" w:line="255" w:lineRule="auto"/>
        <w:rPr>
          <w:sz w:val="20"/>
          <w:szCs w:val="20"/>
          <w:color w:val="auto"/>
        </w:rPr>
      </w:pPr>
      <w:r>
        <w:rPr>
          <w:rFonts w:ascii="Times New Roman" w:cs="Times New Roman" w:eastAsia="Times New Roman" w:hAnsi="Times New Roman"/>
          <w:sz w:val="15"/>
          <w:szCs w:val="15"/>
          <w:color w:val="auto"/>
        </w:rPr>
        <w:t>You should read this prospectus, any prospectus supplement and the documents that we incorporate by reference herein and therein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040"/>
          </w:cols>
          <w:pgMar w:left="1420" w:top="247" w:right="14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MARKET, INDUSTRY AND OTHER DATA</w:t>
      </w:r>
    </w:p>
    <w:p>
      <w:pPr>
        <w:spacing w:after="0" w:line="184" w:lineRule="exact"/>
        <w:rPr>
          <w:sz w:val="20"/>
          <w:szCs w:val="20"/>
          <w:color w:val="auto"/>
        </w:rPr>
      </w:pPr>
    </w:p>
    <w:p>
      <w:pPr>
        <w:ind w:right="59" w:firstLine="362"/>
        <w:spacing w:after="0" w:line="271" w:lineRule="auto"/>
        <w:rPr>
          <w:sz w:val="20"/>
          <w:szCs w:val="20"/>
          <w:color w:val="auto"/>
        </w:rPr>
      </w:pPr>
      <w:r>
        <w:rPr>
          <w:rFonts w:ascii="Times New Roman" w:cs="Times New Roman" w:eastAsia="Times New Roman" w:hAnsi="Times New Roman"/>
          <w:sz w:val="14"/>
          <w:szCs w:val="14"/>
          <w:color w:val="auto"/>
        </w:rPr>
        <w:t>This prospectus and any applicable prospectus supplement and the documents incorporated by reference herein and therein contain estimates, projections, market research and other information concerning, among other things, our industry, our business, and markets for our product candidates. Unless otherwise expressly stated, we obtain this information from reports, research surveys, studies and similar data prepared by market research firms and other third parties, industry, medical and general publications, government data and similar sources as well as from our own internal estimates and research and from publications, research, surveys and studies conducted by third parties on our behalf. Information that is based on estimates, projections, market research or similar methodologies is inherently subject to uncertainties and actual events or circumstances may differ materially from events and circumstances that are reflected in this information. As a result, you are cautioned not to give undue weight to such information.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039"/>
          </w:cols>
          <w:pgMar w:left="1420" w:top="245"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50628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96455" cy="5062855"/>
                    </a:xfrm>
                    <a:prstGeom prst="rect">
                      <a:avLst/>
                    </a:prstGeom>
                    <a:noFill/>
                  </pic:spPr>
                </pic:pic>
              </a:graphicData>
            </a:graphic>
          </wp:anchor>
        </w:drawing>
        <w:t>SUMMARY</w:t>
      </w:r>
    </w:p>
    <w:p>
      <w:pPr>
        <w:spacing w:after="0" w:line="184" w:lineRule="exact"/>
        <w:rPr>
          <w:sz w:val="20"/>
          <w:szCs w:val="20"/>
          <w:color w:val="auto"/>
        </w:rPr>
      </w:pPr>
    </w:p>
    <w:p>
      <w:pPr>
        <w:ind w:left="140" w:right="179" w:firstLine="350"/>
        <w:spacing w:after="0" w:line="252" w:lineRule="auto"/>
        <w:rPr>
          <w:sz w:val="20"/>
          <w:szCs w:val="20"/>
          <w:color w:val="auto"/>
        </w:rPr>
      </w:pPr>
      <w:r>
        <w:rPr>
          <w:rFonts w:ascii="Times New Roman" w:cs="Times New Roman" w:eastAsia="Times New Roman" w:hAnsi="Times New Roman"/>
          <w:sz w:val="15"/>
          <w:szCs w:val="15"/>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95" w:lineRule="exact"/>
        <w:rPr>
          <w:sz w:val="20"/>
          <w:szCs w:val="20"/>
          <w:color w:val="auto"/>
        </w:rPr>
      </w:pPr>
    </w:p>
    <w:p>
      <w:pPr>
        <w:ind w:left="140" w:right="239" w:firstLine="350"/>
        <w:spacing w:after="0" w:line="250" w:lineRule="auto"/>
        <w:rPr>
          <w:sz w:val="20"/>
          <w:szCs w:val="20"/>
          <w:color w:val="auto"/>
        </w:rPr>
      </w:pPr>
      <w:r>
        <w:rPr>
          <w:rFonts w:ascii="Times New Roman" w:cs="Times New Roman" w:eastAsia="Times New Roman" w:hAnsi="Times New Roman"/>
          <w:sz w:val="15"/>
          <w:szCs w:val="15"/>
          <w:color w:val="auto"/>
        </w:rPr>
        <w:t>We are a biopharmaceutical company on a mission to protect humanity from serious viral respiratory diseases. We are developing antibodies to transcend the limits of naturally occurring immunity and provide superior protection from viral diseases, beginning with COVID-19. Our technology works at the intersection of evolutionary virology, predictive modeling, and antibody engineering, and is designed to identify high-quality, long-lasting antibodies with a high barrier to viral escape. We are generating a robust pipeline of products for use in both prevention and treatment of disease. NVD200, our first antibody combination product for COVID-19, is expected to enter the clinic in Q1 2023. Our most advanced pipeline candidate is adintrevimab, an investigational monoclonal antibody which has demonstrated clinically meaningful results in global Phase 3 clinical trials against multiple variants of concern for the prevention and treatment of COVID-19. We also have multiple discovery stage candidates for the prevention of seasonal influenza.</w:t>
      </w:r>
    </w:p>
    <w:p>
      <w:pPr>
        <w:spacing w:after="0" w:line="158" w:lineRule="exact"/>
        <w:rPr>
          <w:sz w:val="20"/>
          <w:szCs w:val="20"/>
          <w:color w:val="auto"/>
        </w:rPr>
      </w:pPr>
    </w:p>
    <w:p>
      <w:pPr>
        <w:ind w:left="140" w:right="559" w:firstLine="350"/>
        <w:spacing w:after="0" w:line="273" w:lineRule="auto"/>
        <w:rPr>
          <w:sz w:val="20"/>
          <w:szCs w:val="20"/>
          <w:color w:val="auto"/>
        </w:rPr>
      </w:pPr>
      <w:r>
        <w:rPr>
          <w:rFonts w:ascii="Times New Roman" w:cs="Times New Roman" w:eastAsia="Times New Roman" w:hAnsi="Times New Roman"/>
          <w:sz w:val="15"/>
          <w:szCs w:val="15"/>
          <w:color w:val="auto"/>
        </w:rPr>
        <w:t>For more information about our company, please refer to other documents that we have filed with the SEC and that are incorporated by reference into this prospectus, as listed under the heading “Incorporation By Reference.”</w:t>
      </w:r>
    </w:p>
    <w:p>
      <w:pPr>
        <w:spacing w:after="0" w:line="2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95" w:lineRule="exact"/>
        <w:rPr>
          <w:sz w:val="20"/>
          <w:szCs w:val="20"/>
          <w:color w:val="auto"/>
        </w:rPr>
      </w:pPr>
    </w:p>
    <w:p>
      <w:pPr>
        <w:ind w:left="140" w:right="519" w:firstLine="350"/>
        <w:spacing w:after="0" w:line="255" w:lineRule="auto"/>
        <w:rPr>
          <w:sz w:val="20"/>
          <w:szCs w:val="20"/>
          <w:color w:val="auto"/>
        </w:rPr>
      </w:pPr>
      <w:r>
        <w:rPr>
          <w:rFonts w:ascii="Times New Roman" w:cs="Times New Roman" w:eastAsia="Times New Roman" w:hAnsi="Times New Roman"/>
          <w:sz w:val="15"/>
          <w:szCs w:val="15"/>
          <w:color w:val="auto"/>
        </w:rPr>
        <w:t>We were incorporated under the laws of the State of Delaware in June 2020. Our principal executive offices are located at 1601 Trapelo Road, Suite 178, Waltham, MA 02451 and our telephone number is (781) 819-0080. Our website address is www.invivyd.com. We do not incorporate the information on, or accessible through, our website into this prospectus, and you should not consider any information on, or accessible through, our website as part of this prospectus.</w:t>
      </w: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w:t>
      </w:r>
    </w:p>
    <w:p>
      <w:pPr>
        <w:spacing w:after="0" w:line="95" w:lineRule="exact"/>
        <w:rPr>
          <w:sz w:val="20"/>
          <w:szCs w:val="20"/>
          <w:color w:val="auto"/>
        </w:rPr>
      </w:pPr>
    </w:p>
    <w:p>
      <w:pPr>
        <w:ind w:left="140" w:right="199" w:firstLine="350"/>
        <w:spacing w:after="0" w:line="251"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of 2012, or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8" w:lineRule="exact"/>
        <w:rPr>
          <w:sz w:val="20"/>
          <w:szCs w:val="20"/>
          <w:color w:val="auto"/>
        </w:rPr>
      </w:pPr>
    </w:p>
    <w:p>
      <w:pPr>
        <w:ind w:left="900" w:right="199" w:hanging="336"/>
        <w:spacing w:after="0" w:line="260" w:lineRule="auto"/>
        <w:tabs>
          <w:tab w:leader="none" w:pos="9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9019"/>
          </w:cols>
          <w:pgMar w:left="1440" w:top="400" w:right="1440" w:bottom="1440" w:gutter="0" w:footer="0" w:header="0"/>
        </w:sectPr>
      </w:pPr>
    </w:p>
    <w:bookmarkStart w:id="47" w:name="page48"/>
    <w:bookmarkEnd w:id="47"/>
    <w:p>
      <w:pPr>
        <w:ind w:left="900" w:right="659" w:hanging="336"/>
        <w:spacing w:after="0" w:line="273" w:lineRule="auto"/>
        <w:tabs>
          <w:tab w:leader="none" w:pos="9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1698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96455" cy="1698625"/>
                    </a:xfrm>
                    <a:prstGeom prst="rect">
                      <a:avLst/>
                    </a:prstGeom>
                    <a:noFill/>
                  </pic:spPr>
                </pic:pic>
              </a:graphicData>
            </a:graphic>
          </wp:anchor>
        </w:drawing>
        <w:t>an exemption from compliance with the auditor attestation requirement in the assessment of our internal control over financial reporting;</w:t>
      </w:r>
    </w:p>
    <w:p>
      <w:pPr>
        <w:spacing w:after="0" w:line="61" w:lineRule="exact"/>
        <w:rPr>
          <w:rFonts w:ascii="Times New Roman" w:cs="Times New Roman" w:eastAsia="Times New Roman" w:hAnsi="Times New Roman"/>
          <w:sz w:val="15"/>
          <w:szCs w:val="15"/>
          <w:color w:val="auto"/>
        </w:rPr>
      </w:pPr>
    </w:p>
    <w:p>
      <w:pPr>
        <w:ind w:left="900" w:hanging="336"/>
        <w:spacing w:after="0"/>
        <w:tabs>
          <w:tab w:leader="none" w:pos="9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w:t>
      </w:r>
    </w:p>
    <w:p>
      <w:pPr>
        <w:spacing w:after="0" w:line="104" w:lineRule="exact"/>
        <w:rPr>
          <w:rFonts w:ascii="Times New Roman" w:cs="Times New Roman" w:eastAsia="Times New Roman" w:hAnsi="Times New Roman"/>
          <w:sz w:val="15"/>
          <w:szCs w:val="15"/>
          <w:color w:val="auto"/>
        </w:rPr>
      </w:pPr>
    </w:p>
    <w:p>
      <w:pPr>
        <w:ind w:left="900" w:right="159" w:hanging="336"/>
        <w:spacing w:after="0" w:line="273" w:lineRule="auto"/>
        <w:tabs>
          <w:tab w:leader="none" w:pos="9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exemptions from the requirements of holding a non-binding advisory vote on executive compensation and stockholder approval of any golden parachute payments not previously approved; and</w:t>
      </w:r>
    </w:p>
    <w:p>
      <w:pPr>
        <w:spacing w:after="0" w:line="61" w:lineRule="exact"/>
        <w:rPr>
          <w:rFonts w:ascii="Times New Roman" w:cs="Times New Roman" w:eastAsia="Times New Roman" w:hAnsi="Times New Roman"/>
          <w:sz w:val="15"/>
          <w:szCs w:val="15"/>
          <w:color w:val="auto"/>
        </w:rPr>
      </w:pPr>
    </w:p>
    <w:p>
      <w:pPr>
        <w:ind w:left="900" w:right="979" w:hanging="336"/>
        <w:spacing w:after="0" w:line="273" w:lineRule="auto"/>
        <w:tabs>
          <w:tab w:leader="none" w:pos="9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exemption from compliance with the requirements of the Public Company Accounting Oversight Board regarding the communication of critical audit matters in the auditor’s report on the financial statements.</w:t>
      </w:r>
    </w:p>
    <w:p>
      <w:pPr>
        <w:spacing w:after="0" w:line="140" w:lineRule="exact"/>
        <w:rPr>
          <w:sz w:val="20"/>
          <w:szCs w:val="20"/>
          <w:color w:val="auto"/>
        </w:rPr>
      </w:pPr>
    </w:p>
    <w:p>
      <w:pPr>
        <w:ind w:left="140" w:right="159" w:firstLine="350"/>
        <w:spacing w:after="0" w:line="260" w:lineRule="auto"/>
        <w:rPr>
          <w:sz w:val="20"/>
          <w:szCs w:val="20"/>
          <w:color w:val="auto"/>
        </w:rPr>
      </w:pPr>
      <w:r>
        <w:rPr>
          <w:rFonts w:ascii="Times New Roman" w:cs="Times New Roman" w:eastAsia="Times New Roman" w:hAnsi="Times New Roman"/>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019"/>
          </w:cols>
          <w:pgMar w:left="1440" w:top="402"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RISK FACTORS</w:t>
      </w:r>
    </w:p>
    <w:p>
      <w:pPr>
        <w:spacing w:after="0" w:line="184" w:lineRule="exact"/>
        <w:rPr>
          <w:sz w:val="20"/>
          <w:szCs w:val="20"/>
          <w:color w:val="auto"/>
        </w:rPr>
      </w:pPr>
    </w:p>
    <w:p>
      <w:pPr>
        <w:ind w:right="219" w:firstLine="362"/>
        <w:spacing w:after="0" w:line="268"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 our most recent Annual Report on Form</w:t>
      </w:r>
    </w:p>
    <w:p>
      <w:pPr>
        <w:spacing w:after="0" w:line="2" w:lineRule="exact"/>
        <w:rPr>
          <w:sz w:val="20"/>
          <w:szCs w:val="20"/>
          <w:color w:val="auto"/>
        </w:rPr>
      </w:pPr>
    </w:p>
    <w:p>
      <w:pPr>
        <w:ind w:right="19"/>
        <w:spacing w:after="0" w:line="248" w:lineRule="auto"/>
        <w:rPr>
          <w:sz w:val="20"/>
          <w:szCs w:val="20"/>
          <w:color w:val="auto"/>
        </w:rPr>
      </w:pPr>
      <w:r>
        <w:rPr>
          <w:rFonts w:ascii="Times New Roman" w:cs="Times New Roman" w:eastAsia="Times New Roman" w:hAnsi="Times New Roman"/>
          <w:sz w:val="15"/>
          <w:szCs w:val="15"/>
          <w:color w:val="auto"/>
        </w:rPr>
        <w:t>10-K and our Quarterly Reports on Form 10-Q and other documents that we file with the SEC, which are incorporated herein by reference as described in this prospectus under the heading “Where You Can Find More Information”. The risks and uncertainties we have described in such documents are not the only risks that we face. Additional risks and uncertainties not presently known to us or that we currently deem immaterial may also affect our operations.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84" w:lineRule="exact"/>
        <w:rPr>
          <w:sz w:val="20"/>
          <w:szCs w:val="20"/>
          <w:color w:val="auto"/>
        </w:rPr>
      </w:pPr>
    </w:p>
    <w:p>
      <w:pPr>
        <w:ind w:right="59" w:firstLine="362"/>
        <w:spacing w:after="0" w:line="252" w:lineRule="auto"/>
        <w:rPr>
          <w:sz w:val="20"/>
          <w:szCs w:val="20"/>
          <w:color w:val="auto"/>
        </w:rPr>
      </w:pPr>
      <w:r>
        <w:rPr>
          <w:rFonts w:ascii="Times New Roman" w:cs="Times New Roman" w:eastAsia="Times New Roman" w:hAnsi="Times New Roman"/>
          <w:sz w:val="15"/>
          <w:szCs w:val="15"/>
          <w:color w:val="auto"/>
        </w:rPr>
        <w:t>Except as otherwise provided in the applicable prospectus supplement relating to a specific offering, we intend to use the net proceeds from the sale of securities by us under this prospectus and any applicable prospectus supplement for general corporate purposes, which may include research and development expenditures, preclinical study and clinical trial expenditures, manufacturing expenditures, commercialization expenditures, working capital, capital expenditures, acquisitions of new technologies, products or businesses, and investments. Additional information on the use of net proceeds from the sale of securities by us under this prospectus may be set forth in the accompanying prospectus supplement relating to the specific offering.</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039"/>
          </w:cols>
          <w:pgMar w:left="1420" w:top="245" w:right="1440"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PLAN OF DISTRIBUTION</w:t>
      </w:r>
    </w:p>
    <w:p>
      <w:pPr>
        <w:spacing w:after="0" w:line="184" w:lineRule="exact"/>
        <w:rPr>
          <w:sz w:val="20"/>
          <w:szCs w:val="20"/>
          <w:color w:val="auto"/>
        </w:rPr>
      </w:pPr>
    </w:p>
    <w:p>
      <w:pPr>
        <w:ind w:right="39" w:firstLine="362"/>
        <w:spacing w:after="0" w:line="255" w:lineRule="auto"/>
        <w:rPr>
          <w:sz w:val="20"/>
          <w:szCs w:val="20"/>
          <w:color w:val="auto"/>
        </w:rPr>
      </w:pPr>
      <w:r>
        <w:rPr>
          <w:rFonts w:ascii="Times New Roman" w:cs="Times New Roman" w:eastAsia="Times New Roman" w:hAnsi="Times New Roman"/>
          <w:sz w:val="15"/>
          <w:szCs w:val="15"/>
          <w:color w:val="auto"/>
        </w:rPr>
        <w:t>We may sell the securities, from time to time pursuant to public offerings, negotiated transactions, block trades, “At the Market Offerings,” within the meaning of Rule 415(a)(4) of the Securities Act of 1933, as amended, or the Securities Act, into an existing trading market, at prevailing market prices, or a combination of these methods. We may sell the securities to or through underwriters or dealers, through agents or remarketing firms, or directly to one or more purchasers. We may distribute securities from time to time in one or more transactions:</w:t>
      </w:r>
    </w:p>
    <w:p>
      <w:pPr>
        <w:spacing w:after="0" w:line="76" w:lineRule="exact"/>
        <w:rPr>
          <w:sz w:val="20"/>
          <w:szCs w:val="20"/>
          <w:color w:val="auto"/>
        </w:rPr>
      </w:pPr>
    </w:p>
    <w:p>
      <w:pPr>
        <w:ind w:left="800" w:hanging="354"/>
        <w:spacing w:after="0"/>
        <w:tabs>
          <w:tab w:leader="none" w:pos="8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fixed price or prices, which may be changed;</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market prices prevailing at the time of sale;</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prices related to such prevailing market prices; or</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negotiated prices.</w:t>
      </w:r>
    </w:p>
    <w:p>
      <w:pPr>
        <w:spacing w:after="0" w:line="182" w:lineRule="exact"/>
        <w:rPr>
          <w:sz w:val="20"/>
          <w:szCs w:val="20"/>
          <w:color w:val="auto"/>
        </w:rPr>
      </w:pPr>
    </w:p>
    <w:p>
      <w:pPr>
        <w:ind w:right="159" w:firstLine="362"/>
        <w:spacing w:after="0" w:line="273" w:lineRule="auto"/>
        <w:rPr>
          <w:sz w:val="20"/>
          <w:szCs w:val="20"/>
          <w:color w:val="auto"/>
        </w:rPr>
      </w:pPr>
      <w:r>
        <w:rPr>
          <w:rFonts w:ascii="Times New Roman" w:cs="Times New Roman" w:eastAsia="Times New Roman" w:hAnsi="Times New Roman"/>
          <w:sz w:val="15"/>
          <w:szCs w:val="15"/>
          <w:color w:val="auto"/>
        </w:rPr>
        <w:t>A prospectus supplement or supplements (and any related free writing prospectus that we may authorize to be provided to you) will describe the terms of the offering of the securities, including, to the extent applicable:</w:t>
      </w:r>
    </w:p>
    <w:p>
      <w:pPr>
        <w:spacing w:after="0" w:line="62" w:lineRule="exact"/>
        <w:rPr>
          <w:sz w:val="20"/>
          <w:szCs w:val="20"/>
          <w:color w:val="auto"/>
        </w:rPr>
      </w:pPr>
    </w:p>
    <w:p>
      <w:pPr>
        <w:ind w:left="800" w:hanging="354"/>
        <w:spacing w:after="0"/>
        <w:tabs>
          <w:tab w:leader="none" w:pos="8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or names of the underwriters, dealers or agents, if any;</w:t>
      </w:r>
    </w:p>
    <w:p>
      <w:pPr>
        <w:spacing w:after="0" w:line="104" w:lineRule="exact"/>
        <w:rPr>
          <w:rFonts w:ascii="Times New Roman" w:cs="Times New Roman" w:eastAsia="Times New Roman" w:hAnsi="Times New Roman"/>
          <w:sz w:val="15"/>
          <w:szCs w:val="15"/>
          <w:color w:val="auto"/>
        </w:rPr>
      </w:pPr>
    </w:p>
    <w:p>
      <w:pPr>
        <w:ind w:left="800" w:right="159" w:hanging="354"/>
        <w:spacing w:after="0" w:line="287" w:lineRule="auto"/>
        <w:tabs>
          <w:tab w:leader="none" w:pos="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to be offered through the selling efforts of brokers or dealers, the plan of distribution and the terms of any agreement, arrangement, or understanding entered into with broker(s) or dealer(s) prior to the effective date of the registration statement, and, if known, the identity of any broker(s) or dealer(s) who will participate in the offering and the amount to be offered through each;</w:t>
      </w:r>
    </w:p>
    <w:p>
      <w:pPr>
        <w:spacing w:after="0" w:line="54" w:lineRule="exact"/>
        <w:rPr>
          <w:rFonts w:ascii="Times New Roman" w:cs="Times New Roman" w:eastAsia="Times New Roman" w:hAnsi="Times New Roman"/>
          <w:sz w:val="14"/>
          <w:szCs w:val="14"/>
          <w:color w:val="auto"/>
        </w:rPr>
      </w:pPr>
    </w:p>
    <w:p>
      <w:pPr>
        <w:ind w:left="800" w:hanging="354"/>
        <w:spacing w:after="0"/>
        <w:tabs>
          <w:tab w:leader="none" w:pos="8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price of the securities or other consideration therefor, and the proceeds, if any, we will receive from the sale;</w:t>
      </w:r>
    </w:p>
    <w:p>
      <w:pPr>
        <w:spacing w:after="0" w:line="104" w:lineRule="exact"/>
        <w:rPr>
          <w:rFonts w:ascii="Times New Roman" w:cs="Times New Roman" w:eastAsia="Times New Roman" w:hAnsi="Times New Roman"/>
          <w:sz w:val="15"/>
          <w:szCs w:val="15"/>
          <w:color w:val="auto"/>
        </w:rPr>
      </w:pPr>
    </w:p>
    <w:p>
      <w:pPr>
        <w:ind w:left="800" w:right="139" w:hanging="354"/>
        <w:spacing w:after="0" w:line="310" w:lineRule="auto"/>
        <w:tabs>
          <w:tab w:leader="none" w:pos="8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of the securities being registered are to be offered otherwise than for cash, the general purposes of the distribution, the basis upon which the securities are to be offered, the amount of compensation and other expenses of distribution, and by whom they are to be borne;</w:t>
      </w:r>
    </w:p>
    <w:p>
      <w:pPr>
        <w:spacing w:after="0" w:line="38" w:lineRule="exact"/>
        <w:rPr>
          <w:rFonts w:ascii="Times New Roman" w:cs="Times New Roman" w:eastAsia="Times New Roman" w:hAnsi="Times New Roman"/>
          <w:sz w:val="14"/>
          <w:szCs w:val="14"/>
          <w:color w:val="auto"/>
        </w:rPr>
      </w:pPr>
    </w:p>
    <w:p>
      <w:pPr>
        <w:ind w:left="800" w:hanging="354"/>
        <w:spacing w:after="0"/>
        <w:tabs>
          <w:tab w:leader="none" w:pos="8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delayed delivery arrangements;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options under which underwriters may purchase additional securities from us;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agency fees or underwriting discounts and other items constituting agents’ or underwriters’ compensation;</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public offering price;</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commissions or concessions allowed or reallowed or paid to dealers;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identity and relationships of any finders, if applicable; and</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securities exchange or market on which the securities may be listed.</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Only underwriters named in the prospectus supplement will be underwriters of the securities offered by the prospectus supplement.</w:t>
      </w:r>
    </w:p>
    <w:p>
      <w:pPr>
        <w:spacing w:after="0" w:line="182" w:lineRule="exact"/>
        <w:rPr>
          <w:sz w:val="20"/>
          <w:szCs w:val="20"/>
          <w:color w:val="auto"/>
        </w:rPr>
      </w:pPr>
    </w:p>
    <w:p>
      <w:pPr>
        <w:ind w:right="59" w:firstLine="362"/>
        <w:spacing w:after="0" w:line="252" w:lineRule="auto"/>
        <w:rPr>
          <w:sz w:val="20"/>
          <w:szCs w:val="20"/>
          <w:color w:val="auto"/>
        </w:rPr>
      </w:pPr>
      <w:r>
        <w:rPr>
          <w:rFonts w:ascii="Times New Roman" w:cs="Times New Roman" w:eastAsia="Times New Roman" w:hAnsi="Times New Roman"/>
          <w:sz w:val="15"/>
          <w:szCs w:val="15"/>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Unless otherwise indicated in the prospectus supplement, subject to certain conditions, the underwriters will be obligated to purchase all of the securities offered by the prospectus supplement, other than securities covered by any</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9039"/>
          </w:cols>
          <w:pgMar w:left="1420" w:top="245" w:right="1440" w:bottom="1440" w:gutter="0" w:footer="0" w:header="0"/>
        </w:sectPr>
      </w:pPr>
    </w:p>
    <w:bookmarkStart w:id="50" w:name="page51"/>
    <w:bookmarkEnd w:id="50"/>
    <w:p>
      <w:pPr>
        <w:ind w:right="99"/>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purchase option.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w:t>
      </w:r>
    </w:p>
    <w:p>
      <w:pPr>
        <w:spacing w:after="0" w:line="149" w:lineRule="exact"/>
        <w:rPr>
          <w:sz w:val="20"/>
          <w:szCs w:val="20"/>
          <w:color w:val="auto"/>
        </w:rPr>
      </w:pPr>
    </w:p>
    <w:p>
      <w:pPr>
        <w:ind w:right="59" w:firstLine="362"/>
        <w:spacing w:after="0" w:line="255" w:lineRule="auto"/>
        <w:rPr>
          <w:sz w:val="20"/>
          <w:szCs w:val="20"/>
          <w:color w:val="auto"/>
        </w:rPr>
      </w:pPr>
      <w:r>
        <w:rPr>
          <w:rFonts w:ascii="Times New Roman" w:cs="Times New Roman" w:eastAsia="Times New Roman" w:hAnsi="Times New Roman"/>
          <w:sz w:val="15"/>
          <w:szCs w:val="15"/>
          <w:color w:val="auto"/>
        </w:rPr>
        <w:t>We may use a remarketing firm to offer the securities in connection with a remarketing arrangement upon their purchase. Remarketing firms will act as principals for their own account or as agents for us. These remarketing firms will offer or sell the securities pursuant to the terms of the securities. A prospectus supplement will identify any remarketing firm and the terms of its agreement, if any, with us and will describe the remarketing firm’s compensation. Remarketing firms may be deemed to be underwriters in connection the securities they remarket.</w:t>
      </w:r>
    </w:p>
    <w:p>
      <w:pPr>
        <w:spacing w:after="0" w:line="153" w:lineRule="exact"/>
        <w:rPr>
          <w:sz w:val="20"/>
          <w:szCs w:val="20"/>
          <w:color w:val="auto"/>
        </w:rPr>
      </w:pPr>
    </w:p>
    <w:p>
      <w:pPr>
        <w:jc w:val="both"/>
        <w:ind w:right="99" w:firstLine="362"/>
        <w:spacing w:after="0" w:line="260" w:lineRule="auto"/>
        <w:rPr>
          <w:sz w:val="20"/>
          <w:szCs w:val="20"/>
          <w:color w:val="auto"/>
        </w:rPr>
      </w:pPr>
      <w:r>
        <w:rPr>
          <w:rFonts w:ascii="Times New Roman" w:cs="Times New Roman" w:eastAsia="Times New Roman" w:hAnsi="Times New Roman"/>
          <w:sz w:val="15"/>
          <w:szCs w:val="15"/>
          <w:color w:val="auto"/>
        </w:rPr>
        <w:t>If we offer and sell securities through a dealer, we or an underwriter will sell the securities to the dealer, as principal. The dealer may then resell the securities to the public at varying prices to be determined by the dealer at the time of resale. The name of the dealer and the terms of the transaction will be set forth in the applicable prospectus supplement.</w:t>
      </w:r>
    </w:p>
    <w:p>
      <w:pPr>
        <w:spacing w:after="0" w:line="149" w:lineRule="exact"/>
        <w:rPr>
          <w:sz w:val="20"/>
          <w:szCs w:val="20"/>
          <w:color w:val="auto"/>
        </w:rPr>
      </w:pPr>
    </w:p>
    <w:p>
      <w:pPr>
        <w:ind w:right="319" w:firstLine="362"/>
        <w:spacing w:after="0" w:line="260" w:lineRule="auto"/>
        <w:rPr>
          <w:sz w:val="20"/>
          <w:szCs w:val="20"/>
          <w:color w:val="auto"/>
        </w:rPr>
      </w:pPr>
      <w:r>
        <w:rPr>
          <w:rFonts w:ascii="Times New Roman" w:cs="Times New Roman" w:eastAsia="Times New Roman" w:hAnsi="Times New Roman"/>
          <w:sz w:val="15"/>
          <w:szCs w:val="15"/>
          <w:color w:val="auto"/>
        </w:rPr>
        <w:t>We may sell securities directly or through agents we designate from time to time. We will name any agent involved in the offering and sale of securities and we will describe any commissions we will pay to the agent in the prospectus supplement. Unless the prospectus supplement states otherwise, our agent will act on a best-efforts basis for the period of its appointment.</w:t>
      </w:r>
    </w:p>
    <w:p>
      <w:pPr>
        <w:spacing w:after="0" w:line="149" w:lineRule="exact"/>
        <w:rPr>
          <w:sz w:val="20"/>
          <w:szCs w:val="20"/>
          <w:color w:val="auto"/>
        </w:rPr>
      </w:pPr>
    </w:p>
    <w:p>
      <w:pPr>
        <w:jc w:val="both"/>
        <w:ind w:right="199" w:firstLine="362"/>
        <w:spacing w:after="0" w:line="260" w:lineRule="auto"/>
        <w:rPr>
          <w:sz w:val="20"/>
          <w:szCs w:val="20"/>
          <w:color w:val="auto"/>
        </w:rPr>
      </w:pPr>
      <w:r>
        <w:rPr>
          <w:rFonts w:ascii="Times New Roman" w:cs="Times New Roman" w:eastAsia="Times New Roman" w:hAnsi="Times New Roman"/>
          <w:sz w:val="15"/>
          <w:szCs w:val="15"/>
          <w:color w:val="auto"/>
        </w:rPr>
        <w:t>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49" w:lineRule="exact"/>
        <w:rPr>
          <w:sz w:val="20"/>
          <w:szCs w:val="20"/>
          <w:color w:val="auto"/>
        </w:rPr>
      </w:pPr>
    </w:p>
    <w:p>
      <w:pPr>
        <w:ind w:right="19" w:firstLine="362"/>
        <w:spacing w:after="0" w:line="260" w:lineRule="auto"/>
        <w:rPr>
          <w:sz w:val="20"/>
          <w:szCs w:val="20"/>
          <w:color w:val="auto"/>
        </w:rPr>
      </w:pPr>
      <w:r>
        <w:rPr>
          <w:rFonts w:ascii="Times New Roman" w:cs="Times New Roman" w:eastAsia="Times New Roman" w:hAnsi="Times New Roman"/>
          <w:sz w:val="15"/>
          <w:szCs w:val="15"/>
          <w:color w:val="auto"/>
        </w:rPr>
        <w:t>We may sell securities directly to one or more purchasers without using underwriters or agents. 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w:t>
      </w:r>
    </w:p>
    <w:p>
      <w:pPr>
        <w:spacing w:after="0" w:line="149" w:lineRule="exact"/>
        <w:rPr>
          <w:sz w:val="20"/>
          <w:szCs w:val="20"/>
          <w:color w:val="auto"/>
        </w:rPr>
      </w:pPr>
    </w:p>
    <w:p>
      <w:pPr>
        <w:ind w:right="19" w:firstLine="362"/>
        <w:spacing w:after="0" w:line="255" w:lineRule="auto"/>
        <w:rPr>
          <w:sz w:val="20"/>
          <w:szCs w:val="20"/>
          <w:color w:val="auto"/>
        </w:rPr>
      </w:pPr>
      <w:r>
        <w:rPr>
          <w:rFonts w:ascii="Times New Roman" w:cs="Times New Roman" w:eastAsia="Times New Roman" w:hAnsi="Times New Roman"/>
          <w:sz w:val="15"/>
          <w:szCs w:val="15"/>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53" w:lineRule="exact"/>
        <w:rPr>
          <w:sz w:val="20"/>
          <w:szCs w:val="20"/>
          <w:color w:val="auto"/>
        </w:rPr>
      </w:pPr>
    </w:p>
    <w:p>
      <w:pPr>
        <w:ind w:right="279" w:firstLine="362"/>
        <w:spacing w:after="0" w:line="260" w:lineRule="auto"/>
        <w:rPr>
          <w:sz w:val="20"/>
          <w:szCs w:val="20"/>
          <w:color w:val="auto"/>
        </w:rPr>
      </w:pPr>
      <w:r>
        <w:rPr>
          <w:rFonts w:ascii="Times New Roman" w:cs="Times New Roman" w:eastAsia="Times New Roman" w:hAnsi="Times New Roman"/>
          <w:sz w:val="15"/>
          <w:szCs w:val="15"/>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respective affiliates, may engage in transactions with, or perform services for, us in the ordinary course of business.</w:t>
      </w:r>
    </w:p>
    <w:p>
      <w:pPr>
        <w:spacing w:after="0" w:line="149" w:lineRule="exact"/>
        <w:rPr>
          <w:sz w:val="20"/>
          <w:szCs w:val="20"/>
          <w:color w:val="auto"/>
        </w:rPr>
      </w:pPr>
    </w:p>
    <w:p>
      <w:pPr>
        <w:ind w:right="179" w:firstLine="362"/>
        <w:spacing w:after="0" w:line="260" w:lineRule="auto"/>
        <w:rPr>
          <w:sz w:val="20"/>
          <w:szCs w:val="20"/>
          <w:color w:val="auto"/>
        </w:rPr>
      </w:pPr>
      <w:r>
        <w:rPr>
          <w:rFonts w:ascii="Times New Roman" w:cs="Times New Roman" w:eastAsia="Times New Roman" w:hAnsi="Times New Roman"/>
          <w:sz w:val="15"/>
          <w:szCs w:val="15"/>
          <w:color w:val="auto"/>
        </w:rPr>
        <w:t>All securities we may offer, other than common stock, will be new issues of securities with no established trading market. Any underwriter may make a market in these securities, but will not be obligated to do so and may discontinue any market making at any time without notice. We cannot guarantee the liquidity of the trading markets for any securities.</w:t>
      </w:r>
    </w:p>
    <w:p>
      <w:pPr>
        <w:spacing w:after="0" w:line="149" w:lineRule="exact"/>
        <w:rPr>
          <w:sz w:val="20"/>
          <w:szCs w:val="20"/>
          <w:color w:val="auto"/>
        </w:rPr>
      </w:pPr>
    </w:p>
    <w:p>
      <w:pPr>
        <w:ind w:right="19" w:firstLine="362"/>
        <w:spacing w:after="0" w:line="255" w:lineRule="auto"/>
        <w:rPr>
          <w:sz w:val="20"/>
          <w:szCs w:val="20"/>
          <w:color w:val="auto"/>
        </w:rPr>
      </w:pPr>
      <w:r>
        <w:rPr>
          <w:rFonts w:ascii="Times New Roman" w:cs="Times New Roman" w:eastAsia="Times New Roman" w:hAnsi="Times New Roman"/>
          <w:sz w:val="15"/>
          <w:szCs w:val="15"/>
          <w:color w:val="auto"/>
        </w:rPr>
        <w:t>Any underwriter may engage in purchase options, stabilizing transactions, short-covering transactions and penalty bids in accordance with Regulation M under the Exchange Act. Purchase options involve sales in excess of the offering size, which create a short position. Stabilizing transactions permit bids to purchase the underlying security so long as the stabilizing bids do not exceed a specified maximum price. Syndicate-covering or other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9039"/>
          </w:cols>
          <w:pgMar w:left="1420" w:top="247" w:right="1440" w:bottom="1440" w:gutter="0" w:footer="0" w:header="0"/>
        </w:sectPr>
      </w:pPr>
    </w:p>
    <w:bookmarkStart w:id="51" w:name="page52"/>
    <w:bookmarkEnd w:id="51"/>
    <w:p>
      <w:pPr>
        <w:ind w:right="40"/>
        <w:spacing w:after="0" w:line="25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short-covering transactions involve purchases of the securities, either through exercise of the purchase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53" w:lineRule="exact"/>
        <w:rPr>
          <w:sz w:val="20"/>
          <w:szCs w:val="20"/>
          <w:color w:val="auto"/>
        </w:rPr>
      </w:pPr>
    </w:p>
    <w:p>
      <w:pPr>
        <w:ind w:firstLine="362"/>
        <w:spacing w:after="0" w:line="250" w:lineRule="auto"/>
        <w:rPr>
          <w:sz w:val="20"/>
          <w:szCs w:val="20"/>
          <w:color w:val="auto"/>
        </w:rPr>
      </w:pPr>
      <w:r>
        <w:rPr>
          <w:rFonts w:ascii="Times New Roman" w:cs="Times New Roman" w:eastAsia="Times New Roman" w:hAnsi="Times New Roman"/>
          <w:sz w:val="15"/>
          <w:szCs w:val="15"/>
          <w:color w:val="auto"/>
        </w:rPr>
        <w:t>Any underwriters that are qualified market makers on the Nasdaq Stock Market may engage in passive market making transactions in the common stock on the Nasdaq Stock Market in accordance with Regulation M under the Securities Exchange Act of 1934, as amended, or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9040"/>
          </w:cols>
          <w:pgMar w:left="1420" w:top="247" w:right="1439" w:bottom="1440" w:gutter="0" w:footer="0" w:header="0"/>
        </w:sectPr>
      </w:pPr>
    </w:p>
    <w:bookmarkStart w:id="52" w:name="page53"/>
    <w:bookmarkEnd w:id="52"/>
    <w:p>
      <w:pPr>
        <w:ind w:left="286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GENERAL DESCRIPTION OF OUR SECURITIES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We may offer and sell, at any time and from time to time:</w:t>
      </w:r>
    </w:p>
    <w:p>
      <w:pPr>
        <w:spacing w:after="0" w:line="105" w:lineRule="exact"/>
        <w:rPr>
          <w:sz w:val="20"/>
          <w:szCs w:val="20"/>
          <w:color w:val="auto"/>
        </w:rPr>
      </w:pPr>
    </w:p>
    <w:p>
      <w:pPr>
        <w:ind w:left="800" w:hanging="354"/>
        <w:spacing w:after="0"/>
        <w:tabs>
          <w:tab w:leader="none" w:pos="8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common stock;</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our preferred stock;</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warrants to purchase shares of our common stock, preferred stock and/or debt securities;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debt securities consisting of debentures, notes or other evidences of indebtedness;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units consisting of a combination of the foregoing securities; or</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combination of these securities.</w:t>
      </w:r>
    </w:p>
    <w:p>
      <w:pPr>
        <w:spacing w:after="0" w:line="182" w:lineRule="exact"/>
        <w:rPr>
          <w:sz w:val="20"/>
          <w:szCs w:val="20"/>
          <w:color w:val="auto"/>
        </w:rPr>
      </w:pPr>
    </w:p>
    <w:p>
      <w:pPr>
        <w:ind w:right="379" w:firstLine="362"/>
        <w:spacing w:after="0" w:line="260" w:lineRule="auto"/>
        <w:rPr>
          <w:sz w:val="20"/>
          <w:szCs w:val="20"/>
          <w:color w:val="auto"/>
        </w:rPr>
      </w:pPr>
      <w:r>
        <w:rPr>
          <w:rFonts w:ascii="Times New Roman" w:cs="Times New Roman" w:eastAsia="Times New Roman" w:hAnsi="Times New Roman"/>
          <w:sz w:val="15"/>
          <w:szCs w:val="15"/>
          <w:color w:val="auto"/>
        </w:rPr>
        <w:t>The terms of any securities we offer will be determined at the time of sale. We may issue debt securities that are exchangeable for and/or convertible into common stock or any of the other securities that may be sold under this prospectus. When particular securities are offered by us, a supplement to this prospectus will be filed with the SEC, which will describe the terms of the offering and sale of the offered securities.</w:t>
      </w:r>
    </w:p>
    <w:p>
      <w:pPr>
        <w:spacing w:after="0" w:line="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9039"/>
          </w:cols>
          <w:pgMar w:left="1420" w:top="245"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DESCRIPTION OF OUR COMMON STOCK</w:t>
      </w:r>
    </w:p>
    <w:p>
      <w:pPr>
        <w:spacing w:after="0" w:line="182" w:lineRule="exact"/>
        <w:rPr>
          <w:sz w:val="20"/>
          <w:szCs w:val="20"/>
          <w:color w:val="auto"/>
        </w:rPr>
      </w:pPr>
    </w:p>
    <w:p>
      <w:pPr>
        <w:ind w:right="39" w:firstLine="362"/>
        <w:spacing w:after="0" w:line="254" w:lineRule="auto"/>
        <w:rPr>
          <w:sz w:val="20"/>
          <w:szCs w:val="20"/>
          <w:color w:val="auto"/>
        </w:rPr>
      </w:pPr>
      <w:r>
        <w:rPr>
          <w:rFonts w:ascii="Times New Roman" w:cs="Times New Roman" w:eastAsia="Times New Roman" w:hAnsi="Times New Roman"/>
          <w:sz w:val="15"/>
          <w:szCs w:val="15"/>
          <w:i w:val="1"/>
          <w:iCs w:val="1"/>
          <w:color w:val="auto"/>
        </w:rPr>
        <w:t>The summary of general terms and provisions of our common stock set forth below does not purport to be complete and is subject to and qualified by reference to our Amended and Restated Certificate of Incorporation, or the Certificate of Incorporation, and Amended and Restated Bylaws, or the Bylaws, and together with the Certificate of Incorporation, the Charter Documents, each of which is included as an exhibit to our most recent Annual Report on Form 10-K filed with the SEC and incorporated by reference herein. For additional information, please read the Charter Documents and the applicable provisions of the Delaware General Corporation Law, or the DGCL.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95" w:lineRule="exact"/>
        <w:rPr>
          <w:sz w:val="20"/>
          <w:szCs w:val="20"/>
          <w:color w:val="auto"/>
        </w:rPr>
      </w:pPr>
    </w:p>
    <w:p>
      <w:pPr>
        <w:ind w:right="59" w:firstLine="362"/>
        <w:spacing w:after="0" w:line="255" w:lineRule="auto"/>
        <w:rPr>
          <w:sz w:val="20"/>
          <w:szCs w:val="20"/>
          <w:color w:val="auto"/>
        </w:rPr>
      </w:pPr>
      <w:r>
        <w:rPr>
          <w:rFonts w:ascii="Times New Roman" w:cs="Times New Roman" w:eastAsia="Times New Roman" w:hAnsi="Times New Roman"/>
          <w:sz w:val="15"/>
          <w:szCs w:val="15"/>
          <w:color w:val="auto"/>
        </w:rPr>
        <w:t>We are authorized to issue up to 1,010,000,000 shares, of which 1,000,000,000 have been designated common stock, par value $0.0001 per share. As of September 12, 2022, there were 109,925,049 shares of our common stock outstanding. As of June 30, 2022, we had approximately 120 stockholders of record. This figure does not reflect the number of beneficial owners of shares of our common stock as a single stockholder of record often holds shares in nominee name (also referred to as, in “street name”) on behalf of multiple beneficial owners.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Voting Rights</w:t>
      </w:r>
    </w:p>
    <w:p>
      <w:pPr>
        <w:spacing w:after="0" w:line="95" w:lineRule="exact"/>
        <w:rPr>
          <w:sz w:val="20"/>
          <w:szCs w:val="20"/>
          <w:color w:val="auto"/>
        </w:rPr>
      </w:pPr>
    </w:p>
    <w:p>
      <w:pPr>
        <w:ind w:right="479" w:firstLine="362"/>
        <w:spacing w:after="0" w:line="273" w:lineRule="auto"/>
        <w:rPr>
          <w:sz w:val="20"/>
          <w:szCs w:val="20"/>
          <w:color w:val="auto"/>
        </w:rPr>
      </w:pPr>
      <w:r>
        <w:rPr>
          <w:rFonts w:ascii="Times New Roman" w:cs="Times New Roman" w:eastAsia="Times New Roman" w:hAnsi="Times New Roman"/>
          <w:sz w:val="15"/>
          <w:szCs w:val="15"/>
          <w:color w:val="auto"/>
        </w:rPr>
        <w:t>Each holder of our common stock is entitled to one vote for each share on all matters submitted to a vote of the stockholders, including the election of directors.</w:t>
      </w:r>
    </w:p>
    <w:p>
      <w:pPr>
        <w:spacing w:after="0" w:line="140" w:lineRule="exact"/>
        <w:rPr>
          <w:sz w:val="20"/>
          <w:szCs w:val="20"/>
          <w:color w:val="auto"/>
        </w:rPr>
      </w:pPr>
    </w:p>
    <w:p>
      <w:pPr>
        <w:ind w:right="39" w:firstLine="362"/>
        <w:spacing w:after="0" w:line="249" w:lineRule="auto"/>
        <w:rPr>
          <w:sz w:val="20"/>
          <w:szCs w:val="20"/>
          <w:color w:val="auto"/>
        </w:rPr>
      </w:pPr>
      <w:r>
        <w:rPr>
          <w:rFonts w:ascii="Times New Roman" w:cs="Times New Roman" w:eastAsia="Times New Roman" w:hAnsi="Times New Roman"/>
          <w:sz w:val="15"/>
          <w:szCs w:val="15"/>
          <w:color w:val="auto"/>
        </w:rPr>
        <w:t>Except as otherwise provided by statute or by applicable stock exchange rules, or by the Certificate of Incorporation or the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 Bylaws, directors are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59" w:lineRule="exact"/>
        <w:rPr>
          <w:sz w:val="20"/>
          <w:szCs w:val="20"/>
          <w:color w:val="auto"/>
        </w:rPr>
      </w:pPr>
    </w:p>
    <w:p>
      <w:pPr>
        <w:ind w:right="139" w:firstLine="362"/>
        <w:spacing w:after="0" w:line="255" w:lineRule="auto"/>
        <w:rPr>
          <w:sz w:val="20"/>
          <w:szCs w:val="20"/>
          <w:color w:val="auto"/>
        </w:rPr>
      </w:pPr>
      <w:r>
        <w:rPr>
          <w:rFonts w:ascii="Times New Roman" w:cs="Times New Roman" w:eastAsia="Times New Roman" w:hAnsi="Times New Roman"/>
          <w:sz w:val="15"/>
          <w:szCs w:val="15"/>
          <w:color w:val="auto"/>
        </w:rPr>
        <w:t>The affirmative vote of holders of at least 66 2/3% of the voting power of all of the then-outstanding shares of capital stock entitled to vote generally in the election of directors, voting as a single class, is required to alter, amend or repeal certain provisions of the Certificate of Incorporation, including provisions relating to amending the Bylaws, the classified board, the size of our board of directors, removal of directors, director liability, vacancies on our board of directors, stockholder notices, actions by written consent and exclusive forum.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95" w:lineRule="exact"/>
        <w:rPr>
          <w:sz w:val="20"/>
          <w:szCs w:val="20"/>
          <w:color w:val="auto"/>
        </w:rPr>
      </w:pPr>
    </w:p>
    <w:p>
      <w:pPr>
        <w:ind w:right="299" w:firstLine="362"/>
        <w:spacing w:after="0" w:line="273" w:lineRule="auto"/>
        <w:rPr>
          <w:sz w:val="20"/>
          <w:szCs w:val="20"/>
          <w:color w:val="auto"/>
        </w:rPr>
      </w:pPr>
      <w:r>
        <w:rPr>
          <w:rFonts w:ascii="Times New Roman" w:cs="Times New Roman" w:eastAsia="Times New Roman" w:hAnsi="Times New Roman"/>
          <w:sz w:val="15"/>
          <w:szCs w:val="15"/>
          <w:color w:val="auto"/>
        </w:rPr>
        <w:t>Subject to preferences that may be applicable to any then-outstanding preferred stock, holders of common stock are entitled to receive ratably those dividends, if any, as may be declared from time to time by our board of directors out of legally available funds.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9039"/>
          </w:cols>
          <w:pgMar w:left="1420" w:top="245"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Liquidation</w:t>
      </w:r>
    </w:p>
    <w:p>
      <w:pPr>
        <w:spacing w:after="0" w:line="95" w:lineRule="exact"/>
        <w:rPr>
          <w:sz w:val="20"/>
          <w:szCs w:val="20"/>
          <w:color w:val="auto"/>
        </w:rPr>
      </w:pPr>
    </w:p>
    <w:p>
      <w:pPr>
        <w:ind w:right="240" w:firstLine="362"/>
        <w:spacing w:after="0" w:line="260" w:lineRule="auto"/>
        <w:rPr>
          <w:sz w:val="20"/>
          <w:szCs w:val="20"/>
          <w:color w:val="auto"/>
        </w:rPr>
      </w:pPr>
      <w:r>
        <w:rPr>
          <w:rFonts w:ascii="Times New Roman" w:cs="Times New Roman" w:eastAsia="Times New Roman" w:hAnsi="Times New Roman"/>
          <w:sz w:val="15"/>
          <w:szCs w:val="15"/>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Rights and Preferences</w:t>
      </w:r>
    </w:p>
    <w:p>
      <w:pPr>
        <w:spacing w:after="0" w:line="95" w:lineRule="exact"/>
        <w:rPr>
          <w:sz w:val="20"/>
          <w:szCs w:val="20"/>
          <w:color w:val="auto"/>
        </w:rPr>
      </w:pPr>
    </w:p>
    <w:p>
      <w:pPr>
        <w:ind w:firstLine="362"/>
        <w:spacing w:after="0" w:line="260" w:lineRule="auto"/>
        <w:rPr>
          <w:sz w:val="20"/>
          <w:szCs w:val="20"/>
          <w:color w:val="auto"/>
        </w:rPr>
      </w:pPr>
      <w:r>
        <w:rPr>
          <w:rFonts w:ascii="Times New Roman" w:cs="Times New Roman" w:eastAsia="Times New Roman" w:hAnsi="Times New Roman"/>
          <w:sz w:val="15"/>
          <w:szCs w:val="15"/>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 of the holders of shares of any series of preferred stock that we may designate in the future.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Outstanding Stock Options</w: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As of June 30, 2022, we had outstanding options to purchase 19,936,084 shares of our common stock at a weighted-average exercise price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$8.73 per share, pursuant to our 2020 Equity Incentive Plan and 2021 Equity Incentive Plan. As of June 30, 2022, there were no shares of our common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reserved for future issuance under the 2020 Equity Incentive Plan and 23,149,318 shares of our common stock reserved for future issuance under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2021 Equity Incentive Plan.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2021 Employee Stock Purchase Plan</w: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As of June 30, 2022, there were 1,342,773 shares of our common stock reserved for future issuance under our 2021 Employee Stock Purchase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Plan.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95" w:lineRule="exact"/>
        <w:rPr>
          <w:sz w:val="20"/>
          <w:szCs w:val="20"/>
          <w:color w:val="auto"/>
        </w:rPr>
      </w:pPr>
    </w:p>
    <w:p>
      <w:pPr>
        <w:ind w:right="60" w:firstLine="362"/>
        <w:spacing w:after="0" w:line="260" w:lineRule="auto"/>
        <w:rPr>
          <w:sz w:val="20"/>
          <w:szCs w:val="20"/>
          <w:color w:val="auto"/>
        </w:rPr>
      </w:pPr>
      <w:r>
        <w:rPr>
          <w:rFonts w:ascii="Times New Roman" w:cs="Times New Roman" w:eastAsia="Times New Roman" w:hAnsi="Times New Roman"/>
          <w:sz w:val="15"/>
          <w:szCs w:val="15"/>
          <w:color w:val="auto"/>
        </w:rPr>
        <w:t>We and certain holders of our common stock have entered into a second amended and restated investors’ rights agreement, or the investors’ rights agreement. The registration rights provisions of this agreement provide those holders with demand, piggyback and Form S-3 registration rights with respect to the shares of common stock currently held by them. These shares are collectively referred to herein as registrable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Demand Registration Rights</w:t>
      </w:r>
    </w:p>
    <w:p>
      <w:pPr>
        <w:spacing w:after="0" w:line="97" w:lineRule="exact"/>
        <w:rPr>
          <w:sz w:val="20"/>
          <w:szCs w:val="20"/>
          <w:color w:val="auto"/>
        </w:rPr>
      </w:pPr>
    </w:p>
    <w:p>
      <w:pPr>
        <w:jc w:val="both"/>
        <w:ind w:right="60" w:firstLine="362"/>
        <w:spacing w:after="0" w:line="255" w:lineRule="auto"/>
        <w:rPr>
          <w:sz w:val="20"/>
          <w:szCs w:val="20"/>
          <w:color w:val="auto"/>
        </w:rPr>
      </w:pPr>
      <w:r>
        <w:rPr>
          <w:rFonts w:ascii="Times New Roman" w:cs="Times New Roman" w:eastAsia="Times New Roman" w:hAnsi="Times New Roman"/>
          <w:sz w:val="15"/>
          <w:szCs w:val="15"/>
          <w:color w:val="auto"/>
        </w:rPr>
        <w:t>The holders of a majority of registrable securities then outstanding have the right to demand that we file a registration statement covering at least 30% of the registrable securities then outstanding.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60 days after the receipt of such request.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Piggyback Registration Rights</w:t>
      </w:r>
    </w:p>
    <w:p>
      <w:pPr>
        <w:spacing w:after="0" w:line="97" w:lineRule="exact"/>
        <w:rPr>
          <w:sz w:val="20"/>
          <w:szCs w:val="20"/>
          <w:color w:val="auto"/>
        </w:rPr>
      </w:pPr>
    </w:p>
    <w:p>
      <w:pPr>
        <w:ind w:firstLine="362"/>
        <w:spacing w:after="0" w:line="252" w:lineRule="auto"/>
        <w:rPr>
          <w:sz w:val="20"/>
          <w:szCs w:val="20"/>
          <w:color w:val="auto"/>
        </w:rPr>
      </w:pPr>
      <w:r>
        <w:rPr>
          <w:rFonts w:ascii="Times New Roman" w:cs="Times New Roman" w:eastAsia="Times New Roman" w:hAnsi="Times New Roman"/>
          <w:sz w:val="15"/>
          <w:szCs w:val="15"/>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The holders of piggyback registration rights granted pursuant to the investors’ rights agreement have waived their piggyback registration rights in connection with the registration statement of which this prospectus is a part, as well as all subsequent offerings related to the registration statement of which this prospectus is a part.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9040"/>
          </w:cols>
          <w:pgMar w:left="1420" w:top="245" w:right="1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Registration on Form S-3</w:t>
      </w:r>
    </w:p>
    <w:p>
      <w:pPr>
        <w:spacing w:after="0" w:line="97" w:lineRule="exact"/>
        <w:rPr>
          <w:sz w:val="20"/>
          <w:szCs w:val="20"/>
          <w:color w:val="auto"/>
        </w:rPr>
      </w:pPr>
    </w:p>
    <w:p>
      <w:pPr>
        <w:ind w:right="339" w:firstLine="362"/>
        <w:spacing w:after="0" w:line="255" w:lineRule="auto"/>
        <w:rPr>
          <w:sz w:val="20"/>
          <w:szCs w:val="20"/>
          <w:color w:val="auto"/>
        </w:rPr>
      </w:pPr>
      <w:r>
        <w:rPr>
          <w:rFonts w:ascii="Times New Roman" w:cs="Times New Roman" w:eastAsia="Times New Roman" w:hAnsi="Times New Roman"/>
          <w:sz w:val="15"/>
          <w:szCs w:val="15"/>
          <w:color w:val="auto"/>
        </w:rPr>
        <w:t>The holders of at least 30% of the registrable securities outstanding are entitled to request to have such shares registered by us on a Form S-3 registration statement. These Form S-3 registration rights are subject to other specified conditions and limitations, including the condition that the anticipated aggregate offering price is at least $1.0 million. Upon receipt of this request, the holders of registrable securities will each be entitled to participate in this registration.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Expenses of Registration</w:t>
      </w:r>
    </w:p>
    <w:p>
      <w:pPr>
        <w:spacing w:after="0" w:line="97" w:lineRule="exact"/>
        <w:rPr>
          <w:sz w:val="20"/>
          <w:szCs w:val="20"/>
          <w:color w:val="auto"/>
        </w:rPr>
      </w:pPr>
    </w:p>
    <w:p>
      <w:pPr>
        <w:ind w:right="79" w:firstLine="362"/>
        <w:spacing w:after="0" w:line="253" w:lineRule="auto"/>
        <w:rPr>
          <w:sz w:val="20"/>
          <w:szCs w:val="20"/>
          <w:color w:val="auto"/>
        </w:rPr>
      </w:pPr>
      <w:r>
        <w:rPr>
          <w:rFonts w:ascii="Times New Roman" w:cs="Times New Roman" w:eastAsia="Times New Roman" w:hAnsi="Times New Roman"/>
          <w:sz w:val="15"/>
          <w:szCs w:val="15"/>
          <w:color w:val="auto"/>
        </w:rPr>
        <w:t>We are required to pay all expenses, including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55" w:lineRule="exact"/>
        <w:rPr>
          <w:sz w:val="20"/>
          <w:szCs w:val="20"/>
          <w:color w:val="auto"/>
        </w:rPr>
      </w:pPr>
    </w:p>
    <w:p>
      <w:pPr>
        <w:ind w:right="59" w:firstLine="362"/>
        <w:spacing w:after="0" w:line="287" w:lineRule="auto"/>
        <w:rPr>
          <w:sz w:val="20"/>
          <w:szCs w:val="20"/>
          <w:color w:val="auto"/>
        </w:rPr>
      </w:pPr>
      <w:r>
        <w:rPr>
          <w:rFonts w:ascii="Times New Roman" w:cs="Times New Roman" w:eastAsia="Times New Roman" w:hAnsi="Times New Roman"/>
          <w:sz w:val="14"/>
          <w:szCs w:val="14"/>
          <w:color w:val="auto"/>
        </w:rPr>
        <w:t>The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Termination of Registration Rights</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registration rights granted under the investors’ rights agreement will terminate with respect to any particular stockholder upon the earliest of</w:t>
      </w:r>
    </w:p>
    <w:p>
      <w:pPr>
        <w:spacing w:after="0" w:line="31" w:lineRule="exact"/>
        <w:rPr>
          <w:sz w:val="20"/>
          <w:szCs w:val="20"/>
          <w:color w:val="auto"/>
        </w:rPr>
      </w:pPr>
    </w:p>
    <w:p>
      <w:pPr>
        <w:jc w:val="both"/>
        <w:ind w:right="419" w:firstLine="2"/>
        <w:spacing w:after="0" w:line="250" w:lineRule="auto"/>
        <w:tabs>
          <w:tab w:leader="none" w:pos="201"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closing of a deemed liquidation event, as defined in the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our initial public offering.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Anti-Takeover Provisions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Section 203 of the Delaware General Corporation Law</w:t>
      </w:r>
    </w:p>
    <w:p>
      <w:pPr>
        <w:spacing w:after="0" w:line="97" w:lineRule="exact"/>
        <w:rPr>
          <w:sz w:val="20"/>
          <w:szCs w:val="20"/>
          <w:color w:val="auto"/>
        </w:rPr>
      </w:pPr>
    </w:p>
    <w:p>
      <w:pPr>
        <w:ind w:right="199" w:firstLine="362"/>
        <w:spacing w:after="0" w:line="310" w:lineRule="auto"/>
        <w:rPr>
          <w:sz w:val="20"/>
          <w:szCs w:val="20"/>
          <w:color w:val="auto"/>
        </w:rPr>
      </w:pPr>
      <w:r>
        <w:rPr>
          <w:rFonts w:ascii="Times New Roman" w:cs="Times New Roman" w:eastAsia="Times New Roman" w:hAnsi="Times New Roman"/>
          <w:sz w:val="14"/>
          <w:szCs w:val="14"/>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38" w:lineRule="exact"/>
        <w:rPr>
          <w:sz w:val="20"/>
          <w:szCs w:val="20"/>
          <w:color w:val="auto"/>
        </w:rPr>
      </w:pPr>
    </w:p>
    <w:p>
      <w:pPr>
        <w:ind w:left="800" w:right="159" w:hanging="354"/>
        <w:spacing w:after="0" w:line="273" w:lineRule="auto"/>
        <w:tabs>
          <w:tab w:leader="none" w:pos="8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before such date, the board of directors of the corporation approved either the business combination or the transaction that resulted in the stockholder becoming an interested stockholder;</w:t>
      </w:r>
    </w:p>
    <w:p>
      <w:pPr>
        <w:spacing w:after="0" w:line="61" w:lineRule="exact"/>
        <w:rPr>
          <w:rFonts w:ascii="Times New Roman" w:cs="Times New Roman" w:eastAsia="Times New Roman" w:hAnsi="Times New Roman"/>
          <w:sz w:val="15"/>
          <w:szCs w:val="15"/>
          <w:color w:val="auto"/>
        </w:rPr>
      </w:pPr>
    </w:p>
    <w:p>
      <w:pPr>
        <w:ind w:left="800" w:right="19" w:hanging="354"/>
        <w:spacing w:after="0" w:line="253" w:lineRule="auto"/>
        <w:tabs>
          <w:tab w:leader="none" w:pos="8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7" w:lineRule="exact"/>
        <w:rPr>
          <w:rFonts w:ascii="Times New Roman" w:cs="Times New Roman" w:eastAsia="Times New Roman" w:hAnsi="Times New Roman"/>
          <w:sz w:val="15"/>
          <w:szCs w:val="15"/>
          <w:color w:val="auto"/>
        </w:rPr>
      </w:pPr>
    </w:p>
    <w:p>
      <w:pPr>
        <w:ind w:left="800" w:right="99" w:hanging="354"/>
        <w:spacing w:after="0" w:line="260" w:lineRule="auto"/>
        <w:tabs>
          <w:tab w:leader="none" w:pos="8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9039"/>
          </w:cols>
          <w:pgMar w:left="1420" w:top="243" w:right="1440" w:bottom="1440" w:gutter="0" w:footer="0" w:header="0"/>
        </w:sectPr>
      </w:pPr>
    </w:p>
    <w:bookmarkStart w:id="56" w:name="page57"/>
    <w:bookmarkEnd w:id="56"/>
    <w:p>
      <w:pPr>
        <w:ind w:left="3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In general, Section 203 defines a “business combination” to include the following:</w:t>
      </w:r>
    </w:p>
    <w:p>
      <w:pPr>
        <w:spacing w:after="0" w:line="105" w:lineRule="exact"/>
        <w:rPr>
          <w:sz w:val="20"/>
          <w:szCs w:val="20"/>
          <w:color w:val="auto"/>
        </w:rPr>
      </w:pPr>
    </w:p>
    <w:p>
      <w:pPr>
        <w:ind w:left="800" w:right="419" w:hanging="354"/>
        <w:spacing w:after="0" w:line="273" w:lineRule="auto"/>
        <w:tabs>
          <w:tab w:leader="none" w:pos="8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merger or consolidation involving the corporation or any direct or indirect majority-owned subsidiary of the corporation and the interested stockholder;</w:t>
      </w:r>
    </w:p>
    <w:p>
      <w:pPr>
        <w:spacing w:after="0" w:line="61" w:lineRule="exact"/>
        <w:rPr>
          <w:rFonts w:ascii="Times New Roman" w:cs="Times New Roman" w:eastAsia="Times New Roman" w:hAnsi="Times New Roman"/>
          <w:sz w:val="15"/>
          <w:szCs w:val="15"/>
          <w:color w:val="auto"/>
        </w:rPr>
      </w:pPr>
    </w:p>
    <w:p>
      <w:pPr>
        <w:ind w:left="800" w:right="159" w:hanging="354"/>
        <w:spacing w:after="0" w:line="273" w:lineRule="auto"/>
        <w:tabs>
          <w:tab w:leader="none" w:pos="8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sale, transfer, pledge or other disposition of 10% or more of the assets of the corporation involving the interested stockholder (in one transaction or a series of transactions);</w:t>
      </w:r>
    </w:p>
    <w:p>
      <w:pPr>
        <w:spacing w:after="0" w:line="61" w:lineRule="exact"/>
        <w:rPr>
          <w:rFonts w:ascii="Times New Roman" w:cs="Times New Roman" w:eastAsia="Times New Roman" w:hAnsi="Times New Roman"/>
          <w:sz w:val="15"/>
          <w:szCs w:val="15"/>
          <w:color w:val="auto"/>
        </w:rPr>
      </w:pPr>
    </w:p>
    <w:p>
      <w:pPr>
        <w:ind w:left="800" w:right="39" w:hanging="354"/>
        <w:spacing w:after="0" w:line="273" w:lineRule="auto"/>
        <w:tabs>
          <w:tab w:leader="none" w:pos="8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61" w:lineRule="exact"/>
        <w:rPr>
          <w:rFonts w:ascii="Times New Roman" w:cs="Times New Roman" w:eastAsia="Times New Roman" w:hAnsi="Times New Roman"/>
          <w:sz w:val="15"/>
          <w:szCs w:val="15"/>
          <w:color w:val="auto"/>
        </w:rPr>
      </w:pPr>
    </w:p>
    <w:p>
      <w:pPr>
        <w:ind w:left="800" w:right="39" w:hanging="354"/>
        <w:spacing w:after="0" w:line="310" w:lineRule="auto"/>
        <w:tabs>
          <w:tab w:leader="none" w:pos="8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38" w:lineRule="exact"/>
        <w:rPr>
          <w:rFonts w:ascii="Times New Roman" w:cs="Times New Roman" w:eastAsia="Times New Roman" w:hAnsi="Times New Roman"/>
          <w:sz w:val="14"/>
          <w:szCs w:val="14"/>
          <w:color w:val="auto"/>
        </w:rPr>
      </w:pPr>
    </w:p>
    <w:p>
      <w:pPr>
        <w:ind w:left="800" w:right="59" w:hanging="354"/>
        <w:spacing w:after="0" w:line="273" w:lineRule="auto"/>
        <w:tabs>
          <w:tab w:leader="none" w:pos="8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by the interested stockholder of the benefit of any loans, advances, guarantees, pledges or other financial benefits by or through the corporation.</w:t>
      </w:r>
    </w:p>
    <w:p>
      <w:pPr>
        <w:spacing w:after="0" w:line="140" w:lineRule="exact"/>
        <w:rPr>
          <w:sz w:val="20"/>
          <w:szCs w:val="20"/>
          <w:color w:val="auto"/>
        </w:rPr>
      </w:pPr>
    </w:p>
    <w:p>
      <w:pPr>
        <w:ind w:right="359" w:firstLine="362"/>
        <w:spacing w:after="0" w:line="260" w:lineRule="auto"/>
        <w:rPr>
          <w:sz w:val="20"/>
          <w:szCs w:val="20"/>
          <w:color w:val="auto"/>
        </w:rPr>
      </w:pPr>
      <w:r>
        <w:rPr>
          <w:rFonts w:ascii="Times New Roman" w:cs="Times New Roman" w:eastAsia="Times New Roman" w:hAnsi="Times New Roman"/>
          <w:sz w:val="15"/>
          <w:szCs w:val="15"/>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Amended and Restated Certificate of Incorporation and Amended and Restated Bylaws</w:t>
      </w:r>
    </w:p>
    <w:p>
      <w:pPr>
        <w:spacing w:after="0" w:line="97" w:lineRule="exact"/>
        <w:rPr>
          <w:sz w:val="20"/>
          <w:szCs w:val="20"/>
          <w:color w:val="auto"/>
        </w:rPr>
      </w:pPr>
    </w:p>
    <w:p>
      <w:pPr>
        <w:ind w:right="19" w:firstLine="362"/>
        <w:spacing w:after="0" w:line="250" w:lineRule="auto"/>
        <w:rPr>
          <w:sz w:val="20"/>
          <w:szCs w:val="20"/>
          <w:color w:val="auto"/>
        </w:rPr>
      </w:pPr>
      <w:r>
        <w:rPr>
          <w:rFonts w:ascii="Times New Roman" w:cs="Times New Roman" w:eastAsia="Times New Roman" w:hAnsi="Times New Roman"/>
          <w:sz w:val="15"/>
          <w:szCs w:val="15"/>
          <w:color w:val="auto"/>
        </w:rPr>
        <w:t>The Certificate of Incorporation and the Bylaws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are able to elect all of our directors. The Certificate of Incorporation and the Bylaws provide that directors may be removed by the stockholders only for cause upon the vote of at least 66 2/3% of the voting power of all of the then-outstanding shares of capital stock entitled to vote generally at an election of directors. Furthermore, the authorized number of directors may be changed only by resolution of our board of directors, and vacancies and newly created directorships on our board of directors may, except as otherwise required by law or determined by our board and subject to the rights of any series of then-outstanding preferred stock, only be filled by a majority vote of the directors then serving on our board of directors, even though less than a quorum.</w:t>
      </w:r>
    </w:p>
    <w:p>
      <w:pPr>
        <w:spacing w:after="0" w:line="156" w:lineRule="exact"/>
        <w:rPr>
          <w:sz w:val="20"/>
          <w:szCs w:val="20"/>
          <w:color w:val="auto"/>
        </w:rPr>
      </w:pPr>
    </w:p>
    <w:p>
      <w:pPr>
        <w:jc w:val="both"/>
        <w:ind w:right="39" w:firstLine="362"/>
        <w:spacing w:after="0" w:line="255" w:lineRule="auto"/>
        <w:rPr>
          <w:sz w:val="20"/>
          <w:szCs w:val="20"/>
          <w:color w:val="auto"/>
        </w:rPr>
      </w:pPr>
      <w:r>
        <w:rPr>
          <w:rFonts w:ascii="Times New Roman" w:cs="Times New Roman" w:eastAsia="Times New Roman" w:hAnsi="Times New Roman"/>
          <w:sz w:val="15"/>
          <w:szCs w:val="15"/>
          <w:color w:val="auto"/>
        </w:rPr>
        <w:t>The Certificate of Incorporation and the Bylaws also provide that all stockholder actions must be effected at a duly called meeting of stockholders and eliminate the right of stockholders to act by written consent without a meeting. The Bylaws provide that only the chairman of the board of directors, the chief executive officer or the board of directors pursuant to a resolution adopted by a majority of the total number of authorized directors may call a special meeting of stockholders.</w:t>
      </w:r>
    </w:p>
    <w:p>
      <w:pPr>
        <w:spacing w:after="0" w:line="153" w:lineRule="exact"/>
        <w:rPr>
          <w:sz w:val="20"/>
          <w:szCs w:val="20"/>
          <w:color w:val="auto"/>
        </w:rPr>
      </w:pPr>
    </w:p>
    <w:p>
      <w:pPr>
        <w:ind w:right="199" w:firstLine="362"/>
        <w:spacing w:after="0" w:line="260" w:lineRule="auto"/>
        <w:rPr>
          <w:sz w:val="20"/>
          <w:szCs w:val="20"/>
          <w:color w:val="auto"/>
        </w:rPr>
      </w:pPr>
      <w:r>
        <w:rPr>
          <w:rFonts w:ascii="Times New Roman" w:cs="Times New Roman" w:eastAsia="Times New Roman" w:hAnsi="Times New Roman"/>
          <w:sz w:val="15"/>
          <w:szCs w:val="15"/>
          <w:color w:val="auto"/>
        </w:rPr>
        <w:t>The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49" w:lineRule="exact"/>
        <w:rPr>
          <w:sz w:val="20"/>
          <w:szCs w:val="20"/>
          <w:color w:val="auto"/>
        </w:rPr>
      </w:pPr>
    </w:p>
    <w:p>
      <w:pPr>
        <w:ind w:right="139" w:firstLine="362"/>
        <w:spacing w:after="0" w:line="310" w:lineRule="auto"/>
        <w:rPr>
          <w:sz w:val="20"/>
          <w:szCs w:val="20"/>
          <w:color w:val="auto"/>
        </w:rPr>
      </w:pPr>
      <w:r>
        <w:rPr>
          <w:rFonts w:ascii="Times New Roman" w:cs="Times New Roman" w:eastAsia="Times New Roman" w:hAnsi="Times New Roman"/>
          <w:sz w:val="14"/>
          <w:szCs w:val="14"/>
          <w:color w:val="auto"/>
        </w:rPr>
        <w:t>The Certificate of Incorporation and the Bylaws provide that the stockholders cannot amend many of the provisions described above except by a vote of at least 66 2/3% of the voting power of all of the then-outstanding shares of capital stock entitled to vote generally at an election of directors.</w:t>
      </w:r>
    </w:p>
    <w:p>
      <w:pPr>
        <w:spacing w:after="0" w:line="116" w:lineRule="exact"/>
        <w:rPr>
          <w:sz w:val="20"/>
          <w:szCs w:val="20"/>
          <w:color w:val="auto"/>
        </w:rPr>
      </w:pPr>
    </w:p>
    <w:p>
      <w:pPr>
        <w:ind w:right="19" w:firstLine="362"/>
        <w:spacing w:after="0" w:line="260" w:lineRule="auto"/>
        <w:rPr>
          <w:sz w:val="20"/>
          <w:szCs w:val="20"/>
          <w:color w:val="auto"/>
        </w:rPr>
      </w:pPr>
      <w:r>
        <w:rPr>
          <w:rFonts w:ascii="Times New Roman" w:cs="Times New Roman" w:eastAsia="Times New Roman" w:hAnsi="Times New Roman"/>
          <w:sz w:val="15"/>
          <w:szCs w:val="15"/>
          <w:color w:val="auto"/>
        </w:rPr>
        <w:t>The Certificate of Incorporation provides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9039"/>
          </w:cols>
          <w:pgMar w:left="1420" w:top="247" w:right="1440" w:bottom="1440" w:gutter="0" w:footer="0" w:header="0"/>
        </w:sectPr>
      </w:pPr>
    </w:p>
    <w:bookmarkStart w:id="57" w:name="page58"/>
    <w:bookmarkEnd w:id="57"/>
    <w:p>
      <w:pPr>
        <w:ind w:firstLine="362"/>
        <w:spacing w:after="0" w:line="25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The combination of these provisions makes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us.</w:t>
      </w:r>
    </w:p>
    <w:p>
      <w:pPr>
        <w:spacing w:after="0" w:line="155" w:lineRule="exact"/>
        <w:rPr>
          <w:sz w:val="20"/>
          <w:szCs w:val="20"/>
          <w:color w:val="auto"/>
        </w:rPr>
      </w:pPr>
    </w:p>
    <w:p>
      <w:pPr>
        <w:ind w:right="80" w:firstLine="362"/>
        <w:spacing w:after="0" w:line="250" w:lineRule="auto"/>
        <w:rPr>
          <w:sz w:val="20"/>
          <w:szCs w:val="20"/>
          <w:color w:val="auto"/>
        </w:rPr>
      </w:pPr>
      <w:r>
        <w:rPr>
          <w:rFonts w:ascii="Times New Roman" w:cs="Times New Roman" w:eastAsia="Times New Roman" w:hAnsi="Times New Roman"/>
          <w:sz w:val="15"/>
          <w:szCs w:val="15"/>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Choice of Forum</w:t>
      </w:r>
    </w:p>
    <w:p>
      <w:pPr>
        <w:spacing w:after="0" w:line="95" w:lineRule="exact"/>
        <w:rPr>
          <w:sz w:val="20"/>
          <w:szCs w:val="20"/>
          <w:color w:val="auto"/>
        </w:rPr>
      </w:pPr>
    </w:p>
    <w:p>
      <w:pPr>
        <w:ind w:right="120" w:firstLine="362"/>
        <w:spacing w:after="0" w:line="273" w:lineRule="auto"/>
        <w:rPr>
          <w:sz w:val="20"/>
          <w:szCs w:val="20"/>
          <w:color w:val="auto"/>
        </w:rPr>
      </w:pPr>
      <w:r>
        <w:rPr>
          <w:rFonts w:ascii="Times New Roman" w:cs="Times New Roman" w:eastAsia="Times New Roman" w:hAnsi="Times New Roman"/>
          <w:sz w:val="15"/>
          <w:szCs w:val="15"/>
          <w:color w:val="auto"/>
        </w:rPr>
        <w:t>Our Certificate of Incorporation provides that the Court of Chancery of the State of Delaware will be the exclusive forum for the following types of actions or proceedings under Delaware statutory or common law:</w:t>
      </w:r>
    </w:p>
    <w:p>
      <w:pPr>
        <w:spacing w:after="0" w:line="62" w:lineRule="exact"/>
        <w:rPr>
          <w:sz w:val="20"/>
          <w:szCs w:val="20"/>
          <w:color w:val="auto"/>
        </w:rPr>
      </w:pPr>
    </w:p>
    <w:p>
      <w:pPr>
        <w:ind w:left="800" w:hanging="354"/>
        <w:spacing w:after="0"/>
        <w:tabs>
          <w:tab w:leader="none" w:pos="8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derivative action or proceeding brought on our behalf;</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asserting a breach of fiduciary duty;</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asserting a claim against us arising pursuant to the DGCL, our Certificate of Incorporation, or our Bylaws;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claim or cause of action seeking to interpret, apply, enforce or determine the validity of the Certificate of Incorporation or the Bylaws;</w:t>
      </w:r>
    </w:p>
    <w:p>
      <w:pPr>
        <w:spacing w:after="0" w:line="116" w:lineRule="exact"/>
        <w:rPr>
          <w:rFonts w:ascii="Times New Roman" w:cs="Times New Roman" w:eastAsia="Times New Roman" w:hAnsi="Times New Roman"/>
          <w:sz w:val="14"/>
          <w:szCs w:val="14"/>
          <w:color w:val="auto"/>
        </w:rPr>
      </w:pPr>
    </w:p>
    <w:p>
      <w:pPr>
        <w:ind w:left="800" w:hanging="354"/>
        <w:spacing w:after="0"/>
        <w:tabs>
          <w:tab w:leader="none" w:pos="8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claim or cause of action as to which the DGCL confers jurisdiction on the Court of Chancery of the State of Delaware; or</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asserting a claim against us that is governed by the internal affairs doctrine.</w:t>
      </w:r>
    </w:p>
    <w:p>
      <w:pPr>
        <w:spacing w:after="0" w:line="182" w:lineRule="exact"/>
        <w:rPr>
          <w:sz w:val="20"/>
          <w:szCs w:val="20"/>
          <w:color w:val="auto"/>
        </w:rPr>
      </w:pPr>
    </w:p>
    <w:p>
      <w:pPr>
        <w:ind w:right="100" w:firstLine="362"/>
        <w:spacing w:after="0" w:line="252" w:lineRule="auto"/>
        <w:rPr>
          <w:sz w:val="20"/>
          <w:szCs w:val="20"/>
          <w:color w:val="auto"/>
        </w:rPr>
      </w:pPr>
      <w:r>
        <w:rPr>
          <w:rFonts w:ascii="Times New Roman" w:cs="Times New Roman" w:eastAsia="Times New Roman" w:hAnsi="Times New Roman"/>
          <w:sz w:val="15"/>
          <w:szCs w:val="15"/>
          <w:color w:val="auto"/>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also provides that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55" w:lineRule="exact"/>
        <w:rPr>
          <w:sz w:val="20"/>
          <w:szCs w:val="20"/>
          <w:color w:val="auto"/>
        </w:rPr>
      </w:pPr>
    </w:p>
    <w:p>
      <w:pPr>
        <w:ind w:right="20" w:firstLine="362"/>
        <w:spacing w:after="0" w:line="279" w:lineRule="auto"/>
        <w:rPr>
          <w:sz w:val="20"/>
          <w:szCs w:val="20"/>
          <w:color w:val="auto"/>
        </w:rPr>
      </w:pPr>
      <w:r>
        <w:rPr>
          <w:rFonts w:ascii="Times New Roman" w:cs="Times New Roman" w:eastAsia="Times New Roman" w:hAnsi="Times New Roman"/>
          <w:sz w:val="14"/>
          <w:szCs w:val="14"/>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38" w:lineRule="exact"/>
        <w:rPr>
          <w:sz w:val="20"/>
          <w:szCs w:val="20"/>
          <w:color w:val="auto"/>
        </w:rPr>
      </w:pPr>
    </w:p>
    <w:p>
      <w:pPr>
        <w:ind w:right="60" w:firstLine="362"/>
        <w:spacing w:after="0" w:line="273" w:lineRule="auto"/>
        <w:rPr>
          <w:sz w:val="20"/>
          <w:szCs w:val="20"/>
          <w:color w:val="auto"/>
        </w:rPr>
      </w:pPr>
      <w:r>
        <w:rPr>
          <w:rFonts w:ascii="Times New Roman" w:cs="Times New Roman" w:eastAsia="Times New Roman" w:hAnsi="Times New Roman"/>
          <w:sz w:val="15"/>
          <w:szCs w:val="15"/>
          <w:color w:val="auto"/>
        </w:rPr>
        <w:t>These exclusive forum provisions may result in increased costs for investors to bring a claim. Further, these exclusive forum provisions may limit a stockholder’s ability to bring a claim in a judicial forum that it finds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9040"/>
          </w:cols>
          <w:pgMar w:left="1420" w:top="247" w:right="1439" w:bottom="1440" w:gutter="0" w:footer="0" w:header="0"/>
        </w:sectPr>
      </w:pPr>
    </w:p>
    <w:bookmarkStart w:id="58" w:name="page59"/>
    <w:bookmarkEnd w:id="58"/>
    <w:p>
      <w:pPr>
        <w:jc w:val="both"/>
        <w:ind w:right="219"/>
        <w:spacing w:after="0" w:line="25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favorable for disputes with us or our directors, officers, or other employees, which may discourage lawsuits against us and our directors, officers and other employees. If a court were to find either exclusive-forum provision in our Certificate of Incorporation to be inapplicable or unenforceable in an action, we may incur further significant additional costs associated with resolving the dispute in other jurisdictions, all of which could seriously harm our business.</w:t>
      </w:r>
    </w:p>
    <w:p>
      <w:pPr>
        <w:spacing w:after="0" w:line="153" w:lineRule="exact"/>
        <w:rPr>
          <w:sz w:val="20"/>
          <w:szCs w:val="20"/>
          <w:color w:val="auto"/>
        </w:rPr>
      </w:pPr>
    </w:p>
    <w:p>
      <w:pPr>
        <w:ind w:right="19" w:firstLine="362"/>
        <w:spacing w:after="0" w:line="260" w:lineRule="auto"/>
        <w:rPr>
          <w:sz w:val="20"/>
          <w:szCs w:val="20"/>
          <w:color w:val="auto"/>
        </w:rPr>
      </w:pPr>
      <w:r>
        <w:rPr>
          <w:rFonts w:ascii="Times New Roman" w:cs="Times New Roman" w:eastAsia="Times New Roman" w:hAnsi="Times New Roman"/>
          <w:sz w:val="15"/>
          <w:szCs w:val="15"/>
          <w:color w:val="auto"/>
        </w:rPr>
        <w:t>Our Certificate of Incorporation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95" w:lineRule="exact"/>
        <w:rPr>
          <w:sz w:val="20"/>
          <w:szCs w:val="20"/>
          <w:color w:val="auto"/>
        </w:rPr>
      </w:pPr>
    </w:p>
    <w:p>
      <w:pPr>
        <w:ind w:right="179" w:firstLine="362"/>
        <w:spacing w:after="0" w:line="273" w:lineRule="auto"/>
        <w:rPr>
          <w:sz w:val="20"/>
          <w:szCs w:val="20"/>
          <w:color w:val="auto"/>
        </w:rPr>
      </w:pPr>
      <w:r>
        <w:rPr>
          <w:rFonts w:ascii="Times New Roman" w:cs="Times New Roman" w:eastAsia="Times New Roman" w:hAnsi="Times New Roman"/>
          <w:sz w:val="15"/>
          <w:szCs w:val="15"/>
          <w:color w:val="auto"/>
        </w:rPr>
        <w:t>The transfer agent and registrar for our common stock is American Stock Transfer &amp; Trust Company, LLC. The transfer agent’s address is 6201 15th Avenue, Brooklyn, New York 11219.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Listing</w: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Our common stock is listed on the Nasdaq Global Market under the trading symbol “IVVD”.</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9039"/>
          </w:cols>
          <w:pgMar w:left="1420" w:top="247" w:right="144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DESCRIPTION OF OUR PREFERRED STOCK</w:t>
      </w:r>
    </w:p>
    <w:p>
      <w:pPr>
        <w:spacing w:after="0" w:line="184" w:lineRule="exact"/>
        <w:rPr>
          <w:sz w:val="20"/>
          <w:szCs w:val="20"/>
          <w:color w:val="auto"/>
        </w:rPr>
      </w:pPr>
    </w:p>
    <w:p>
      <w:pPr>
        <w:ind w:right="400" w:firstLine="362"/>
        <w:spacing w:after="0" w:line="273" w:lineRule="auto"/>
        <w:rPr>
          <w:sz w:val="20"/>
          <w:szCs w:val="20"/>
          <w:color w:val="auto"/>
        </w:rPr>
      </w:pPr>
      <w:r>
        <w:rPr>
          <w:rFonts w:ascii="Times New Roman" w:cs="Times New Roman" w:eastAsia="Times New Roman" w:hAnsi="Times New Roman"/>
          <w:sz w:val="15"/>
          <w:szCs w:val="15"/>
          <w:color w:val="auto"/>
        </w:rPr>
        <w:t>We are authorized to issue up to 10,000,000 shares of preferred stock, par value $0.0001 per share, all of which shares of preferred stock are currently undesignated.</w:t>
      </w:r>
    </w:p>
    <w:p>
      <w:pPr>
        <w:spacing w:after="0" w:line="140" w:lineRule="exact"/>
        <w:rPr>
          <w:sz w:val="20"/>
          <w:szCs w:val="20"/>
          <w:color w:val="auto"/>
        </w:rPr>
      </w:pPr>
    </w:p>
    <w:p>
      <w:pPr>
        <w:ind w:firstLine="362"/>
        <w:spacing w:after="0" w:line="248" w:lineRule="auto"/>
        <w:rPr>
          <w:sz w:val="20"/>
          <w:szCs w:val="20"/>
          <w:color w:val="auto"/>
        </w:rPr>
      </w:pPr>
      <w:r>
        <w:rPr>
          <w:rFonts w:ascii="Times New Roman" w:cs="Times New Roman" w:eastAsia="Times New Roman" w:hAnsi="Times New Roman"/>
          <w:sz w:val="15"/>
          <w:szCs w:val="15"/>
          <w:color w:val="auto"/>
        </w:rPr>
        <w:t>Our board of directors may, without further action by our stockholders, from time to time, direct the issuance of shares of preferred stock in series and may, at the time of issuance, determine and fix the number of shares of such series and the designation of such series, the voting powers, if any, of the shares of such series, the preferences and relative, participating, optional or other special rights, if any, and the qualifications, limitations or restrictions thereof, including without limitation thereof, dividend rights, conversion rights, redemption privileges and liquidation preferences, of the shares of such series. Satisfaction of any dividend preferences of outstanding shares of our preferred stock would reduce the amount of funds available for the payment of dividends on shares of our common stock. Holders of shares of our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 It is not possible to state the actual effect of the issuance of any shares of preferred stock on the rights of holders of common stock until the board of directors determines the specific rights attached to that preferred stock. We have no current plan to issue any shares of preferred stock.</w:t>
      </w:r>
    </w:p>
    <w:p>
      <w:pPr>
        <w:spacing w:after="0" w:line="165" w:lineRule="exact"/>
        <w:rPr>
          <w:sz w:val="20"/>
          <w:szCs w:val="20"/>
          <w:color w:val="auto"/>
        </w:rPr>
      </w:pPr>
    </w:p>
    <w:p>
      <w:pPr>
        <w:jc w:val="both"/>
        <w:ind w:right="20" w:firstLine="362"/>
        <w:spacing w:after="0" w:line="260" w:lineRule="auto"/>
        <w:rPr>
          <w:sz w:val="20"/>
          <w:szCs w:val="20"/>
          <w:color w:val="auto"/>
        </w:rPr>
      </w:pPr>
      <w:r>
        <w:rPr>
          <w:rFonts w:ascii="Times New Roman" w:cs="Times New Roman" w:eastAsia="Times New Roman" w:hAnsi="Times New Roman"/>
          <w:sz w:val="15"/>
          <w:szCs w:val="15"/>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71" w:lineRule="exact"/>
        <w:rPr>
          <w:sz w:val="20"/>
          <w:szCs w:val="20"/>
          <w:color w:val="auto"/>
        </w:rPr>
      </w:pPr>
    </w:p>
    <w:p>
      <w:pPr>
        <w:ind w:left="800" w:hanging="354"/>
        <w:spacing w:after="0"/>
        <w:tabs>
          <w:tab w:leader="none" w:pos="8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and stated value;</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offered, the liquidation preference per share, and the purchase price;</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dividend rate(s), period(s), and/or payment date(s), or method(s) of calculation for such dividends;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dividends will be cumulative or non-cumulative and, if cumulative, the date from which dividends will accumulate;</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procedures for any auction and remarketing, if any;</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for a sinking fund, if any;</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for redemption, if applicable;</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listing of the preferred stock on any securities exchange or market;</w:t>
      </w:r>
    </w:p>
    <w:p>
      <w:pPr>
        <w:spacing w:after="0" w:line="104" w:lineRule="exact"/>
        <w:rPr>
          <w:rFonts w:ascii="Times New Roman" w:cs="Times New Roman" w:eastAsia="Times New Roman" w:hAnsi="Times New Roman"/>
          <w:sz w:val="15"/>
          <w:szCs w:val="15"/>
          <w:color w:val="auto"/>
        </w:rPr>
      </w:pPr>
    </w:p>
    <w:p>
      <w:pPr>
        <w:ind w:left="800" w:right="200" w:hanging="354"/>
        <w:spacing w:after="0" w:line="310" w:lineRule="auto"/>
        <w:tabs>
          <w:tab w:leader="none" w:pos="8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convertible into our common stock or our other securities and, if applicable, the conversion price (or how it will be calculated), the conversion period and any other terms of conversion (including any anti-dilution provisions, if any);</w:t>
      </w:r>
    </w:p>
    <w:p>
      <w:pPr>
        <w:spacing w:after="0" w:line="38" w:lineRule="exact"/>
        <w:rPr>
          <w:rFonts w:ascii="Times New Roman" w:cs="Times New Roman" w:eastAsia="Times New Roman" w:hAnsi="Times New Roman"/>
          <w:sz w:val="14"/>
          <w:szCs w:val="14"/>
          <w:color w:val="auto"/>
        </w:rPr>
      </w:pPr>
    </w:p>
    <w:p>
      <w:pPr>
        <w:ind w:left="800" w:right="120" w:hanging="354"/>
        <w:spacing w:after="0" w:line="273" w:lineRule="auto"/>
        <w:tabs>
          <w:tab w:leader="none" w:pos="8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preferred stock will be exchangeable into debt securities, and, if applicable, the exchange price (or how it will be calculated), the exchange period and any other terms of exchange (including any anti-dilution provisions, if any);</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rights, if any, of the preferred stock;</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discussion of any material and/or special U.S. federal income tax considerations applicable to the preferred stock;</w:t>
      </w:r>
    </w:p>
    <w:p>
      <w:pPr>
        <w:spacing w:after="0" w:line="104" w:lineRule="exact"/>
        <w:rPr>
          <w:rFonts w:ascii="Times New Roman" w:cs="Times New Roman" w:eastAsia="Times New Roman" w:hAnsi="Times New Roman"/>
          <w:sz w:val="15"/>
          <w:szCs w:val="15"/>
          <w:color w:val="auto"/>
        </w:rPr>
      </w:pPr>
    </w:p>
    <w:p>
      <w:pPr>
        <w:ind w:left="800" w:right="160" w:hanging="354"/>
        <w:spacing w:after="0" w:line="273" w:lineRule="auto"/>
        <w:tabs>
          <w:tab w:leader="none" w:pos="8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relative ranking and preferences of the preferred stock as to dividend rights and rights upon liquidation, dissolution, or winding up of our affairs;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9040"/>
          </w:cols>
          <w:pgMar w:left="1420" w:top="245" w:right="1439" w:bottom="1440" w:gutter="0" w:footer="0" w:header="0"/>
        </w:sectPr>
      </w:pPr>
    </w:p>
    <w:bookmarkStart w:id="60" w:name="page61"/>
    <w:bookmarkEnd w:id="60"/>
    <w:p>
      <w:pPr>
        <w:ind w:left="800" w:right="259" w:hanging="354"/>
        <w:spacing w:after="0" w:line="273" w:lineRule="auto"/>
        <w:tabs>
          <w:tab w:leader="none" w:pos="8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any material limitations on issuance of any class or series of preferred stock ranking senior to or on a parity with the series of preferred stock as to dividend rights and rights upon our liquidation, dissolution, or winding up; and</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affirmative, negative or other covenants or contractual rights which might be attendant with the specific series of preferred stock.</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preferred stock offered by this prospectus, when issued, will not have, or be subject to, any preemptive or similar rights.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transfer agent and registrar for any series of preferred stock will be set forth in each applicable prospectus supplement.</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9039"/>
          </w:cols>
          <w:pgMar w:left="1420" w:top="247"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DESCRIPTION OF OUR WARRANTS</w:t>
      </w:r>
    </w:p>
    <w:p>
      <w:pPr>
        <w:spacing w:after="0" w:line="184" w:lineRule="exact"/>
        <w:rPr>
          <w:sz w:val="20"/>
          <w:szCs w:val="20"/>
          <w:color w:val="auto"/>
        </w:rPr>
      </w:pPr>
    </w:p>
    <w:p>
      <w:pPr>
        <w:ind w:right="199" w:firstLine="362"/>
        <w:spacing w:after="0" w:line="255" w:lineRule="auto"/>
        <w:rPr>
          <w:sz w:val="20"/>
          <w:szCs w:val="20"/>
          <w:color w:val="auto"/>
        </w:rPr>
      </w:pPr>
      <w:r>
        <w:rPr>
          <w:rFonts w:ascii="Times New Roman" w:cs="Times New Roman" w:eastAsia="Times New Roman" w:hAnsi="Times New Roman"/>
          <w:sz w:val="15"/>
          <w:szCs w:val="15"/>
          <w:color w:val="auto"/>
        </w:rPr>
        <w:t>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for the warrants.</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applicable prospectus supplement will contain, where applicable, the following terms of and other information relating to the warrants:</w:t>
      </w:r>
    </w:p>
    <w:p>
      <w:pPr>
        <w:spacing w:after="0" w:line="105" w:lineRule="exact"/>
        <w:rPr>
          <w:sz w:val="20"/>
          <w:szCs w:val="20"/>
          <w:color w:val="auto"/>
        </w:rPr>
      </w:pPr>
    </w:p>
    <w:p>
      <w:pPr>
        <w:ind w:left="800" w:hanging="354"/>
        <w:spacing w:after="0"/>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specific designation and aggregate number of, and the price at which we will issue, the warrants;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currency units in which the offering price, if any, and the exercise price are payable;</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amount and terms of the securities purchasable upon exercise of the warrants;</w:t>
      </w:r>
    </w:p>
    <w:p>
      <w:pPr>
        <w:spacing w:after="0" w:line="104" w:lineRule="exact"/>
        <w:rPr>
          <w:rFonts w:ascii="Times New Roman" w:cs="Times New Roman" w:eastAsia="Times New Roman" w:hAnsi="Times New Roman"/>
          <w:sz w:val="15"/>
          <w:szCs w:val="15"/>
          <w:color w:val="auto"/>
        </w:rPr>
      </w:pPr>
    </w:p>
    <w:p>
      <w:pPr>
        <w:ind w:left="800" w:right="19" w:hanging="354"/>
        <w:spacing w:after="0" w:line="273" w:lineRule="auto"/>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exercise price for shares of our common stock and the number of shares of common stock to be received upon exercise of the warrants;</w:t>
      </w:r>
    </w:p>
    <w:p>
      <w:pPr>
        <w:spacing w:after="0" w:line="61" w:lineRule="exact"/>
        <w:rPr>
          <w:rFonts w:ascii="Times New Roman" w:cs="Times New Roman" w:eastAsia="Times New Roman" w:hAnsi="Times New Roman"/>
          <w:sz w:val="15"/>
          <w:szCs w:val="15"/>
          <w:color w:val="auto"/>
        </w:rPr>
      </w:pPr>
    </w:p>
    <w:p>
      <w:pPr>
        <w:ind w:left="800" w:right="179" w:hanging="354"/>
        <w:spacing w:after="0" w:line="273" w:lineRule="auto"/>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exercise price for shares of our preferred stock, the number of shares of preferred stock to be received upon exercise of the warrants, and a description of that series of our preferred stock;</w:t>
      </w:r>
    </w:p>
    <w:p>
      <w:pPr>
        <w:spacing w:after="0" w:line="61" w:lineRule="exact"/>
        <w:rPr>
          <w:rFonts w:ascii="Times New Roman" w:cs="Times New Roman" w:eastAsia="Times New Roman" w:hAnsi="Times New Roman"/>
          <w:sz w:val="15"/>
          <w:szCs w:val="15"/>
          <w:color w:val="auto"/>
        </w:rPr>
      </w:pPr>
    </w:p>
    <w:p>
      <w:pPr>
        <w:ind w:left="800" w:right="19" w:hanging="354"/>
        <w:spacing w:after="0" w:line="273" w:lineRule="auto"/>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exercise price for our debt securities, the amount of our debt securities to be received upon exercise of the warrants, and a description of that series of debt securities;</w:t>
      </w:r>
    </w:p>
    <w:p>
      <w:pPr>
        <w:spacing w:after="0" w:line="61" w:lineRule="exact"/>
        <w:rPr>
          <w:rFonts w:ascii="Times New Roman" w:cs="Times New Roman" w:eastAsia="Times New Roman" w:hAnsi="Times New Roman"/>
          <w:sz w:val="15"/>
          <w:szCs w:val="15"/>
          <w:color w:val="auto"/>
        </w:rPr>
      </w:pPr>
    </w:p>
    <w:p>
      <w:pPr>
        <w:ind w:left="800" w:right="239" w:hanging="354"/>
        <w:spacing w:after="0" w:line="273" w:lineRule="auto"/>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the warrants will begin and the date on which that right will expire or, if the warrants may not be continuously exercised throughout that period, the specific date or dates on which the warrants may be exercised;</w:t>
      </w:r>
    </w:p>
    <w:p>
      <w:pPr>
        <w:spacing w:after="0" w:line="61" w:lineRule="exact"/>
        <w:rPr>
          <w:rFonts w:ascii="Times New Roman" w:cs="Times New Roman" w:eastAsia="Times New Roman" w:hAnsi="Times New Roman"/>
          <w:sz w:val="15"/>
          <w:szCs w:val="15"/>
          <w:color w:val="auto"/>
        </w:rPr>
      </w:pPr>
    </w:p>
    <w:p>
      <w:pPr>
        <w:ind w:left="800" w:right="19" w:hanging="354"/>
        <w:spacing w:after="0" w:line="260" w:lineRule="auto"/>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7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applicable material U.S. federal income tax or foreign tax consequences;</w:t>
      </w:r>
    </w:p>
    <w:p>
      <w:pPr>
        <w:spacing w:after="0" w:line="104" w:lineRule="exact"/>
        <w:rPr>
          <w:rFonts w:ascii="Times New Roman" w:cs="Times New Roman" w:eastAsia="Times New Roman" w:hAnsi="Times New Roman"/>
          <w:sz w:val="15"/>
          <w:szCs w:val="15"/>
          <w:color w:val="auto"/>
        </w:rPr>
      </w:pPr>
    </w:p>
    <w:p>
      <w:pPr>
        <w:ind w:left="800" w:right="559" w:hanging="354"/>
        <w:spacing w:after="0" w:line="273" w:lineRule="auto"/>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identity of the warrant agent for the warrants, if any, and of any other depositaries, execution or paying agents, transfer agents, registrars or other agents;</w:t>
      </w:r>
    </w:p>
    <w:p>
      <w:pPr>
        <w:spacing w:after="0" w:line="61" w:lineRule="exact"/>
        <w:rPr>
          <w:rFonts w:ascii="Times New Roman" w:cs="Times New Roman" w:eastAsia="Times New Roman" w:hAnsi="Times New Roman"/>
          <w:sz w:val="15"/>
          <w:szCs w:val="15"/>
          <w:color w:val="auto"/>
        </w:rPr>
      </w:pPr>
    </w:p>
    <w:p>
      <w:pPr>
        <w:ind w:left="800" w:right="399" w:hanging="354"/>
        <w:spacing w:after="0" w:line="273" w:lineRule="auto"/>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listing, if any, of the warrants or any securities purchasable upon exercise of the warrants on any securities exchange or market;</w:t>
      </w:r>
    </w:p>
    <w:p>
      <w:pPr>
        <w:spacing w:after="0" w:line="61" w:lineRule="exact"/>
        <w:rPr>
          <w:rFonts w:ascii="Times New Roman" w:cs="Times New Roman" w:eastAsia="Times New Roman" w:hAnsi="Times New Roman"/>
          <w:sz w:val="15"/>
          <w:szCs w:val="15"/>
          <w:color w:val="auto"/>
        </w:rPr>
      </w:pPr>
    </w:p>
    <w:p>
      <w:pPr>
        <w:ind w:left="800" w:right="219" w:hanging="354"/>
        <w:spacing w:after="0" w:line="273" w:lineRule="auto"/>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date from and after which the warrants and the common stock, preferred stock and/or debt securities will be separately transferable;</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minimum or maximum amount of the warrants that may be exercised at any one time;</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with respect to book-entry procedures, if any</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anti-dilution provisions of the warrants, if any;</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redemption, put or call provisions;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warrants are to be sold separately or with other securities as parts of units; and</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additional terms of the warrants, including terms, procedures and limitations relating to the exchange and exercise of the warrants.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The transfer agent and registrar for any warrants will be set forth in the applicable prospectus supplement.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9039"/>
          </w:cols>
          <w:pgMar w:left="1420" w:top="245" w:right="1440"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DESCRIPTION OF OUR DEBT SECURITIES</w:t>
      </w:r>
    </w:p>
    <w:p>
      <w:pPr>
        <w:spacing w:after="0" w:line="184" w:lineRule="exact"/>
        <w:rPr>
          <w:sz w:val="20"/>
          <w:szCs w:val="20"/>
          <w:color w:val="auto"/>
        </w:rPr>
      </w:pPr>
    </w:p>
    <w:p>
      <w:pPr>
        <w:ind w:right="19" w:firstLine="362"/>
        <w:spacing w:after="0" w:line="275" w:lineRule="auto"/>
        <w:rPr>
          <w:sz w:val="20"/>
          <w:szCs w:val="20"/>
          <w:color w:val="auto"/>
        </w:rPr>
      </w:pPr>
      <w:r>
        <w:rPr>
          <w:rFonts w:ascii="Times New Roman" w:cs="Times New Roman" w:eastAsia="Times New Roman" w:hAnsi="Times New Roman"/>
          <w:sz w:val="14"/>
          <w:szCs w:val="14"/>
          <w:color w:val="auto"/>
        </w:rPr>
        <w:t>This section describes the general terms and provisions of the debt securities that we may offer under this prospectus, any of which may be issued as convertible or exchangeable debt securities. We will set forth the particular terms of the debt securities we offer in a prospectus supplement. The extent, if any, to which the following general provisions apply to particular debt securities will be described in the applicable prospectus supplement. The following descriptions of general terms relating to the debt securities and the indenture under which the debt securities will be issued are summaries only and therefore are not complete. You should read the indenture and the prospectus supplement regarding any particular issuance of debt securities.</w:t>
      </w:r>
    </w:p>
    <w:p>
      <w:pPr>
        <w:spacing w:after="0" w:line="142" w:lineRule="exact"/>
        <w:rPr>
          <w:sz w:val="20"/>
          <w:szCs w:val="20"/>
          <w:color w:val="auto"/>
        </w:rPr>
      </w:pPr>
    </w:p>
    <w:p>
      <w:pPr>
        <w:ind w:right="19" w:firstLine="362"/>
        <w:spacing w:after="0" w:line="253" w:lineRule="auto"/>
        <w:rPr>
          <w:sz w:val="20"/>
          <w:szCs w:val="20"/>
          <w:color w:val="auto"/>
        </w:rPr>
      </w:pPr>
      <w:r>
        <w:rPr>
          <w:rFonts w:ascii="Times New Roman" w:cs="Times New Roman" w:eastAsia="Times New Roman" w:hAnsi="Times New Roman"/>
          <w:sz w:val="15"/>
          <w:szCs w:val="15"/>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or will file a copy of the form of indenture as an exhibit to the registration statement in which this prospectus is included. The indenture will be subject to and governed by the terms of the Trust Indenture Act of 1939.</w:t>
      </w:r>
    </w:p>
    <w:p>
      <w:pPr>
        <w:spacing w:after="0" w:line="155" w:lineRule="exact"/>
        <w:rPr>
          <w:sz w:val="20"/>
          <w:szCs w:val="20"/>
          <w:color w:val="auto"/>
        </w:rPr>
      </w:pPr>
    </w:p>
    <w:p>
      <w:pPr>
        <w:ind w:right="279" w:firstLine="362"/>
        <w:spacing w:after="0" w:line="255" w:lineRule="auto"/>
        <w:rPr>
          <w:sz w:val="20"/>
          <w:szCs w:val="20"/>
          <w:color w:val="auto"/>
        </w:rPr>
      </w:pPr>
      <w:r>
        <w:rPr>
          <w:rFonts w:ascii="Times New Roman" w:cs="Times New Roman" w:eastAsia="Times New Roman" w:hAnsi="Times New Roman"/>
          <w:sz w:val="15"/>
          <w:szCs w:val="15"/>
          <w:color w:val="auto"/>
        </w:rPr>
        <w:t>We may offer under this prospectus up to an aggregate principal amount of $400,000,000 in debt securities, or if debt securities are issued at a discount, or in a foreign currency, foreign currency units or composite currency, the principal amount as may be sold for an aggregate initial public offering price of up to $400,000,000. Unless otherwise specified in the applicable prospectus supplement, the debt securities will represent direct, unsecured obligations of our company and will rank equally with all of our other unsecured indebtedness.</w:t>
      </w:r>
    </w:p>
    <w:p>
      <w:pPr>
        <w:spacing w:after="0" w:line="153" w:lineRule="exact"/>
        <w:rPr>
          <w:sz w:val="20"/>
          <w:szCs w:val="20"/>
          <w:color w:val="auto"/>
        </w:rPr>
      </w:pPr>
    </w:p>
    <w:p>
      <w:pPr>
        <w:ind w:right="279" w:firstLine="362"/>
        <w:spacing w:after="0" w:line="273" w:lineRule="auto"/>
        <w:rPr>
          <w:sz w:val="20"/>
          <w:szCs w:val="20"/>
          <w:color w:val="auto"/>
        </w:rPr>
      </w:pPr>
      <w:r>
        <w:rPr>
          <w:rFonts w:ascii="Times New Roman" w:cs="Times New Roman" w:eastAsia="Times New Roman" w:hAnsi="Times New Roman"/>
          <w:sz w:val="15"/>
          <w:szCs w:val="15"/>
          <w:color w:val="auto"/>
        </w:rPr>
        <w:t>The following statements relating to the debt securities and the indenture are summaries, qualified in their entirety by reference to the detailed provisions of the indenture and the final form indenture as may be filed with a future prospectus supplement.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95" w:lineRule="exact"/>
        <w:rPr>
          <w:sz w:val="20"/>
          <w:szCs w:val="20"/>
          <w:color w:val="auto"/>
        </w:rPr>
      </w:pPr>
    </w:p>
    <w:p>
      <w:pPr>
        <w:ind w:right="59" w:firstLine="362"/>
        <w:spacing w:after="0" w:line="273" w:lineRule="auto"/>
        <w:rPr>
          <w:sz w:val="20"/>
          <w:szCs w:val="20"/>
          <w:color w:val="auto"/>
        </w:rPr>
      </w:pPr>
      <w:r>
        <w:rPr>
          <w:rFonts w:ascii="Times New Roman" w:cs="Times New Roman" w:eastAsia="Times New Roman" w:hAnsi="Times New Roman"/>
          <w:sz w:val="15"/>
          <w:szCs w:val="15"/>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40" w:lineRule="exact"/>
        <w:rPr>
          <w:sz w:val="20"/>
          <w:szCs w:val="20"/>
          <w:color w:val="auto"/>
        </w:rPr>
      </w:pPr>
    </w:p>
    <w:p>
      <w:pPr>
        <w:ind w:right="399" w:firstLine="362"/>
        <w:spacing w:after="0" w:line="273" w:lineRule="auto"/>
        <w:rPr>
          <w:sz w:val="20"/>
          <w:szCs w:val="20"/>
          <w:color w:val="auto"/>
        </w:rPr>
      </w:pPr>
      <w:r>
        <w:rPr>
          <w:rFonts w:ascii="Times New Roman" w:cs="Times New Roman" w:eastAsia="Times New Roman" w:hAnsi="Times New Roman"/>
          <w:sz w:val="15"/>
          <w:szCs w:val="15"/>
          <w:color w:val="auto"/>
        </w:rPr>
        <w:t>The prospectus supplement will set forth, to the extent required, the following terms of the debt securities in respect of which the prospectus supplement is delivered:</w:t>
      </w:r>
    </w:p>
    <w:p>
      <w:pPr>
        <w:spacing w:after="0" w:line="62" w:lineRule="exact"/>
        <w:rPr>
          <w:sz w:val="20"/>
          <w:szCs w:val="20"/>
          <w:color w:val="auto"/>
        </w:rPr>
      </w:pPr>
    </w:p>
    <w:p>
      <w:pPr>
        <w:ind w:left="800" w:hanging="354"/>
        <w:spacing w:after="0"/>
        <w:tabs>
          <w:tab w:leader="none" w:pos="8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the series;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principal amount;</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 price or prices, expressed as a percentage of the aggregate principal amount of the debt securities;</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 on the aggregate principal amount;</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on which the debt securities will be issued and on which principal of, and premium, if any, is payable;</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interest rate or rates (which may be fixed or variable) or, if applicable, the method used to determine such rate or rates;</w:t>
      </w:r>
    </w:p>
    <w:p>
      <w:pPr>
        <w:spacing w:after="0" w:line="104" w:lineRule="exact"/>
        <w:rPr>
          <w:rFonts w:ascii="Times New Roman" w:cs="Times New Roman" w:eastAsia="Times New Roman" w:hAnsi="Times New Roman"/>
          <w:sz w:val="15"/>
          <w:szCs w:val="15"/>
          <w:color w:val="auto"/>
        </w:rPr>
      </w:pPr>
    </w:p>
    <w:p>
      <w:pPr>
        <w:jc w:val="both"/>
        <w:ind w:left="800" w:right="379" w:hanging="354"/>
        <w:spacing w:after="0" w:line="260" w:lineRule="auto"/>
        <w:tabs>
          <w:tab w:leader="none" w:pos="8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from which interest will accrue, the interest payment date or dates on which interest will be payable and any regular record date for the interest payable, and the basis upon which interest will be calculated if other than that of a 360-day year of twelve 30-day months;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9039"/>
          </w:cols>
          <w:pgMar w:left="1420" w:top="245" w:right="1440" w:bottom="1440" w:gutter="0" w:footer="0" w:header="0"/>
        </w:sectPr>
      </w:pPr>
    </w:p>
    <w:bookmarkStart w:id="63" w:name="page64"/>
    <w:bookmarkEnd w:id="63"/>
    <w:p>
      <w:pPr>
        <w:ind w:left="800" w:hanging="354"/>
        <w:spacing w:after="0"/>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the place or places where principal and, if applicable, premium and interest, is payable;</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upon which we may, or the holders may require us to, redeem or repurchase the debt securities;</w:t>
      </w:r>
    </w:p>
    <w:p>
      <w:pPr>
        <w:spacing w:after="0" w:line="104" w:lineRule="exact"/>
        <w:rPr>
          <w:rFonts w:ascii="Times New Roman" w:cs="Times New Roman" w:eastAsia="Times New Roman" w:hAnsi="Times New Roman"/>
          <w:sz w:val="15"/>
          <w:szCs w:val="15"/>
          <w:color w:val="auto"/>
        </w:rPr>
      </w:pPr>
    </w:p>
    <w:p>
      <w:pPr>
        <w:ind w:left="800" w:right="120" w:hanging="354"/>
        <w:spacing w:after="0" w:line="273" w:lineRule="auto"/>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denominations in which such debt securities may be issuable, if other than a minimum denomination of $2,000 or an integral multiple of $1,000 in excess thereof;</w:t>
      </w:r>
    </w:p>
    <w:p>
      <w:pPr>
        <w:spacing w:after="0" w:line="61" w:lineRule="exact"/>
        <w:rPr>
          <w:rFonts w:ascii="Times New Roman" w:cs="Times New Roman" w:eastAsia="Times New Roman" w:hAnsi="Times New Roman"/>
          <w:sz w:val="15"/>
          <w:szCs w:val="15"/>
          <w:color w:val="auto"/>
        </w:rPr>
      </w:pPr>
    </w:p>
    <w:p>
      <w:pPr>
        <w:ind w:left="800" w:right="240" w:hanging="354"/>
        <w:spacing w:after="0" w:line="273" w:lineRule="auto"/>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are to be issuable in the form of certificated debt securities (as described below) or global debt securities (as described below);</w:t>
      </w:r>
    </w:p>
    <w:p>
      <w:pPr>
        <w:spacing w:after="0" w:line="61" w:lineRule="exact"/>
        <w:rPr>
          <w:rFonts w:ascii="Times New Roman" w:cs="Times New Roman" w:eastAsia="Times New Roman" w:hAnsi="Times New Roman"/>
          <w:sz w:val="15"/>
          <w:szCs w:val="15"/>
          <w:color w:val="auto"/>
        </w:rPr>
      </w:pPr>
    </w:p>
    <w:p>
      <w:pPr>
        <w:ind w:left="800" w:right="40" w:hanging="354"/>
        <w:spacing w:after="0" w:line="273" w:lineRule="auto"/>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principal amount that will be payable upon declaration of acceleration of the maturity date if other than the principal amount of the debt securities;</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of denomination;</w:t>
      </w:r>
    </w:p>
    <w:p>
      <w:pPr>
        <w:spacing w:after="0" w:line="104" w:lineRule="exact"/>
        <w:rPr>
          <w:rFonts w:ascii="Times New Roman" w:cs="Times New Roman" w:eastAsia="Times New Roman" w:hAnsi="Times New Roman"/>
          <w:sz w:val="15"/>
          <w:szCs w:val="15"/>
          <w:color w:val="auto"/>
        </w:rPr>
      </w:pPr>
    </w:p>
    <w:p>
      <w:pPr>
        <w:ind w:left="800" w:right="20" w:hanging="354"/>
        <w:spacing w:after="0" w:line="273" w:lineRule="auto"/>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of the currency, currencies or currency units in which payment of principal and, if applicable, premium and interest, will be made;</w:t>
      </w:r>
    </w:p>
    <w:p>
      <w:pPr>
        <w:spacing w:after="0" w:line="61" w:lineRule="exact"/>
        <w:rPr>
          <w:rFonts w:ascii="Times New Roman" w:cs="Times New Roman" w:eastAsia="Times New Roman" w:hAnsi="Times New Roman"/>
          <w:sz w:val="15"/>
          <w:szCs w:val="15"/>
          <w:color w:val="auto"/>
        </w:rPr>
      </w:pPr>
    </w:p>
    <w:p>
      <w:pPr>
        <w:ind w:left="800" w:right="40" w:hanging="354"/>
        <w:spacing w:after="0" w:line="310" w:lineRule="auto"/>
        <w:tabs>
          <w:tab w:leader="none" w:pos="8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38" w:lineRule="exact"/>
        <w:rPr>
          <w:rFonts w:ascii="Times New Roman" w:cs="Times New Roman" w:eastAsia="Times New Roman" w:hAnsi="Times New Roman"/>
          <w:sz w:val="14"/>
          <w:szCs w:val="14"/>
          <w:color w:val="auto"/>
        </w:rPr>
      </w:pPr>
    </w:p>
    <w:p>
      <w:pPr>
        <w:ind w:left="800" w:right="40" w:hanging="354"/>
        <w:spacing w:after="0" w:line="310" w:lineRule="auto"/>
        <w:tabs>
          <w:tab w:leader="none" w:pos="8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amounts of principal and, if applicable, premium and interest may be determined by reference to an index, including an index based on a currency or currencies other than in which the debt securities are payable, then the manner in which such amounts will be determined;</w:t>
      </w:r>
    </w:p>
    <w:p>
      <w:pPr>
        <w:spacing w:after="0" w:line="38" w:lineRule="exact"/>
        <w:rPr>
          <w:rFonts w:ascii="Times New Roman" w:cs="Times New Roman" w:eastAsia="Times New Roman" w:hAnsi="Times New Roman"/>
          <w:sz w:val="14"/>
          <w:szCs w:val="14"/>
          <w:color w:val="auto"/>
        </w:rPr>
      </w:pPr>
    </w:p>
    <w:p>
      <w:pPr>
        <w:ind w:left="800" w:hanging="354"/>
        <w:spacing w:after="0"/>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if any, relating to any collateral provided for such debt securities;</w:t>
      </w:r>
    </w:p>
    <w:p>
      <w:pPr>
        <w:spacing w:after="0" w:line="104" w:lineRule="exact"/>
        <w:rPr>
          <w:rFonts w:ascii="Times New Roman" w:cs="Times New Roman" w:eastAsia="Times New Roman" w:hAnsi="Times New Roman"/>
          <w:sz w:val="15"/>
          <w:szCs w:val="15"/>
          <w:color w:val="auto"/>
        </w:rPr>
      </w:pPr>
    </w:p>
    <w:p>
      <w:pPr>
        <w:jc w:val="both"/>
        <w:ind w:left="800" w:right="240" w:hanging="354"/>
        <w:spacing w:after="0" w:line="260" w:lineRule="auto"/>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will be guaranteed by any person or persons and, if so, the identity of such person or persons, the terms and conditions upon which such debt securities shall be guaranteed and, if applicable, the terms and conditions upon which such guarantees may be subordinated to other indebtedness of the respective guarantors;</w:t>
      </w:r>
    </w:p>
    <w:p>
      <w:pPr>
        <w:spacing w:after="0" w:line="7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 to or change in the covenants described in this prospectus or in the indenture;</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events of default, if not otherwise described below under “Events of Default”;</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if any, for conversion into or exchange for shares of our common stock or preferred stock;</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depositaries, interest rate calculation agents, exchange rate calculation agents or other agents;</w:t>
      </w:r>
    </w:p>
    <w:p>
      <w:pPr>
        <w:spacing w:after="0" w:line="104" w:lineRule="exact"/>
        <w:rPr>
          <w:rFonts w:ascii="Times New Roman" w:cs="Times New Roman" w:eastAsia="Times New Roman" w:hAnsi="Times New Roman"/>
          <w:sz w:val="15"/>
          <w:szCs w:val="15"/>
          <w:color w:val="auto"/>
        </w:rPr>
      </w:pPr>
    </w:p>
    <w:p>
      <w:pPr>
        <w:ind w:left="800" w:right="360" w:hanging="354"/>
        <w:spacing w:after="0" w:line="273" w:lineRule="auto"/>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if any, upon which the debt securities shall be subordinated in right of payment to other indebtedness of our company; and</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debt securities of such series.</w:t>
      </w:r>
    </w:p>
    <w:p>
      <w:pPr>
        <w:spacing w:after="0" w:line="182" w:lineRule="exact"/>
        <w:rPr>
          <w:sz w:val="20"/>
          <w:szCs w:val="20"/>
          <w:color w:val="auto"/>
        </w:rPr>
      </w:pPr>
    </w:p>
    <w:p>
      <w:pPr>
        <w:ind w:firstLine="362"/>
        <w:spacing w:after="0" w:line="255" w:lineRule="auto"/>
        <w:rPr>
          <w:sz w:val="20"/>
          <w:szCs w:val="20"/>
          <w:color w:val="auto"/>
        </w:rPr>
      </w:pPr>
      <w:r>
        <w:rPr>
          <w:rFonts w:ascii="Times New Roman" w:cs="Times New Roman" w:eastAsia="Times New Roman" w:hAnsi="Times New Roman"/>
          <w:sz w:val="15"/>
          <w:szCs w:val="15"/>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that apply to these debt securities in the applicable prospectus supplement.</w:t>
      </w:r>
    </w:p>
    <w:p>
      <w:pPr>
        <w:spacing w:after="0" w:line="153" w:lineRule="exact"/>
        <w:rPr>
          <w:sz w:val="20"/>
          <w:szCs w:val="20"/>
          <w:color w:val="auto"/>
        </w:rPr>
      </w:pPr>
    </w:p>
    <w:p>
      <w:pPr>
        <w:ind w:right="180" w:firstLine="362"/>
        <w:spacing w:after="0" w:line="260" w:lineRule="auto"/>
        <w:rPr>
          <w:sz w:val="20"/>
          <w:szCs w:val="20"/>
          <w:color w:val="auto"/>
        </w:rPr>
      </w:pPr>
      <w:r>
        <w:rPr>
          <w:rFonts w:ascii="Times New Roman" w:cs="Times New Roman" w:eastAsia="Times New Roman" w:hAnsi="Times New Roman"/>
          <w:sz w:val="15"/>
          <w:szCs w:val="15"/>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9040"/>
          </w:cols>
          <w:pgMar w:left="1420" w:top="247" w:right="1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Exchange and/or Conversion Rights</w:t>
      </w:r>
    </w:p>
    <w:p>
      <w:pPr>
        <w:spacing w:after="0" w:line="97" w:lineRule="exact"/>
        <w:rPr>
          <w:sz w:val="20"/>
          <w:szCs w:val="20"/>
          <w:color w:val="auto"/>
        </w:rPr>
      </w:pPr>
    </w:p>
    <w:p>
      <w:pPr>
        <w:ind w:right="360" w:firstLine="362"/>
        <w:spacing w:after="0" w:line="273" w:lineRule="auto"/>
        <w:rPr>
          <w:sz w:val="20"/>
          <w:szCs w:val="20"/>
          <w:color w:val="auto"/>
        </w:rPr>
      </w:pPr>
      <w:r>
        <w:rPr>
          <w:rFonts w:ascii="Times New Roman" w:cs="Times New Roman" w:eastAsia="Times New Roman" w:hAnsi="Times New Roman"/>
          <w:sz w:val="15"/>
          <w:szCs w:val="15"/>
          <w:color w:val="auto"/>
        </w:rPr>
        <w:t>We may issue debt securities which can be exchanged for or converted into shares of our common stock or preferred stock. If we do, we will describe the terms of exchange or conversion in the prospectus supplement relating to these debt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Transfer and Exchange</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We may issue debt securities that will be represented by either:</w:t>
      </w:r>
    </w:p>
    <w:p>
      <w:pPr>
        <w:spacing w:after="0" w:line="105" w:lineRule="exact"/>
        <w:rPr>
          <w:sz w:val="20"/>
          <w:szCs w:val="20"/>
          <w:color w:val="auto"/>
        </w:rPr>
      </w:pPr>
    </w:p>
    <w:p>
      <w:pPr>
        <w:ind w:left="800" w:hanging="354"/>
        <w:spacing w:after="0" w:line="273" w:lineRule="auto"/>
        <w:tabs>
          <w:tab w:leader="none" w:pos="8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“book-entry securities,” which means that there will be one or more global securities registered in the name of a depositary or a nominee of a depositary; or</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“certificated securities,” which means that they will be represented by a certificate issued in definitive registered form.</w:t>
      </w:r>
    </w:p>
    <w:p>
      <w:pPr>
        <w:spacing w:after="0" w:line="182" w:lineRule="exact"/>
        <w:rPr>
          <w:sz w:val="20"/>
          <w:szCs w:val="20"/>
          <w:color w:val="auto"/>
        </w:rPr>
      </w:pPr>
    </w:p>
    <w:p>
      <w:pPr>
        <w:ind w:right="620" w:firstLine="362"/>
        <w:spacing w:after="0" w:line="273" w:lineRule="auto"/>
        <w:rPr>
          <w:sz w:val="20"/>
          <w:szCs w:val="20"/>
          <w:color w:val="auto"/>
        </w:rPr>
      </w:pPr>
      <w:r>
        <w:rPr>
          <w:rFonts w:ascii="Times New Roman" w:cs="Times New Roman" w:eastAsia="Times New Roman" w:hAnsi="Times New Roman"/>
          <w:sz w:val="15"/>
          <w:szCs w:val="15"/>
          <w:color w:val="auto"/>
        </w:rPr>
        <w:t>We will specify in the prospectus supplement applicable to a particular offering whether the debt securities offered will be book-entry or certificated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Certificated Debt Securities</w:t>
      </w:r>
    </w:p>
    <w:p>
      <w:pPr>
        <w:spacing w:after="0" w:line="97" w:lineRule="exact"/>
        <w:rPr>
          <w:sz w:val="20"/>
          <w:szCs w:val="20"/>
          <w:color w:val="auto"/>
        </w:rPr>
      </w:pPr>
    </w:p>
    <w:p>
      <w:pPr>
        <w:ind w:right="120" w:firstLine="362"/>
        <w:spacing w:after="0" w:line="260" w:lineRule="auto"/>
        <w:rPr>
          <w:sz w:val="20"/>
          <w:szCs w:val="20"/>
          <w:color w:val="auto"/>
        </w:rPr>
      </w:pPr>
      <w:r>
        <w:rPr>
          <w:rFonts w:ascii="Times New Roman" w:cs="Times New Roman" w:eastAsia="Times New Roman" w:hAnsi="Times New Roman"/>
          <w:sz w:val="15"/>
          <w:szCs w:val="15"/>
          <w:color w:val="auto"/>
        </w:rPr>
        <w:t>If you hold certificated debt securities issued under an indenture, you may transfer or exchange such debt securities in accordance with the terms of the indenture. You will not be charged a service charge for any transfer or exchange of certificated debt securities but may be required to pay an amount sufficient to cover any tax or other governmental charge payable in connection with such transfer or exchange.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Global Securities</w:t>
      </w:r>
    </w:p>
    <w:p>
      <w:pPr>
        <w:spacing w:after="0" w:line="97" w:lineRule="exact"/>
        <w:rPr>
          <w:sz w:val="20"/>
          <w:szCs w:val="20"/>
          <w:color w:val="auto"/>
        </w:rPr>
      </w:pPr>
    </w:p>
    <w:p>
      <w:pPr>
        <w:ind w:right="140" w:firstLine="362"/>
        <w:spacing w:after="0" w:line="255" w:lineRule="auto"/>
        <w:rPr>
          <w:sz w:val="20"/>
          <w:szCs w:val="20"/>
          <w:color w:val="auto"/>
        </w:rPr>
      </w:pPr>
      <w:r>
        <w:rPr>
          <w:rFonts w:ascii="Times New Roman" w:cs="Times New Roman" w:eastAsia="Times New Roman" w:hAnsi="Times New Roman"/>
          <w:sz w:val="15"/>
          <w:szCs w:val="15"/>
          <w:color w:val="auto"/>
        </w:rPr>
        <w:t>The debt securities of a series may be issued in the form of one or more global securities that will be deposited with a depositary or its nominees identified in the prospectus supplement relating to the debt securities. In such a case, one or more global securities will be issued in a denomination or aggregate denominations equal to the portion of the aggregate principal amount of outstanding debt securities of the series to be represented by such global security or securities.</w:t>
      </w:r>
    </w:p>
    <w:p>
      <w:pPr>
        <w:spacing w:after="0" w:line="153" w:lineRule="exact"/>
        <w:rPr>
          <w:sz w:val="20"/>
          <w:szCs w:val="20"/>
          <w:color w:val="auto"/>
        </w:rPr>
      </w:pPr>
    </w:p>
    <w:p>
      <w:pPr>
        <w:ind w:right="160" w:firstLine="362"/>
        <w:spacing w:after="0" w:line="255" w:lineRule="auto"/>
        <w:rPr>
          <w:sz w:val="20"/>
          <w:szCs w:val="20"/>
          <w:color w:val="auto"/>
        </w:rPr>
      </w:pPr>
      <w:r>
        <w:rPr>
          <w:rFonts w:ascii="Times New Roman" w:cs="Times New Roman" w:eastAsia="Times New Roman" w:hAnsi="Times New Roman"/>
          <w:sz w:val="15"/>
          <w:szCs w:val="15"/>
          <w:color w:val="auto"/>
        </w:rPr>
        <w:t>Unless and until it is exchanged in whole or in part for debt securities in definitive registered form, a global security may not be registered for transfer or exchange except as a whole by the depositary for such global security to a nominee of the depositary and except in the circumstances described in the prospectus supplement relating to the debt securities. The specific terms of the depositary arrangement with respect to a series of debt securities will be described in the prospectus supplement relating to such series.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Protection in the Event of Change of Control</w:t>
      </w:r>
    </w:p>
    <w:p>
      <w:pPr>
        <w:spacing w:after="0" w:line="97" w:lineRule="exact"/>
        <w:rPr>
          <w:sz w:val="20"/>
          <w:szCs w:val="20"/>
          <w:color w:val="auto"/>
        </w:rPr>
      </w:pPr>
    </w:p>
    <w:p>
      <w:pPr>
        <w:ind w:right="100" w:firstLine="362"/>
        <w:spacing w:after="0" w:line="287" w:lineRule="auto"/>
        <w:rPr>
          <w:sz w:val="20"/>
          <w:szCs w:val="20"/>
          <w:color w:val="auto"/>
        </w:rPr>
      </w:pPr>
      <w:r>
        <w:rPr>
          <w:rFonts w:ascii="Times New Roman" w:cs="Times New Roman" w:eastAsia="Times New Roman" w:hAnsi="Times New Roman"/>
          <w:sz w:val="14"/>
          <w:szCs w:val="14"/>
          <w:color w:val="auto"/>
        </w:rPr>
        <w:t>Any provision in an indenture that governs our debt securities covered by this prospectus that includes any covenant or other provision providing for a put or increased interest or otherwise that would afford holders of our debt securities additional protection in the event of a recapitalization transaction, a change of control of our company, or a highly leveraged transaction will be described in the applicable prospectus supplement.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Covenants</w:t>
      </w:r>
    </w:p>
    <w:p>
      <w:pPr>
        <w:spacing w:after="0" w:line="97" w:lineRule="exact"/>
        <w:rPr>
          <w:sz w:val="20"/>
          <w:szCs w:val="20"/>
          <w:color w:val="auto"/>
        </w:rPr>
      </w:pPr>
    </w:p>
    <w:p>
      <w:pPr>
        <w:ind w:right="260" w:firstLine="362"/>
        <w:spacing w:after="0" w:line="260" w:lineRule="auto"/>
        <w:rPr>
          <w:sz w:val="20"/>
          <w:szCs w:val="20"/>
          <w:color w:val="auto"/>
        </w:rPr>
      </w:pPr>
      <w:r>
        <w:rPr>
          <w:rFonts w:ascii="Times New Roman" w:cs="Times New Roman" w:eastAsia="Times New Roman" w:hAnsi="Times New Roman"/>
          <w:sz w:val="15"/>
          <w:szCs w:val="15"/>
          <w:color w:val="auto"/>
        </w:rPr>
        <w:t>Unless otherwise indicated in this prospectus or the applicable prospectus supplement, our debt securities may not have the benefit of any covenant that limits or restricts our business or operations, the pledging of our assets or the incurrence by us of indebtedness. We will describe in the applicable prospectus supplement any material covenants in respect of a series of debt securities.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9040"/>
          </w:cols>
          <w:pgMar w:left="1420" w:top="243" w:right="1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Consolidation, Merger, Conveyance, Transfer or Lease</w:t>
      </w:r>
    </w:p>
    <w:p>
      <w:pPr>
        <w:spacing w:after="0" w:line="97" w:lineRule="exact"/>
        <w:rPr>
          <w:sz w:val="20"/>
          <w:szCs w:val="20"/>
          <w:color w:val="auto"/>
        </w:rPr>
      </w:pPr>
    </w:p>
    <w:p>
      <w:pPr>
        <w:jc w:val="both"/>
        <w:ind w:firstLine="362"/>
        <w:spacing w:after="0" w:line="260" w:lineRule="auto"/>
        <w:rPr>
          <w:sz w:val="20"/>
          <w:szCs w:val="20"/>
          <w:color w:val="auto"/>
        </w:rPr>
      </w:pPr>
      <w:r>
        <w:rPr>
          <w:rFonts w:ascii="Times New Roman" w:cs="Times New Roman" w:eastAsia="Times New Roman" w:hAnsi="Times New Roman"/>
          <w:sz w:val="15"/>
          <w:szCs w:val="15"/>
          <w:color w:val="auto"/>
        </w:rPr>
        <w:t>We may agree in any indenture that governs the debt securities of any series covered by this prospectus that we will not consolidate with or merge into any other person or convey, transfer or lease (as lessor) our properties and assets as, or substantially as, an entirety to any person, unless such person and such proposed transaction meets various criteria, which we will describe in detail in the applicable prospectus supplement.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Defaults and Notice</w:t>
      </w:r>
    </w:p>
    <w:p>
      <w:pPr>
        <w:spacing w:after="0" w:line="97" w:lineRule="exact"/>
        <w:rPr>
          <w:sz w:val="20"/>
          <w:szCs w:val="20"/>
          <w:color w:val="auto"/>
        </w:rPr>
      </w:pPr>
    </w:p>
    <w:p>
      <w:pPr>
        <w:jc w:val="both"/>
        <w:ind w:firstLine="362"/>
        <w:spacing w:after="0" w:line="273" w:lineRule="auto"/>
        <w:rPr>
          <w:sz w:val="20"/>
          <w:szCs w:val="20"/>
          <w:color w:val="auto"/>
        </w:rPr>
      </w:pPr>
      <w:r>
        <w:rPr>
          <w:rFonts w:ascii="Times New Roman" w:cs="Times New Roman" w:eastAsia="Times New Roman" w:hAnsi="Times New Roman"/>
          <w:sz w:val="15"/>
          <w:szCs w:val="15"/>
          <w:color w:val="auto"/>
        </w:rPr>
        <w:t>The debt securities of any series will contain events of default to be specified in the applicable prospectus supplement, which may include, without limitation:</w:t>
      </w:r>
    </w:p>
    <w:p>
      <w:pPr>
        <w:spacing w:after="0" w:line="62" w:lineRule="exact"/>
        <w:rPr>
          <w:sz w:val="20"/>
          <w:szCs w:val="20"/>
          <w:color w:val="auto"/>
        </w:rPr>
      </w:pPr>
    </w:p>
    <w:p>
      <w:pPr>
        <w:ind w:left="800" w:right="340" w:hanging="354"/>
        <w:spacing w:after="0" w:line="273" w:lineRule="auto"/>
        <w:tabs>
          <w:tab w:leader="none" w:pos="8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any interest upon any debt security of that series when it becomes due and payable, and continuance of such default for a period of 30 days;</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the principal of or any premium on any debt security of that series at its maturity;</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deposit of any sinking fund payment, when and as due by the terms of a debt security of that series;</w:t>
      </w:r>
    </w:p>
    <w:p>
      <w:pPr>
        <w:spacing w:after="0" w:line="104" w:lineRule="exact"/>
        <w:rPr>
          <w:rFonts w:ascii="Times New Roman" w:cs="Times New Roman" w:eastAsia="Times New Roman" w:hAnsi="Times New Roman"/>
          <w:sz w:val="15"/>
          <w:szCs w:val="15"/>
          <w:color w:val="auto"/>
        </w:rPr>
      </w:pPr>
    </w:p>
    <w:p>
      <w:pPr>
        <w:ind w:left="800" w:right="400" w:hanging="354"/>
        <w:spacing w:after="0" w:line="273" w:lineRule="auto"/>
        <w:tabs>
          <w:tab w:leader="none" w:pos="8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performance or breach of any other covenants or agreements in the indenture with respect to the debt securities of such series; and</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events relating to our bankruptcy, insolvency or reorganization.</w:t>
      </w:r>
    </w:p>
    <w:p>
      <w:pPr>
        <w:spacing w:after="0" w:line="182" w:lineRule="exact"/>
        <w:rPr>
          <w:sz w:val="20"/>
          <w:szCs w:val="20"/>
          <w:color w:val="auto"/>
        </w:rPr>
      </w:pPr>
    </w:p>
    <w:p>
      <w:pPr>
        <w:ind w:right="20" w:firstLine="362"/>
        <w:spacing w:after="0" w:line="252" w:lineRule="auto"/>
        <w:rPr>
          <w:sz w:val="20"/>
          <w:szCs w:val="20"/>
          <w:color w:val="auto"/>
        </w:rPr>
      </w:pPr>
      <w:r>
        <w:rPr>
          <w:rFonts w:ascii="Times New Roman" w:cs="Times New Roman" w:eastAsia="Times New Roman" w:hAnsi="Times New Roman"/>
          <w:sz w:val="15"/>
          <w:szCs w:val="15"/>
          <w:color w:val="auto"/>
        </w:rPr>
        <w:t>If an event of default with respect to debt securities of any series shall occur and be continuing, we may agree that the trustee or the holders of at least 25% in aggregate principal amount of the then outstanding debt securities of such series may declare the principal amount (or, if the debt securities of such series are issued at an original issue discount, such portion of the principal amount as may be specified in the terms of the debt securities of such series) of all debt securities of such series or such other amount or amounts as the debt securities or supplemental indenture with respect to such series may provide, to be due and payable immediately. Any provisions pertaining to events of default and any remedies associated therewith will be described in the applicable prospectus supplement.</w:t>
      </w:r>
    </w:p>
    <w:p>
      <w:pPr>
        <w:spacing w:after="0" w:line="155" w:lineRule="exact"/>
        <w:rPr>
          <w:sz w:val="20"/>
          <w:szCs w:val="20"/>
          <w:color w:val="auto"/>
        </w:rPr>
      </w:pPr>
    </w:p>
    <w:p>
      <w:pPr>
        <w:ind w:right="140" w:firstLine="362"/>
        <w:spacing w:after="0" w:line="251" w:lineRule="auto"/>
        <w:rPr>
          <w:sz w:val="20"/>
          <w:szCs w:val="20"/>
          <w:color w:val="auto"/>
        </w:rPr>
      </w:pPr>
      <w:r>
        <w:rPr>
          <w:rFonts w:ascii="Times New Roman" w:cs="Times New Roman" w:eastAsia="Times New Roman" w:hAnsi="Times New Roman"/>
          <w:sz w:val="15"/>
          <w:szCs w:val="15"/>
          <w:color w:val="auto"/>
        </w:rPr>
        <w:t>Any indenture that governs our debt securities covered by this prospectus may require that the trustee under such indenture shall, within 90 days after the occurrence of a default, give to holders of debt securities of any series notice of all uncured and unwaived defaults with respect to such series known to it. However, in the case of a default that results from the failure to make any payment of the principal of, premium, if any, or interest on the debt securities of any series, or in the payment of any sinking or purchase fund installment with respect to debt securities of such series, if any, the trustee may withhold such notice if it in good faith determines that the withholding of such notice is in the interest of the holders of debt securities of such series. Any terms and provisions relating to the foregoing types of provisions will be described in further detail in the applicable prospectus supplement.</w:t>
      </w:r>
    </w:p>
    <w:p>
      <w:pPr>
        <w:spacing w:after="0" w:line="156" w:lineRule="exact"/>
        <w:rPr>
          <w:sz w:val="20"/>
          <w:szCs w:val="20"/>
          <w:color w:val="auto"/>
        </w:rPr>
      </w:pPr>
    </w:p>
    <w:p>
      <w:pPr>
        <w:ind w:right="20" w:firstLine="362"/>
        <w:spacing w:after="0" w:line="251" w:lineRule="auto"/>
        <w:rPr>
          <w:sz w:val="20"/>
          <w:szCs w:val="20"/>
          <w:color w:val="auto"/>
        </w:rPr>
      </w:pPr>
      <w:r>
        <w:rPr>
          <w:rFonts w:ascii="Times New Roman" w:cs="Times New Roman" w:eastAsia="Times New Roman" w:hAnsi="Times New Roman"/>
          <w:sz w:val="15"/>
          <w:szCs w:val="15"/>
          <w:color w:val="auto"/>
        </w:rPr>
        <w:t>Any indenture that governs our debt securities covered by this prospectus will contain a provision entitling the trustee to be indemnified by holders of debt securities before proceeding to exercise any trust or power under the indenture at the request of such holders. Any such indenture may provide that the holders of at least a majority in aggregate principal amount of the then outstanding debt securities of any series may direct the time, method and place of conducting any proceedings for any remedy available to the trustee, or of exercising any trust or power conferred upon the trustee with respect to the debt securities of such series. However, the trustee under any such indenture may decline to follow any such direction if, among other reasons, the trustee determines in good faith that the actions or proceedings as directed may not lawfully be taken, would involve the trustee in personal liability or would be unduly prejudicial to the holders of the debt securities of such series not joining in such direction.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9040"/>
          </w:cols>
          <w:pgMar w:left="1420" w:top="243" w:right="1439" w:bottom="1440" w:gutter="0" w:footer="0" w:header="0"/>
        </w:sectPr>
      </w:pPr>
    </w:p>
    <w:bookmarkStart w:id="66" w:name="page67"/>
    <w:bookmarkEnd w:id="66"/>
    <w:p>
      <w:pPr>
        <w:ind w:right="20" w:firstLine="362"/>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Any indenture that governs our debt securities covered by this prospectus may endow the holders of such debt securities to institute a proceeding with respect to such indenture, subject to certain conditions, which will be specified in the applicable prospectus supplement and which may include, that the holders of at least a majority in aggregate principal amount of the debt securities of such series then outstanding make a written request upon the trustee to exercise its power under the indenture, indemnify the trustee and afford the trustee reasonable opportunity to act. Even so, such holders may have an absolute right to receipt of the principal of or premium, if any, and interest when due, to require conversion or exchange of debt securities if such indenture provides for convertibility or exchangeability at the option of the holder and to institute suit for the enforcement of such rights. Any terms and provisions relating to the foregoing types of provisions will be described in further detail in the applicable prospectus supplement.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Modification of the Indenture</w:t>
      </w:r>
    </w:p>
    <w:p>
      <w:pPr>
        <w:spacing w:after="0" w:line="97" w:lineRule="exact"/>
        <w:rPr>
          <w:sz w:val="20"/>
          <w:szCs w:val="20"/>
          <w:color w:val="auto"/>
        </w:rPr>
      </w:pPr>
    </w:p>
    <w:p>
      <w:pPr>
        <w:ind w:right="60" w:firstLine="362"/>
        <w:spacing w:after="0" w:line="273" w:lineRule="auto"/>
        <w:rPr>
          <w:sz w:val="20"/>
          <w:szCs w:val="20"/>
          <w:color w:val="auto"/>
        </w:rPr>
      </w:pPr>
      <w:r>
        <w:rPr>
          <w:rFonts w:ascii="Times New Roman" w:cs="Times New Roman" w:eastAsia="Times New Roman" w:hAnsi="Times New Roman"/>
          <w:sz w:val="15"/>
          <w:szCs w:val="15"/>
          <w:color w:val="auto"/>
        </w:rPr>
        <w:t>We and the trustee may modify any indenture that governs our debt securities of any series covered by this prospectus with or without the consent of the holders of such debt securities, under certain circumstances to be described in a prospectus supplement.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Defeasance; Satisfaction and Discharge</w:t>
      </w:r>
    </w:p>
    <w:p>
      <w:pPr>
        <w:spacing w:after="0" w:line="97" w:lineRule="exact"/>
        <w:rPr>
          <w:sz w:val="20"/>
          <w:szCs w:val="20"/>
          <w:color w:val="auto"/>
        </w:rPr>
      </w:pPr>
    </w:p>
    <w:p>
      <w:pPr>
        <w:ind w:right="40" w:firstLine="362"/>
        <w:spacing w:after="0" w:line="273" w:lineRule="auto"/>
        <w:rPr>
          <w:sz w:val="20"/>
          <w:szCs w:val="20"/>
          <w:color w:val="auto"/>
        </w:rPr>
      </w:pPr>
      <w:r>
        <w:rPr>
          <w:rFonts w:ascii="Times New Roman" w:cs="Times New Roman" w:eastAsia="Times New Roman" w:hAnsi="Times New Roman"/>
          <w:sz w:val="15"/>
          <w:szCs w:val="15"/>
          <w:color w:val="auto"/>
        </w:rPr>
        <w:t>The prospectus supplement will outline the conditions under which we may elect to have certain of our obligations under the indenture discharged and under which the indenture obligations will be deemed to be satisfied.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Regarding the Trustee</w:t>
      </w:r>
    </w:p>
    <w:p>
      <w:pPr>
        <w:spacing w:after="0" w:line="97" w:lineRule="exact"/>
        <w:rPr>
          <w:sz w:val="20"/>
          <w:szCs w:val="20"/>
          <w:color w:val="auto"/>
        </w:rPr>
      </w:pPr>
    </w:p>
    <w:p>
      <w:pPr>
        <w:ind w:firstLine="362"/>
        <w:spacing w:after="0" w:line="252" w:lineRule="auto"/>
        <w:rPr>
          <w:sz w:val="20"/>
          <w:szCs w:val="20"/>
          <w:color w:val="auto"/>
        </w:rPr>
      </w:pPr>
      <w:r>
        <w:rPr>
          <w:rFonts w:ascii="Times New Roman" w:cs="Times New Roman" w:eastAsia="Times New Roman" w:hAnsi="Times New Roman"/>
          <w:sz w:val="15"/>
          <w:szCs w:val="15"/>
          <w:color w:val="auto"/>
        </w:rPr>
        <w:t>We will identify the trustee and any relationship that we may have with such trustee, with respect to any series of debt securities, in the prospectus supplement relating to the applicable debt securities. You should note that if the trustee becomes a creditor of us,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Governing Law</w:t>
      </w:r>
    </w:p>
    <w:p>
      <w:pPr>
        <w:spacing w:after="0" w:line="97" w:lineRule="exact"/>
        <w:rPr>
          <w:sz w:val="20"/>
          <w:szCs w:val="20"/>
          <w:color w:val="auto"/>
        </w:rPr>
      </w:pPr>
    </w:p>
    <w:p>
      <w:pPr>
        <w:ind w:right="240" w:firstLine="362"/>
        <w:spacing w:after="0" w:line="273" w:lineRule="auto"/>
        <w:rPr>
          <w:sz w:val="20"/>
          <w:szCs w:val="20"/>
          <w:color w:val="auto"/>
        </w:rPr>
      </w:pPr>
      <w:r>
        <w:rPr>
          <w:rFonts w:ascii="Times New Roman" w:cs="Times New Roman" w:eastAsia="Times New Roman" w:hAnsi="Times New Roman"/>
          <w:sz w:val="15"/>
          <w:szCs w:val="15"/>
          <w:color w:val="auto"/>
        </w:rPr>
        <w:t>The law governing the indenture and the debt securities will be identified in the prospectus supplement relating to the applicable indenture and debt securities.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9040"/>
          </w:cols>
          <w:pgMar w:left="1420" w:top="247" w:right="1439" w:bottom="1440" w:gutter="0" w:footer="0" w:header="0"/>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DESCRIPTION OF OUR UNITS</w:t>
      </w:r>
    </w:p>
    <w:p>
      <w:pPr>
        <w:spacing w:after="0" w:line="184" w:lineRule="exact"/>
        <w:rPr>
          <w:sz w:val="20"/>
          <w:szCs w:val="20"/>
          <w:color w:val="auto"/>
        </w:rPr>
      </w:pPr>
    </w:p>
    <w:p>
      <w:pPr>
        <w:ind w:right="79" w:firstLine="362"/>
        <w:spacing w:after="0" w:line="252" w:lineRule="auto"/>
        <w:rPr>
          <w:sz w:val="20"/>
          <w:szCs w:val="20"/>
          <w:color w:val="auto"/>
        </w:rPr>
      </w:pPr>
      <w:r>
        <w:rPr>
          <w:rFonts w:ascii="Times New Roman" w:cs="Times New Roman" w:eastAsia="Times New Roman" w:hAnsi="Times New Roman"/>
          <w:sz w:val="15"/>
          <w:szCs w:val="15"/>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one or more of the securities that may be offered under this prospectus, in any combination,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55" w:lineRule="exact"/>
        <w:rPr>
          <w:sz w:val="20"/>
          <w:szCs w:val="20"/>
          <w:color w:val="auto"/>
        </w:rPr>
      </w:pPr>
    </w:p>
    <w:p>
      <w:pPr>
        <w:ind w:right="39" w:firstLine="362"/>
        <w:spacing w:after="0" w:line="253" w:lineRule="auto"/>
        <w:rPr>
          <w:sz w:val="20"/>
          <w:szCs w:val="20"/>
          <w:color w:val="auto"/>
        </w:rPr>
      </w:pPr>
      <w:r>
        <w:rPr>
          <w:rFonts w:ascii="Times New Roman" w:cs="Times New Roman" w:eastAsia="Times New Roman" w:hAnsi="Times New Roman"/>
          <w:sz w:val="15"/>
          <w:szCs w:val="15"/>
          <w:color w:val="auto"/>
        </w:rPr>
        <w:t>We will incorporate by reference into the registration statement of which this prospectus forms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95" w:lineRule="exact"/>
        <w:rPr>
          <w:sz w:val="20"/>
          <w:szCs w:val="20"/>
          <w:color w:val="auto"/>
        </w:rPr>
      </w:pPr>
    </w:p>
    <w:p>
      <w:pPr>
        <w:ind w:right="299" w:firstLine="362"/>
        <w:spacing w:after="0" w:line="255" w:lineRule="auto"/>
        <w:rPr>
          <w:sz w:val="20"/>
          <w:szCs w:val="20"/>
          <w:color w:val="auto"/>
        </w:rPr>
      </w:pPr>
      <w:r>
        <w:rPr>
          <w:rFonts w:ascii="Times New Roman" w:cs="Times New Roman" w:eastAsia="Times New Roman" w:hAnsi="Times New Roman"/>
          <w:sz w:val="15"/>
          <w:szCs w:val="15"/>
          <w:color w:val="auto"/>
        </w:rPr>
        <w:t>We may issue units comprised of one or more of the securities that may be offered under this prospectus.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will describe in the applicable prospectus supplement the terms of the series of units, including:</w:t>
      </w:r>
    </w:p>
    <w:p>
      <w:pPr>
        <w:spacing w:after="0" w:line="105" w:lineRule="exact"/>
        <w:rPr>
          <w:sz w:val="20"/>
          <w:szCs w:val="20"/>
          <w:color w:val="auto"/>
        </w:rPr>
      </w:pPr>
    </w:p>
    <w:p>
      <w:pPr>
        <w:ind w:left="800" w:right="179" w:hanging="354"/>
        <w:spacing w:after="0" w:line="273" w:lineRule="auto"/>
        <w:tabs>
          <w:tab w:leader="none" w:pos="8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the units and of the securities comprising the units, including whether, and under what circumstances, those securities may be held or transferred separately;</w:t>
      </w:r>
    </w:p>
    <w:p>
      <w:pPr>
        <w:spacing w:after="0" w:line="61"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and obligations of the unit agent, if any;</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of the governing unit agreement that differ from those described below; and</w:t>
      </w:r>
    </w:p>
    <w:p>
      <w:pPr>
        <w:spacing w:after="0" w:line="104" w:lineRule="exact"/>
        <w:rPr>
          <w:rFonts w:ascii="Times New Roman" w:cs="Times New Roman" w:eastAsia="Times New Roman" w:hAnsi="Times New Roman"/>
          <w:sz w:val="15"/>
          <w:szCs w:val="15"/>
          <w:color w:val="auto"/>
        </w:rPr>
      </w:pPr>
    </w:p>
    <w:p>
      <w:pPr>
        <w:ind w:left="800" w:hanging="354"/>
        <w:spacing w:after="0"/>
        <w:tabs>
          <w:tab w:leader="none" w:pos="8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the issuance, payment, settlement, transfer or exchange of the units or of the securities comprising the units.</w:t>
      </w:r>
    </w:p>
    <w:p>
      <w:pPr>
        <w:spacing w:after="0" w:line="182" w:lineRule="exact"/>
        <w:rPr>
          <w:sz w:val="20"/>
          <w:szCs w:val="20"/>
          <w:color w:val="auto"/>
        </w:rPr>
      </w:pPr>
    </w:p>
    <w:p>
      <w:pPr>
        <w:ind w:right="19" w:firstLine="362"/>
        <w:spacing w:after="0" w:line="260" w:lineRule="auto"/>
        <w:rPr>
          <w:sz w:val="20"/>
          <w:szCs w:val="20"/>
          <w:color w:val="auto"/>
        </w:rPr>
      </w:pPr>
      <w:r>
        <w:rPr>
          <w:rFonts w:ascii="Times New Roman" w:cs="Times New Roman" w:eastAsia="Times New Roman" w:hAnsi="Times New Roman"/>
          <w:sz w:val="15"/>
          <w:szCs w:val="15"/>
          <w:color w:val="auto"/>
        </w:rPr>
        <w:t>The provisions described in this section, as well as those described under “Description of Our Common Stock,” “Description of our Preferred Stock,” “Description of Our Debt Securities” and “Description of Our Warrants,” will apply to each unit and to any common stock, preferred stock, debt securities or warrants included in each unit,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Issuance in Series</w: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We may issue units in such amounts and in numerous distinct series as we determine.</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9039"/>
          </w:cols>
          <w:pgMar w:left="1420" w:top="245" w:right="144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WHERE YOU CAN FIND MORE INFORMATION</w:t>
      </w:r>
    </w:p>
    <w:p>
      <w:pPr>
        <w:spacing w:after="0" w:line="184" w:lineRule="exact"/>
        <w:rPr>
          <w:sz w:val="20"/>
          <w:szCs w:val="20"/>
          <w:color w:val="auto"/>
        </w:rPr>
      </w:pPr>
    </w:p>
    <w:p>
      <w:pPr>
        <w:ind w:right="80" w:firstLine="362"/>
        <w:spacing w:after="0" w:line="252" w:lineRule="auto"/>
        <w:rPr>
          <w:sz w:val="20"/>
          <w:szCs w:val="20"/>
          <w:color w:val="auto"/>
        </w:rPr>
      </w:pPr>
      <w:r>
        <w:rPr>
          <w:rFonts w:ascii="Times New Roman" w:cs="Times New Roman" w:eastAsia="Times New Roman" w:hAnsi="Times New Roman"/>
          <w:sz w:val="15"/>
          <w:szCs w:val="15"/>
          <w:color w:val="auto"/>
        </w:rPr>
        <w:t>We file annual, quarterly and current reports, proxy statements and other information with the SEC. The SEC maintains an Internet website at www.sec.gov that contains reports, proxy and information statements, and other information regarding issuers that file electronically with the SEC. Our reports on Forms 10-K, 10-Q and 8-K, and amendments to those reports, are also available for download, free of charge, as soon as reasonably practicable after these reports are filed with, or furnished to, the SEC, at our website at www.invivyd.com. Information contained on or accessible through our website is not a part of this prospectus or any prospectus supplement, and the inclusion of our website address in this prospectus is an inactive textual reference only.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p>
      <w:pPr>
        <w:spacing w:after="0" w:line="184" w:lineRule="exact"/>
        <w:rPr>
          <w:sz w:val="20"/>
          <w:szCs w:val="20"/>
          <w:color w:val="auto"/>
        </w:rPr>
      </w:pPr>
    </w:p>
    <w:p>
      <w:pPr>
        <w:ind w:right="120" w:firstLine="362"/>
        <w:spacing w:after="0" w:line="269"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in other documents that we file with it. This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 We incorporate by reference in this prospectus (i) the documents listed below,</w:t>
      </w:r>
    </w:p>
    <w:p>
      <w:pPr>
        <w:spacing w:after="0" w:line="2" w:lineRule="exact"/>
        <w:rPr>
          <w:sz w:val="20"/>
          <w:szCs w:val="20"/>
          <w:color w:val="auto"/>
        </w:rPr>
      </w:pPr>
    </w:p>
    <w:p>
      <w:pPr>
        <w:ind w:right="100" w:firstLine="2"/>
        <w:spacing w:after="0" w:line="248" w:lineRule="auto"/>
        <w:tabs>
          <w:tab w:leader="none" w:pos="217"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documents that we file with the SEC under Section 13(a), 13(c), 14 or 15(d) of the Exchange Act after the date of the initial filing of the registration statement of which this prospectus is included and prior to the effectiveness of such registration statement, and (iii) and any future filings that we may make with the SEC under Sections 13(a), 13(c), 14, or 15(d) of the Exchange Act prior to the termination of the offering under this prospectus; provided, however, that we are not incorporating, in each case, any documents or information deemed to have been furnished and not filed, including any information that we disclose under Items 2.02 or 7.01 of any Current Report on Form 8-K, in accordance with SEC rules:</w:t>
      </w:r>
    </w:p>
    <w:p>
      <w:pPr>
        <w:spacing w:after="0" w:line="80" w:lineRule="exact"/>
        <w:rPr>
          <w:rFonts w:ascii="Times New Roman" w:cs="Times New Roman" w:eastAsia="Times New Roman" w:hAnsi="Times New Roman"/>
          <w:sz w:val="15"/>
          <w:szCs w:val="15"/>
          <w:color w:val="auto"/>
        </w:rPr>
      </w:pPr>
    </w:p>
    <w:p>
      <w:pPr>
        <w:ind w:left="800" w:right="40" w:hanging="354"/>
        <w:spacing w:after="0" w:line="273" w:lineRule="auto"/>
        <w:tabs>
          <w:tab w:leader="none" w:pos="80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97">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for the fiscal year ended December 31, 2021, filed with the SEC on March 31, 2022 (as amended by the Annual Report on </w:t>
      </w:r>
      <w:hyperlink r:id="rId98">
        <w:r>
          <w:rPr>
            <w:rFonts w:ascii="Times New Roman" w:cs="Times New Roman" w:eastAsia="Times New Roman" w:hAnsi="Times New Roman"/>
            <w:sz w:val="15"/>
            <w:szCs w:val="15"/>
            <w:u w:val="single" w:color="auto"/>
            <w:color w:val="0000EE"/>
          </w:rPr>
          <w:t>Form 10-K/A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filed on April 29, 2022);</w:t>
      </w:r>
    </w:p>
    <w:p>
      <w:pPr>
        <w:spacing w:after="0" w:line="61" w:lineRule="exact"/>
        <w:rPr>
          <w:rFonts w:ascii="Times New Roman" w:cs="Times New Roman" w:eastAsia="Times New Roman" w:hAnsi="Times New Roman"/>
          <w:sz w:val="15"/>
          <w:szCs w:val="15"/>
          <w:color w:val="auto"/>
        </w:rPr>
      </w:pPr>
    </w:p>
    <w:p>
      <w:pPr>
        <w:ind w:left="800" w:right="200" w:hanging="354"/>
        <w:spacing w:after="0" w:line="273" w:lineRule="auto"/>
        <w:tabs>
          <w:tab w:leader="none" w:pos="800" w:val="left"/>
        </w:tabs>
        <w:numPr>
          <w:ilvl w:val="1"/>
          <w:numId w:val="47"/>
        </w:numPr>
        <w:rPr>
          <w:rFonts w:ascii="Times New Roman" w:cs="Times New Roman" w:eastAsia="Times New Roman" w:hAnsi="Times New Roman"/>
          <w:sz w:val="15"/>
          <w:szCs w:val="15"/>
          <w:color w:val="0000EE"/>
        </w:rPr>
      </w:pPr>
      <w:hyperlink r:id="rId99">
        <w:r>
          <w:rPr>
            <w:rFonts w:ascii="Times New Roman" w:cs="Times New Roman" w:eastAsia="Times New Roman" w:hAnsi="Times New Roman"/>
            <w:sz w:val="15"/>
            <w:szCs w:val="15"/>
            <w:color w:val="auto"/>
          </w:rPr>
          <w:t xml:space="preserve">our Quarterly Reports on Form 10-Q for the quarterly periods ended March 31, 2022 and June 30, 2022, filed with the SEC on </w:t>
        </w:r>
        <w:r>
          <w:rPr>
            <w:rFonts w:ascii="Times New Roman" w:cs="Times New Roman" w:eastAsia="Times New Roman" w:hAnsi="Times New Roman"/>
            <w:sz w:val="15"/>
            <w:szCs w:val="15"/>
            <w:u w:val="single" w:color="auto"/>
            <w:color w:val="0000EE"/>
          </w:rPr>
          <w:t>May 13,</w:t>
        </w:r>
      </w:hyperlink>
      <w:r>
        <w:rPr>
          <w:rFonts w:ascii="Times New Roman" w:cs="Times New Roman" w:eastAsia="Times New Roman" w:hAnsi="Times New Roman"/>
          <w:sz w:val="15"/>
          <w:szCs w:val="15"/>
          <w:color w:val="auto"/>
        </w:rPr>
        <w:t xml:space="preserve"> </w:t>
      </w:r>
      <w:hyperlink r:id="rId99">
        <w:r>
          <w:rPr>
            <w:rFonts w:ascii="Times New Roman" w:cs="Times New Roman" w:eastAsia="Times New Roman" w:hAnsi="Times New Roman"/>
            <w:sz w:val="15"/>
            <w:szCs w:val="15"/>
            <w:u w:val="single" w:color="auto"/>
            <w:color w:val="0000EE"/>
          </w:rPr>
          <w:t>2022</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and</w:t>
        </w:r>
        <w:r>
          <w:rPr>
            <w:rFonts w:ascii="Times New Roman" w:cs="Times New Roman" w:eastAsia="Times New Roman" w:hAnsi="Times New Roman"/>
            <w:sz w:val="15"/>
            <w:szCs w:val="15"/>
            <w:color w:val="0000EE"/>
          </w:rPr>
          <w:t xml:space="preserve"> </w:t>
        </w:r>
      </w:hyperlink>
      <w:hyperlink r:id="rId100">
        <w:r>
          <w:rPr>
            <w:rFonts w:ascii="Times New Roman" w:cs="Times New Roman" w:eastAsia="Times New Roman" w:hAnsi="Times New Roman"/>
            <w:sz w:val="15"/>
            <w:szCs w:val="15"/>
            <w:u w:val="single" w:color="auto"/>
            <w:color w:val="0000EE"/>
          </w:rPr>
          <w:t>August 15, 2022</w:t>
        </w:r>
      </w:hyperlink>
      <w:hyperlink r:id="rId99">
        <w:r>
          <w:rPr>
            <w:rFonts w:ascii="Times New Roman" w:cs="Times New Roman" w:eastAsia="Times New Roman" w:hAnsi="Times New Roman"/>
            <w:sz w:val="15"/>
            <w:szCs w:val="15"/>
            <w:color w:val="000000"/>
          </w:rPr>
          <w:t>, respectively;</w:t>
        </w:r>
      </w:hyperlink>
    </w:p>
    <w:p>
      <w:pPr>
        <w:spacing w:after="0" w:line="61" w:lineRule="exact"/>
        <w:rPr>
          <w:rFonts w:ascii="Times New Roman" w:cs="Times New Roman" w:eastAsia="Times New Roman" w:hAnsi="Times New Roman"/>
          <w:sz w:val="15"/>
          <w:szCs w:val="15"/>
          <w:color w:val="0000EE"/>
        </w:rPr>
      </w:pPr>
    </w:p>
    <w:p>
      <w:pPr>
        <w:ind w:left="800" w:right="160" w:hanging="354"/>
        <w:spacing w:after="0" w:line="255" w:lineRule="auto"/>
        <w:tabs>
          <w:tab w:leader="none" w:pos="800" w:val="left"/>
        </w:tabs>
        <w:numPr>
          <w:ilvl w:val="1"/>
          <w:numId w:val="47"/>
        </w:numPr>
        <w:rPr>
          <w:rFonts w:ascii="Times New Roman" w:cs="Times New Roman" w:eastAsia="Times New Roman" w:hAnsi="Times New Roman"/>
          <w:sz w:val="15"/>
          <w:szCs w:val="15"/>
          <w:color w:val="0000EE"/>
        </w:rPr>
      </w:pPr>
      <w:hyperlink r:id="rId101">
        <w:r>
          <w:rPr>
            <w:rFonts w:ascii="Times New Roman" w:cs="Times New Roman" w:eastAsia="Times New Roman" w:hAnsi="Times New Roman"/>
            <w:sz w:val="15"/>
            <w:szCs w:val="15"/>
            <w:color w:val="auto"/>
          </w:rPr>
          <w:t xml:space="preserve">our Current Reports on Form 8-K (other than the portions thereof that are furnished and not filed) as filed with the SEC on </w:t>
        </w:r>
        <w:r>
          <w:rPr>
            <w:rFonts w:ascii="Times New Roman" w:cs="Times New Roman" w:eastAsia="Times New Roman" w:hAnsi="Times New Roman"/>
            <w:sz w:val="15"/>
            <w:szCs w:val="15"/>
            <w:u w:val="single" w:color="auto"/>
            <w:color w:val="0000EE"/>
          </w:rPr>
          <w:t>January 13,</w:t>
        </w:r>
      </w:hyperlink>
      <w:r>
        <w:rPr>
          <w:rFonts w:ascii="Times New Roman" w:cs="Times New Roman" w:eastAsia="Times New Roman" w:hAnsi="Times New Roman"/>
          <w:sz w:val="15"/>
          <w:szCs w:val="15"/>
          <w:color w:val="auto"/>
        </w:rPr>
        <w:t xml:space="preserve"> </w:t>
      </w:r>
      <w:hyperlink r:id="rId102">
        <w:r>
          <w:rPr>
            <w:rFonts w:ascii="Times New Roman" w:cs="Times New Roman" w:eastAsia="Times New Roman" w:hAnsi="Times New Roman"/>
            <w:sz w:val="15"/>
            <w:szCs w:val="15"/>
            <w:u w:val="single" w:color="auto"/>
            <w:color w:val="0000EE"/>
          </w:rPr>
          <w:t>2022, February 18, 2022, February 22, 2022, February 23, 2022</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(as amended by the Current Report on Form 8-K/A filed on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March 21,</w:t>
        </w:r>
      </w:hyperlink>
      <w:r>
        <w:rPr>
          <w:rFonts w:ascii="Times New Roman" w:cs="Times New Roman" w:eastAsia="Times New Roman" w:hAnsi="Times New Roman"/>
          <w:sz w:val="15"/>
          <w:szCs w:val="15"/>
          <w:color w:val="0000EE"/>
        </w:rPr>
        <w:t xml:space="preserve"> </w:t>
      </w:r>
      <w:hyperlink r:id="rId103">
        <w:r>
          <w:rPr>
            <w:rFonts w:ascii="Times New Roman" w:cs="Times New Roman" w:eastAsia="Times New Roman" w:hAnsi="Times New Roman"/>
            <w:sz w:val="15"/>
            <w:szCs w:val="15"/>
            <w:u w:val="single" w:color="auto"/>
            <w:color w:val="0000EE"/>
          </w:rPr>
          <w:t>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March 1, 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March 21, 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May 19, 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June 21, 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June 22, 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June 30, 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July 5, 2022</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September 12,</w:t>
        </w:r>
      </w:hyperlink>
      <w:r>
        <w:rPr>
          <w:rFonts w:ascii="Times New Roman" w:cs="Times New Roman" w:eastAsia="Times New Roman" w:hAnsi="Times New Roman"/>
          <w:sz w:val="15"/>
          <w:szCs w:val="15"/>
          <w:color w:val="0000EE"/>
        </w:rPr>
        <w:t xml:space="preserve"> </w:t>
      </w:r>
      <w:hyperlink r:id="rId103">
        <w:r>
          <w:rPr>
            <w:rFonts w:ascii="Times New Roman" w:cs="Times New Roman" w:eastAsia="Times New Roman" w:hAnsi="Times New Roman"/>
            <w:sz w:val="15"/>
            <w:szCs w:val="15"/>
            <w:u w:val="single" w:color="auto"/>
            <w:color w:val="0000EE"/>
          </w:rPr>
          <w:t>2022</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and</w:t>
        </w:r>
        <w:r>
          <w:rPr>
            <w:rFonts w:ascii="Times New Roman" w:cs="Times New Roman" w:eastAsia="Times New Roman" w:hAnsi="Times New Roman"/>
            <w:sz w:val="15"/>
            <w:szCs w:val="15"/>
            <w:color w:val="0000EE"/>
          </w:rPr>
          <w:t xml:space="preserve"> </w:t>
        </w:r>
      </w:hyperlink>
      <w:hyperlink r:id="rId104">
        <w:r>
          <w:rPr>
            <w:rFonts w:ascii="Times New Roman" w:cs="Times New Roman" w:eastAsia="Times New Roman" w:hAnsi="Times New Roman"/>
            <w:sz w:val="15"/>
            <w:szCs w:val="15"/>
            <w:u w:val="single" w:color="auto"/>
            <w:color w:val="0000EE"/>
          </w:rPr>
          <w:t>September 13, 2022</w:t>
        </w:r>
      </w:hyperlink>
      <w:hyperlink r:id="rId103">
        <w:r>
          <w:rPr>
            <w:rFonts w:ascii="Times New Roman" w:cs="Times New Roman" w:eastAsia="Times New Roman" w:hAnsi="Times New Roman"/>
            <w:sz w:val="15"/>
            <w:szCs w:val="15"/>
            <w:color w:val="000000"/>
          </w:rPr>
          <w:t>; and</w:t>
        </w:r>
      </w:hyperlink>
    </w:p>
    <w:p>
      <w:pPr>
        <w:spacing w:after="0" w:line="75" w:lineRule="exact"/>
        <w:rPr>
          <w:rFonts w:ascii="Times New Roman" w:cs="Times New Roman" w:eastAsia="Times New Roman" w:hAnsi="Times New Roman"/>
          <w:sz w:val="15"/>
          <w:szCs w:val="15"/>
          <w:color w:val="0000EE"/>
        </w:rPr>
      </w:pPr>
    </w:p>
    <w:p>
      <w:pPr>
        <w:ind w:left="800" w:right="160" w:hanging="354"/>
        <w:spacing w:after="0" w:line="260" w:lineRule="auto"/>
        <w:tabs>
          <w:tab w:leader="none" w:pos="800" w:val="left"/>
        </w:tabs>
        <w:numPr>
          <w:ilvl w:val="1"/>
          <w:numId w:val="47"/>
        </w:numPr>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 xml:space="preserve">the description of our common stock contained in our Registration Statement on </w:t>
      </w:r>
      <w:hyperlink r:id="rId105">
        <w:r>
          <w:rPr>
            <w:rFonts w:ascii="Times New Roman" w:cs="Times New Roman" w:eastAsia="Times New Roman" w:hAnsi="Times New Roman"/>
            <w:sz w:val="15"/>
            <w:szCs w:val="15"/>
            <w:u w:val="single" w:color="auto"/>
            <w:color w:val="0000EE"/>
          </w:rPr>
          <w:t>Form 8-A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filed on August 3, 2021, as updated by </w:t>
      </w:r>
      <w:hyperlink r:id="rId106">
        <w:r>
          <w:rPr>
            <w:rFonts w:ascii="Times New Roman" w:cs="Times New Roman" w:eastAsia="Times New Roman" w:hAnsi="Times New Roman"/>
            <w:sz w:val="15"/>
            <w:szCs w:val="15"/>
            <w:u w:val="single" w:color="auto"/>
            <w:color w:val="0000EE"/>
          </w:rPr>
          <w:t>Exhibit 4.2</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to</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our Annual Report on Form 10-K for the fiscal year ended December 31, 2021, including any amendments or reports filed</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for the purpose of updating such description.</w:t>
      </w:r>
    </w:p>
    <w:p>
      <w:pPr>
        <w:spacing w:after="0" w:line="149" w:lineRule="exact"/>
        <w:rPr>
          <w:rFonts w:ascii="Times New Roman" w:cs="Times New Roman" w:eastAsia="Times New Roman" w:hAnsi="Times New Roman"/>
          <w:sz w:val="15"/>
          <w:szCs w:val="15"/>
          <w:color w:val="auto"/>
        </w:rPr>
      </w:pPr>
    </w:p>
    <w:p>
      <w:pPr>
        <w:ind w:firstLine="362"/>
        <w:spacing w:after="0" w:line="255" w:lineRule="auto"/>
        <w:rPr>
          <w:sz w:val="20"/>
          <w:szCs w:val="20"/>
          <w:color w:val="auto"/>
        </w:rPr>
      </w:pPr>
      <w:r>
        <w:rPr>
          <w:rFonts w:ascii="Times New Roman" w:cs="Times New Roman" w:eastAsia="Times New Roman" w:hAnsi="Times New Roman"/>
          <w:sz w:val="15"/>
          <w:szCs w:val="15"/>
          <w:color w:val="auto"/>
        </w:rPr>
        <w:t>You may request, orally or in writing, a copy of any or all of the documents incorporated herein by reference. These documents will be provided to you at no cost, by contacting: Invivyd, Inc., Corporate Secretary, at 1601 Trapelo Road, Suite 178, Waltham, MA 02451 or (781) 819-0080. In addition, copies of any or all of the documents incorporated herein by reference may be accessed at our website at www.invivyd.com. The information on such website is not incorporated by reference and is not a part of this prospectus.</w:t>
      </w:r>
    </w:p>
    <w:p>
      <w:pPr>
        <w:spacing w:after="0" w:line="98"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9040"/>
          </w:cols>
          <w:pgMar w:left="1420" w:top="245" w:right="14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LEGAL MATTERS</w:t>
      </w:r>
    </w:p>
    <w:p>
      <w:pPr>
        <w:spacing w:after="0" w:line="184" w:lineRule="exact"/>
        <w:rPr>
          <w:sz w:val="20"/>
          <w:szCs w:val="20"/>
          <w:color w:val="auto"/>
        </w:rPr>
      </w:pPr>
    </w:p>
    <w:p>
      <w:pPr>
        <w:jc w:val="both"/>
        <w:ind w:right="79" w:firstLine="362"/>
        <w:spacing w:after="0" w:line="260" w:lineRule="auto"/>
        <w:rPr>
          <w:sz w:val="20"/>
          <w:szCs w:val="20"/>
          <w:color w:val="auto"/>
        </w:rPr>
      </w:pPr>
      <w:r>
        <w:rPr>
          <w:rFonts w:ascii="Times New Roman" w:cs="Times New Roman" w:eastAsia="Times New Roman" w:hAnsi="Times New Roman"/>
          <w:sz w:val="15"/>
          <w:szCs w:val="15"/>
          <w:color w:val="auto"/>
        </w:rPr>
        <w:t>The validity of the issuance of the securities offered hereby will be passed upon for us by Hogan Lovells US LLP, Philadelphia, Pennsylvania. As appropriate, legal counsel representing the underwriters, dealers or agents will be named in the accompanying prospectus supplement and may opine to certain legal matters.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84" w:lineRule="exact"/>
        <w:rPr>
          <w:sz w:val="20"/>
          <w:szCs w:val="20"/>
          <w:color w:val="auto"/>
        </w:rPr>
      </w:pPr>
    </w:p>
    <w:p>
      <w:pPr>
        <w:ind w:right="139" w:firstLine="362"/>
        <w:spacing w:after="0" w:line="260" w:lineRule="auto"/>
        <w:rPr>
          <w:sz w:val="20"/>
          <w:szCs w:val="20"/>
          <w:color w:val="auto"/>
        </w:rPr>
      </w:pPr>
      <w:r>
        <w:rPr>
          <w:rFonts w:ascii="Times New Roman" w:cs="Times New Roman" w:eastAsia="Times New Roman" w:hAnsi="Times New Roman"/>
          <w:sz w:val="15"/>
          <w:szCs w:val="15"/>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9039"/>
          </w:cols>
          <w:pgMar w:left="1420" w:top="245" w:right="1440" w:bottom="1440" w:gutter="0" w:footer="0" w:header="0"/>
        </w:sectPr>
      </w:pPr>
    </w:p>
    <w:bookmarkStart w:id="70" w:name="page71"/>
    <w:bookmarkEnd w:id="70"/>
    <w:p>
      <w:pPr>
        <w:spacing w:after="0" w:line="2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96455" cy="33655"/>
                    </a:xfrm>
                    <a:prstGeom prst="rect">
                      <a:avLst/>
                    </a:prstGeom>
                    <a:noFill/>
                  </pic:spPr>
                </pic:pic>
              </a:graphicData>
            </a:graphic>
          </wp:anchor>
        </w:drawing>
        <w:drawing>
          <wp:anchor simplePos="0" relativeHeight="251657728" behindDoc="1" locked="0" layoutInCell="0" allowOverlap="1">
            <wp:simplePos x="0" y="0"/>
            <wp:positionH relativeFrom="page">
              <wp:posOffset>906780</wp:posOffset>
            </wp:positionH>
            <wp:positionV relativeFrom="page">
              <wp:posOffset>187325</wp:posOffset>
            </wp:positionV>
            <wp:extent cx="5742305"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5742305" cy="13970"/>
                    </a:xfrm>
                    <a:prstGeom prst="rect">
                      <a:avLst/>
                    </a:prstGeom>
                    <a:noFill/>
                  </pic:spPr>
                </pic:pic>
              </a:graphicData>
            </a:graphic>
          </wp:anchor>
        </w:drawing>
        <w:drawing>
          <wp:anchor simplePos="0" relativeHeight="251657728" behindDoc="1" locked="0" layoutInCell="0" allowOverlap="1">
            <wp:simplePos x="0" y="0"/>
            <wp:positionH relativeFrom="page">
              <wp:posOffset>906780</wp:posOffset>
            </wp:positionH>
            <wp:positionV relativeFrom="page">
              <wp:posOffset>229870</wp:posOffset>
            </wp:positionV>
            <wp:extent cx="574230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5742305" cy="6985"/>
                    </a:xfrm>
                    <a:prstGeom prst="rect">
                      <a:avLst/>
                    </a:prstGeom>
                    <a:noFill/>
                  </pic:spPr>
                </pic:pic>
              </a:graphicData>
            </a:graphic>
          </wp:anchor>
        </w:drawing>
        <w:drawing>
          <wp:anchor simplePos="0" relativeHeight="251657728" behindDoc="1" locked="0" layoutInCell="0" allowOverlap="1">
            <wp:simplePos x="0" y="0"/>
            <wp:positionH relativeFrom="page">
              <wp:posOffset>2708275</wp:posOffset>
            </wp:positionH>
            <wp:positionV relativeFrom="page">
              <wp:posOffset>518160</wp:posOffset>
            </wp:positionV>
            <wp:extent cx="2132330" cy="3378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2132330" cy="3378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74,811,404 Shares of Common Stock</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Pre-Funded Warrants to Purchase up to 21,342,442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1584960</wp:posOffset>
            </wp:positionV>
            <wp:extent cx="120332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201295</wp:posOffset>
            </wp:positionV>
            <wp:extent cx="120332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Sole Book-Running Manager</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August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574230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5742305" cy="69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407670</wp:posOffset>
            </wp:positionV>
            <wp:extent cx="5742305"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574230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1" w:name="page72"/>
    <w:bookmarkEnd w:id="71"/>
    <w:p>
      <w:pPr>
        <w:ind w:left="3380"/>
        <w:spacing w:after="0"/>
        <w:rPr>
          <w:sz w:val="20"/>
          <w:szCs w:val="20"/>
          <w:color w:val="auto"/>
        </w:rPr>
      </w:pPr>
      <w:r>
        <w:rPr>
          <w:rFonts w:ascii="Arial" w:cs="Arial" w:eastAsia="Arial" w:hAnsi="Arial"/>
          <w:sz w:val="30"/>
          <w:szCs w:val="30"/>
          <w:b w:val="1"/>
          <w:bCs w:val="1"/>
          <w:color w:val="auto"/>
        </w:rPr>
        <w:t>Calculation of Filing Fee Tables</w:t>
      </w:r>
    </w:p>
    <w:p>
      <w:pPr>
        <w:spacing w:after="0" w:line="176" w:lineRule="exact"/>
        <w:rPr>
          <w:sz w:val="20"/>
          <w:szCs w:val="20"/>
          <w:color w:val="auto"/>
        </w:rPr>
      </w:pPr>
    </w:p>
    <w:p>
      <w:pPr>
        <w:ind w:left="5340"/>
        <w:spacing w:after="0"/>
        <w:rPr>
          <w:sz w:val="20"/>
          <w:szCs w:val="20"/>
          <w:color w:val="auto"/>
        </w:rPr>
      </w:pPr>
      <w:r>
        <w:rPr>
          <w:rFonts w:ascii="Arial" w:cs="Arial" w:eastAsia="Arial" w:hAnsi="Arial"/>
          <w:sz w:val="30"/>
          <w:szCs w:val="30"/>
          <w:b w:val="1"/>
          <w:bCs w:val="1"/>
          <w:color w:val="auto"/>
        </w:rPr>
        <w:t>S-3</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30"/>
          <w:szCs w:val="30"/>
          <w:b w:val="1"/>
          <w:bCs w:val="1"/>
          <w:color w:val="auto"/>
        </w:rPr>
        <w:t>Invivyd, Inc.</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9"/>
          </w:tcPr>
          <w:p>
            <w:pPr>
              <w:spacing w:after="0"/>
              <w:rPr>
                <w:sz w:val="20"/>
                <w:szCs w:val="20"/>
                <w:color w:val="auto"/>
              </w:rPr>
            </w:pPr>
            <w:r>
              <w:rPr>
                <w:rFonts w:ascii="Arial" w:cs="Arial" w:eastAsia="Arial" w:hAnsi="Arial"/>
                <w:sz w:val="18"/>
                <w:szCs w:val="18"/>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ind w:left="2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05"/>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17"/>
                <w:szCs w:val="17"/>
                <w:color w:val="auto"/>
              </w:rPr>
            </w:pPr>
          </w:p>
        </w:tc>
        <w:tc>
          <w:tcPr>
            <w:tcW w:w="780" w:type="dxa"/>
            <w:vAlign w:val="bottom"/>
            <w:tcBorders>
              <w:right w:val="single" w:sz="8" w:color="9ADAF6"/>
            </w:tcBorders>
            <w:gridSpan w:val="2"/>
            <w:shd w:val="clear" w:color="auto" w:fill="9ADAF6"/>
          </w:tcPr>
          <w:p>
            <w:pPr>
              <w:spacing w:after="0"/>
              <w:rPr>
                <w:sz w:val="17"/>
                <w:szCs w:val="17"/>
                <w:color w:val="auto"/>
              </w:rPr>
            </w:pPr>
          </w:p>
        </w:tc>
        <w:tc>
          <w:tcPr>
            <w:tcW w:w="620" w:type="dxa"/>
            <w:vAlign w:val="bottom"/>
            <w:tcBorders>
              <w:right w:val="single" w:sz="8" w:color="9ADAF6"/>
            </w:tcBorders>
            <w:gridSpan w:val="6"/>
            <w:shd w:val="clear" w:color="auto" w:fill="9ADAF6"/>
          </w:tcPr>
          <w:p>
            <w:pPr>
              <w:spacing w:after="0"/>
              <w:rPr>
                <w:sz w:val="17"/>
                <w:szCs w:val="17"/>
                <w:color w:val="auto"/>
              </w:rPr>
            </w:pPr>
          </w:p>
        </w:tc>
        <w:tc>
          <w:tcPr>
            <w:tcW w:w="1320" w:type="dxa"/>
            <w:vAlign w:val="bottom"/>
            <w:gridSpan w:val="8"/>
            <w:shd w:val="clear" w:color="auto" w:fill="9ADAF6"/>
          </w:tcPr>
          <w:p>
            <w:pPr>
              <w:spacing w:after="0"/>
              <w:rPr>
                <w:sz w:val="17"/>
                <w:szCs w:val="17"/>
                <w:color w:val="auto"/>
              </w:rPr>
            </w:pP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Filing Fee</w:t>
            </w:r>
          </w:p>
        </w:tc>
        <w:tc>
          <w:tcPr>
            <w:tcW w:w="0" w:type="dxa"/>
            <w:vAlign w:val="bottom"/>
          </w:tcPr>
          <w:p>
            <w:pPr>
              <w:spacing w:after="0"/>
              <w:rPr>
                <w:sz w:val="1"/>
                <w:szCs w:val="1"/>
                <w:color w:val="auto"/>
              </w:rPr>
            </w:pPr>
          </w:p>
        </w:tc>
      </w:tr>
      <w:tr>
        <w:trPr>
          <w:trHeight w:val="199"/>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17"/>
                <w:szCs w:val="17"/>
                <w:color w:val="auto"/>
              </w:rPr>
            </w:pPr>
          </w:p>
        </w:tc>
        <w:tc>
          <w:tcPr>
            <w:tcW w:w="780" w:type="dxa"/>
            <w:vAlign w:val="bottom"/>
            <w:tcBorders>
              <w:right w:val="single" w:sz="8" w:color="9ADAF6"/>
            </w:tcBorders>
            <w:gridSpan w:val="2"/>
            <w:shd w:val="clear" w:color="auto" w:fill="9ADAF6"/>
          </w:tcPr>
          <w:p>
            <w:pPr>
              <w:spacing w:after="0"/>
              <w:rPr>
                <w:sz w:val="17"/>
                <w:szCs w:val="17"/>
                <w:color w:val="auto"/>
              </w:rPr>
            </w:pPr>
          </w:p>
        </w:tc>
        <w:tc>
          <w:tcPr>
            <w:tcW w:w="620" w:type="dxa"/>
            <w:vAlign w:val="bottom"/>
            <w:tcBorders>
              <w:right w:val="single" w:sz="8" w:color="9ADAF6"/>
            </w:tcBorders>
            <w:gridSpan w:val="6"/>
            <w:shd w:val="clear" w:color="auto" w:fill="9ADAF6"/>
          </w:tcPr>
          <w:p>
            <w:pPr>
              <w:spacing w:after="0"/>
              <w:rPr>
                <w:sz w:val="17"/>
                <w:szCs w:val="17"/>
                <w:color w:val="auto"/>
              </w:rPr>
            </w:pPr>
          </w:p>
        </w:tc>
        <w:tc>
          <w:tcPr>
            <w:tcW w:w="1320" w:type="dxa"/>
            <w:vAlign w:val="bottom"/>
            <w:gridSpan w:val="8"/>
            <w:shd w:val="clear" w:color="auto" w:fill="9ADAF6"/>
          </w:tcPr>
          <w:p>
            <w:pPr>
              <w:spacing w:after="0"/>
              <w:rPr>
                <w:sz w:val="17"/>
                <w:szCs w:val="17"/>
                <w:color w:val="auto"/>
              </w:rPr>
            </w:pP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Previously</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720" w:type="dxa"/>
            <w:vAlign w:val="bottom"/>
            <w:gridSpan w:val="3"/>
            <w:vMerge w:val="restart"/>
            <w:shd w:val="clear" w:color="auto" w:fill="9ADAF6"/>
          </w:tcPr>
          <w:p>
            <w:pPr>
              <w:jc w:val="center"/>
              <w:ind w:right="173"/>
              <w:spacing w:after="0"/>
              <w:rPr>
                <w:sz w:val="20"/>
                <w:szCs w:val="20"/>
                <w:color w:val="auto"/>
              </w:rPr>
            </w:pPr>
            <w:r>
              <w:rPr>
                <w:rFonts w:ascii="Arial" w:cs="Arial" w:eastAsia="Arial" w:hAnsi="Arial"/>
                <w:sz w:val="18"/>
                <w:szCs w:val="18"/>
                <w:b w:val="1"/>
                <w:bCs w:val="1"/>
                <w:color w:val="auto"/>
                <w:w w:val="96"/>
              </w:rPr>
              <w:t>Fee</w:t>
            </w:r>
          </w:p>
        </w:tc>
        <w:tc>
          <w:tcPr>
            <w:tcW w:w="4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5"/>
            <w:vMerge w:val="restart"/>
            <w:shd w:val="clear" w:color="auto" w:fill="9ADAF6"/>
          </w:tcPr>
          <w:p>
            <w:pPr>
              <w:ind w:left="20"/>
              <w:spacing w:after="0"/>
              <w:rPr>
                <w:sz w:val="20"/>
                <w:szCs w:val="20"/>
                <w:color w:val="auto"/>
              </w:rPr>
            </w:pPr>
            <w:r>
              <w:rPr>
                <w:rFonts w:ascii="Arial" w:cs="Arial" w:eastAsia="Arial" w:hAnsi="Arial"/>
                <w:sz w:val="18"/>
                <w:szCs w:val="18"/>
                <w:b w:val="1"/>
                <w:bCs w:val="1"/>
                <w:color w:val="auto"/>
                <w:w w:val="98"/>
              </w:rPr>
              <w:t>Proposed</w:t>
            </w: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80" w:type="dxa"/>
            <w:vAlign w:val="bottom"/>
            <w:tcBorders>
              <w:left w:val="single" w:sz="8" w:color="9ADAF6"/>
            </w:tcBorders>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Carry</w:t>
            </w: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820" w:type="dxa"/>
            <w:vAlign w:val="bottom"/>
            <w:tcBorders>
              <w:right w:val="single" w:sz="8" w:color="auto"/>
            </w:tcBorders>
            <w:gridSpan w:val="4"/>
            <w:shd w:val="clear" w:color="auto" w:fill="9ADAF6"/>
          </w:tcPr>
          <w:p>
            <w:pPr>
              <w:jc w:val="center"/>
              <w:ind w:right="240"/>
              <w:spacing w:after="0" w:line="200" w:lineRule="exact"/>
              <w:rPr>
                <w:sz w:val="20"/>
                <w:szCs w:val="20"/>
                <w:color w:val="auto"/>
              </w:rPr>
            </w:pPr>
            <w:r>
              <w:rPr>
                <w:rFonts w:ascii="Arial" w:cs="Arial" w:eastAsia="Arial" w:hAnsi="Arial"/>
                <w:sz w:val="18"/>
                <w:szCs w:val="18"/>
                <w:b w:val="1"/>
                <w:bCs w:val="1"/>
                <w:color w:val="auto"/>
                <w:w w:val="98"/>
              </w:rPr>
              <w:t>Paid in</w:t>
            </w: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720" w:type="dxa"/>
            <w:vAlign w:val="bottom"/>
            <w:gridSpan w:val="3"/>
            <w:vMerge w:val="continue"/>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5"/>
            <w:vMerge w:val="restart"/>
            <w:shd w:val="clear" w:color="auto" w:fill="9ADAF6"/>
          </w:tcPr>
          <w:p>
            <w:pPr>
              <w:jc w:val="right"/>
              <w:ind w:right="40"/>
              <w:spacing w:after="0"/>
              <w:rPr>
                <w:sz w:val="20"/>
                <w:szCs w:val="20"/>
                <w:color w:val="auto"/>
              </w:rPr>
            </w:pPr>
            <w:r>
              <w:rPr>
                <w:rFonts w:ascii="Arial" w:cs="Arial" w:eastAsia="Arial" w:hAnsi="Arial"/>
                <w:sz w:val="18"/>
                <w:szCs w:val="18"/>
                <w:b w:val="1"/>
                <w:bCs w:val="1"/>
                <w:color w:val="auto"/>
              </w:rPr>
              <w:t>Maximum</w:t>
            </w:r>
          </w:p>
        </w:tc>
        <w:tc>
          <w:tcPr>
            <w:tcW w:w="80" w:type="dxa"/>
            <w:vAlign w:val="bottom"/>
            <w:tcBorders>
              <w:left w:val="single" w:sz="8" w:color="9ADAF6"/>
            </w:tcBorders>
            <w:shd w:val="clear" w:color="auto" w:fill="9ADAF6"/>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right w:val="single" w:sz="8" w:color="9ADAF6"/>
            </w:tcBorders>
            <w:gridSpan w:val="3"/>
            <w:vMerge w:val="restart"/>
            <w:shd w:val="clear" w:color="auto" w:fill="9ADAF6"/>
          </w:tcPr>
          <w:p>
            <w:pPr>
              <w:jc w:val="center"/>
              <w:ind w:left="54"/>
              <w:spacing w:after="0"/>
              <w:rPr>
                <w:sz w:val="20"/>
                <w:szCs w:val="20"/>
                <w:color w:val="auto"/>
              </w:rPr>
            </w:pPr>
            <w:r>
              <w:rPr>
                <w:rFonts w:ascii="Arial" w:cs="Arial" w:eastAsia="Arial" w:hAnsi="Arial"/>
                <w:sz w:val="18"/>
                <w:szCs w:val="18"/>
                <w:b w:val="1"/>
                <w:bCs w:val="1"/>
                <w:color w:val="auto"/>
                <w:w w:val="97"/>
              </w:rPr>
              <w:t>Carry</w:t>
            </w: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Carry</w:t>
            </w:r>
          </w:p>
        </w:tc>
        <w:tc>
          <w:tcPr>
            <w:tcW w:w="40" w:type="dxa"/>
            <w:vAlign w:val="bottom"/>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right w:val="single" w:sz="8" w:color="auto"/>
            </w:tcBorders>
            <w:gridSpan w:val="5"/>
            <w:vMerge w:val="restart"/>
            <w:shd w:val="clear" w:color="auto" w:fill="9ADAF6"/>
          </w:tcPr>
          <w:p>
            <w:pPr>
              <w:jc w:val="center"/>
              <w:ind w:right="40"/>
              <w:spacing w:after="0"/>
              <w:rPr>
                <w:sz w:val="20"/>
                <w:szCs w:val="20"/>
                <w:color w:val="auto"/>
              </w:rPr>
            </w:pPr>
            <w:r>
              <w:rPr>
                <w:rFonts w:ascii="Arial" w:cs="Arial" w:eastAsia="Arial" w:hAnsi="Arial"/>
                <w:sz w:val="18"/>
                <w:szCs w:val="18"/>
                <w:b w:val="1"/>
                <w:bCs w:val="1"/>
                <w:color w:val="auto"/>
                <w:w w:val="98"/>
              </w:rPr>
              <w:t>Connection</w:t>
            </w: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80" w:type="dxa"/>
            <w:vAlign w:val="bottom"/>
            <w:tcBorders>
              <w:right w:val="single" w:sz="8" w:color="9ADAF6"/>
            </w:tcBorders>
          </w:tcPr>
          <w:p>
            <w:pPr>
              <w:spacing w:after="0"/>
              <w:rPr>
                <w:sz w:val="15"/>
                <w:szCs w:val="15"/>
                <w:color w:val="auto"/>
              </w:rPr>
            </w:pPr>
          </w:p>
        </w:tc>
        <w:tc>
          <w:tcPr>
            <w:tcW w:w="680" w:type="dxa"/>
            <w:vAlign w:val="bottom"/>
            <w:gridSpan w:val="2"/>
            <w:shd w:val="clear" w:color="auto" w:fill="9ADAF6"/>
          </w:tcPr>
          <w:p>
            <w:pPr>
              <w:spacing w:after="0" w:line="178" w:lineRule="exact"/>
              <w:rPr>
                <w:sz w:val="20"/>
                <w:szCs w:val="20"/>
                <w:color w:val="auto"/>
              </w:rPr>
            </w:pPr>
            <w:r>
              <w:rPr>
                <w:rFonts w:ascii="Arial" w:cs="Arial" w:eastAsia="Arial" w:hAnsi="Arial"/>
                <w:sz w:val="18"/>
                <w:szCs w:val="18"/>
                <w:b w:val="1"/>
                <w:bCs w:val="1"/>
                <w:color w:val="auto"/>
                <w:w w:val="92"/>
              </w:rPr>
              <w:t>Security</w:t>
            </w:r>
          </w:p>
        </w:tc>
        <w:tc>
          <w:tcPr>
            <w:tcW w:w="20" w:type="dxa"/>
            <w:vAlign w:val="bottom"/>
          </w:tcPr>
          <w:p>
            <w:pPr>
              <w:spacing w:after="0"/>
              <w:rPr>
                <w:sz w:val="15"/>
                <w:szCs w:val="15"/>
                <w:color w:val="auto"/>
              </w:rPr>
            </w:pPr>
          </w:p>
        </w:tc>
        <w:tc>
          <w:tcPr>
            <w:tcW w:w="980" w:type="dxa"/>
            <w:vAlign w:val="bottom"/>
            <w:gridSpan w:val="5"/>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6"/>
              </w:rPr>
              <w:t>Calculation</w:t>
            </w: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60" w:type="dxa"/>
            <w:vAlign w:val="bottom"/>
            <w:tcBorders>
              <w:right w:val="single" w:sz="8" w:color="9ADAF6"/>
            </w:tcBorders>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5"/>
            <w:shd w:val="clear" w:color="auto" w:fill="9ADAF6"/>
          </w:tcPr>
          <w:p>
            <w:pPr>
              <w:ind w:left="20"/>
              <w:spacing w:after="0" w:line="178" w:lineRule="exact"/>
              <w:rPr>
                <w:sz w:val="20"/>
                <w:szCs w:val="20"/>
                <w:color w:val="auto"/>
              </w:rPr>
            </w:pPr>
            <w:r>
              <w:rPr>
                <w:rFonts w:ascii="Arial" w:cs="Arial" w:eastAsia="Arial" w:hAnsi="Arial"/>
                <w:sz w:val="18"/>
                <w:szCs w:val="18"/>
                <w:b w:val="1"/>
                <w:bCs w:val="1"/>
                <w:color w:val="auto"/>
                <w:w w:val="98"/>
              </w:rPr>
              <w:t>Maximum</w:t>
            </w:r>
          </w:p>
        </w:tc>
        <w:tc>
          <w:tcPr>
            <w:tcW w:w="20" w:type="dxa"/>
            <w:vAlign w:val="bottom"/>
          </w:tcPr>
          <w:p>
            <w:pPr>
              <w:spacing w:after="0"/>
              <w:rPr>
                <w:sz w:val="15"/>
                <w:szCs w:val="15"/>
                <w:color w:val="auto"/>
              </w:rPr>
            </w:pPr>
          </w:p>
        </w:tc>
        <w:tc>
          <w:tcPr>
            <w:tcW w:w="900" w:type="dxa"/>
            <w:vAlign w:val="bottom"/>
            <w:gridSpan w:val="5"/>
            <w:vMerge w:val="continue"/>
            <w:shd w:val="clear" w:color="auto" w:fill="9ADAF6"/>
          </w:tcPr>
          <w:p>
            <w:pPr>
              <w:spacing w:after="0"/>
              <w:rPr>
                <w:sz w:val="15"/>
                <w:szCs w:val="15"/>
                <w:color w:val="auto"/>
              </w:rPr>
            </w:pPr>
          </w:p>
        </w:tc>
        <w:tc>
          <w:tcPr>
            <w:tcW w:w="80" w:type="dxa"/>
            <w:vAlign w:val="bottom"/>
            <w:tcBorders>
              <w:left w:val="single" w:sz="8" w:color="9ADAF6"/>
            </w:tcBorders>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9"/>
              </w:rPr>
              <w:t>Amount of</w:t>
            </w:r>
          </w:p>
        </w:tc>
        <w:tc>
          <w:tcPr>
            <w:tcW w:w="20" w:type="dxa"/>
            <w:vAlign w:val="bottom"/>
          </w:tcPr>
          <w:p>
            <w:pPr>
              <w:spacing w:after="0"/>
              <w:rPr>
                <w:sz w:val="15"/>
                <w:szCs w:val="15"/>
                <w:color w:val="auto"/>
              </w:rPr>
            </w:pPr>
          </w:p>
        </w:tc>
        <w:tc>
          <w:tcPr>
            <w:tcW w:w="600" w:type="dxa"/>
            <w:vAlign w:val="bottom"/>
            <w:tcBorders>
              <w:right w:val="single" w:sz="8" w:color="9ADAF6"/>
            </w:tcBorders>
            <w:gridSpan w:val="3"/>
            <w:vMerge w:val="continue"/>
            <w:shd w:val="clear" w:color="auto" w:fill="9ADAF6"/>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40" w:type="dxa"/>
            <w:vAlign w:val="bottom"/>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8"/>
              </w:rPr>
              <w:t>Forward</w:t>
            </w:r>
          </w:p>
        </w:tc>
        <w:tc>
          <w:tcPr>
            <w:tcW w:w="20" w:type="dxa"/>
            <w:vAlign w:val="bottom"/>
          </w:tcPr>
          <w:p>
            <w:pPr>
              <w:spacing w:after="0"/>
              <w:rPr>
                <w:sz w:val="15"/>
                <w:szCs w:val="15"/>
                <w:color w:val="auto"/>
              </w:rPr>
            </w:pPr>
          </w:p>
        </w:tc>
        <w:tc>
          <w:tcPr>
            <w:tcW w:w="1020" w:type="dxa"/>
            <w:vAlign w:val="bottom"/>
            <w:tcBorders>
              <w:right w:val="single" w:sz="8" w:color="auto"/>
            </w:tcBorders>
            <w:gridSpan w:val="5"/>
            <w:vMerge w:val="continue"/>
            <w:shd w:val="clear" w:color="auto" w:fill="9ADAF6"/>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shd w:val="clear" w:color="auto" w:fill="9ADAF6"/>
          </w:tcPr>
          <w:p>
            <w:pPr>
              <w:ind w:left="20"/>
              <w:spacing w:after="0" w:line="200" w:lineRule="exact"/>
              <w:rPr>
                <w:sz w:val="20"/>
                <w:szCs w:val="20"/>
                <w:color w:val="auto"/>
              </w:rPr>
            </w:pPr>
            <w:r>
              <w:rPr>
                <w:rFonts w:ascii="Arial" w:cs="Arial" w:eastAsia="Arial" w:hAnsi="Arial"/>
                <w:sz w:val="18"/>
                <w:szCs w:val="18"/>
                <w:b w:val="1"/>
                <w:bCs w:val="1"/>
                <w:color w:val="auto"/>
                <w:w w:val="98"/>
              </w:rPr>
              <w:t>Security</w:t>
            </w: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5"/>
              </w:rPr>
              <w:t>Class</w:t>
            </w: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840" w:type="dxa"/>
            <w:vAlign w:val="bottom"/>
            <w:gridSpan w:val="4"/>
            <w:shd w:val="clear" w:color="auto" w:fill="9ADAF6"/>
          </w:tcPr>
          <w:p>
            <w:pPr>
              <w:jc w:val="center"/>
              <w:ind w:right="53"/>
              <w:spacing w:after="0" w:line="200" w:lineRule="exact"/>
              <w:rPr>
                <w:sz w:val="20"/>
                <w:szCs w:val="20"/>
                <w:color w:val="auto"/>
              </w:rPr>
            </w:pPr>
            <w:r>
              <w:rPr>
                <w:rFonts w:ascii="Arial" w:cs="Arial" w:eastAsia="Arial" w:hAnsi="Arial"/>
                <w:sz w:val="18"/>
                <w:szCs w:val="18"/>
                <w:b w:val="1"/>
                <w:bCs w:val="1"/>
                <w:color w:val="auto"/>
                <w:w w:val="99"/>
              </w:rPr>
              <w:t>or Carry</w:t>
            </w:r>
          </w:p>
        </w:tc>
        <w:tc>
          <w:tcPr>
            <w:tcW w:w="4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900" w:type="dxa"/>
            <w:vAlign w:val="bottom"/>
            <w:gridSpan w:val="3"/>
            <w:shd w:val="clear" w:color="auto" w:fill="9ADAF6"/>
          </w:tcPr>
          <w:p>
            <w:pPr>
              <w:jc w:val="right"/>
              <w:ind w:right="31"/>
              <w:spacing w:after="0" w:line="200" w:lineRule="exact"/>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7"/>
                <w:szCs w:val="17"/>
                <w:color w:val="auto"/>
              </w:rPr>
            </w:pPr>
          </w:p>
        </w:tc>
        <w:tc>
          <w:tcPr>
            <w:tcW w:w="860" w:type="dxa"/>
            <w:vAlign w:val="bottom"/>
            <w:gridSpan w:val="5"/>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Offering</w:t>
            </w:r>
          </w:p>
        </w:tc>
        <w:tc>
          <w:tcPr>
            <w:tcW w:w="20" w:type="dxa"/>
            <w:vAlign w:val="bottom"/>
          </w:tcPr>
          <w:p>
            <w:pPr>
              <w:spacing w:after="0"/>
              <w:rPr>
                <w:sz w:val="17"/>
                <w:szCs w:val="17"/>
                <w:color w:val="auto"/>
              </w:rPr>
            </w:pPr>
          </w:p>
        </w:tc>
        <w:tc>
          <w:tcPr>
            <w:tcW w:w="900" w:type="dxa"/>
            <w:vAlign w:val="bottom"/>
            <w:gridSpan w:val="5"/>
            <w:shd w:val="clear" w:color="auto" w:fill="9ADAF6"/>
          </w:tcPr>
          <w:p>
            <w:pPr>
              <w:jc w:val="right"/>
              <w:ind w:right="20"/>
              <w:spacing w:after="0" w:line="200" w:lineRule="exact"/>
              <w:rPr>
                <w:sz w:val="20"/>
                <w:szCs w:val="20"/>
                <w:color w:val="auto"/>
              </w:rPr>
            </w:pPr>
            <w:r>
              <w:rPr>
                <w:rFonts w:ascii="Arial" w:cs="Arial" w:eastAsia="Arial" w:hAnsi="Arial"/>
                <w:sz w:val="18"/>
                <w:szCs w:val="18"/>
                <w:b w:val="1"/>
                <w:bCs w:val="1"/>
                <w:color w:val="auto"/>
                <w:w w:val="96"/>
              </w:rPr>
              <w:t>Aggregate</w:t>
            </w:r>
          </w:p>
        </w:tc>
        <w:tc>
          <w:tcPr>
            <w:tcW w:w="440" w:type="dxa"/>
            <w:vAlign w:val="bottom"/>
            <w:tcBorders>
              <w:left w:val="single" w:sz="8" w:color="9ADAF6"/>
            </w:tcBorders>
            <w:gridSpan w:val="2"/>
            <w:shd w:val="clear" w:color="auto" w:fill="9ADAF6"/>
          </w:tcPr>
          <w:p>
            <w:pPr>
              <w:ind w:left="80"/>
              <w:spacing w:after="0" w:line="200" w:lineRule="exact"/>
              <w:rPr>
                <w:sz w:val="20"/>
                <w:szCs w:val="20"/>
                <w:color w:val="auto"/>
              </w:rPr>
            </w:pPr>
            <w:r>
              <w:rPr>
                <w:rFonts w:ascii="Arial" w:cs="Arial" w:eastAsia="Arial" w:hAnsi="Arial"/>
                <w:sz w:val="18"/>
                <w:szCs w:val="18"/>
                <w:b w:val="1"/>
                <w:bCs w:val="1"/>
                <w:color w:val="auto"/>
              </w:rPr>
              <w:t>Fee</w:t>
            </w:r>
          </w:p>
        </w:tc>
        <w:tc>
          <w:tcPr>
            <w:tcW w:w="20" w:type="dxa"/>
            <w:vAlign w:val="bottom"/>
          </w:tcPr>
          <w:p>
            <w:pPr>
              <w:spacing w:after="0"/>
              <w:rPr>
                <w:sz w:val="17"/>
                <w:szCs w:val="17"/>
                <w:color w:val="auto"/>
              </w:rPr>
            </w:pPr>
          </w:p>
        </w:tc>
        <w:tc>
          <w:tcPr>
            <w:tcW w:w="1060" w:type="dxa"/>
            <w:vAlign w:val="bottom"/>
            <w:gridSpan w:val="4"/>
            <w:shd w:val="clear" w:color="auto" w:fill="9ADAF6"/>
          </w:tcPr>
          <w:p>
            <w:pPr>
              <w:jc w:val="right"/>
              <w:spacing w:after="0" w:line="200" w:lineRule="exact"/>
              <w:rPr>
                <w:sz w:val="20"/>
                <w:szCs w:val="20"/>
                <w:color w:val="auto"/>
              </w:rPr>
            </w:pPr>
            <w:r>
              <w:rPr>
                <w:rFonts w:ascii="Arial" w:cs="Arial" w:eastAsia="Arial" w:hAnsi="Arial"/>
                <w:sz w:val="18"/>
                <w:szCs w:val="18"/>
                <w:b w:val="1"/>
                <w:bCs w:val="1"/>
                <w:color w:val="auto"/>
                <w:w w:val="97"/>
              </w:rPr>
              <w:t>Registration</w:t>
            </w:r>
          </w:p>
        </w:tc>
        <w:tc>
          <w:tcPr>
            <w:tcW w:w="20" w:type="dxa"/>
            <w:vAlign w:val="bottom"/>
          </w:tcPr>
          <w:p>
            <w:pPr>
              <w:spacing w:after="0"/>
              <w:rPr>
                <w:sz w:val="17"/>
                <w:szCs w:val="17"/>
                <w:color w:val="auto"/>
              </w:rPr>
            </w:pPr>
          </w:p>
        </w:tc>
        <w:tc>
          <w:tcPr>
            <w:tcW w:w="74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Forward</w:t>
            </w:r>
          </w:p>
        </w:tc>
        <w:tc>
          <w:tcPr>
            <w:tcW w:w="20" w:type="dxa"/>
            <w:vAlign w:val="bottom"/>
          </w:tcPr>
          <w:p>
            <w:pPr>
              <w:spacing w:after="0"/>
              <w:rPr>
                <w:sz w:val="17"/>
                <w:szCs w:val="17"/>
                <w:color w:val="auto"/>
              </w:rPr>
            </w:pPr>
          </w:p>
        </w:tc>
        <w:tc>
          <w:tcPr>
            <w:tcW w:w="72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Forward</w:t>
            </w:r>
          </w:p>
        </w:tc>
        <w:tc>
          <w:tcPr>
            <w:tcW w:w="40" w:type="dxa"/>
            <w:vAlign w:val="bottom"/>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Initial</w:t>
            </w: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780" w:type="dxa"/>
            <w:vAlign w:val="bottom"/>
            <w:tcBorders>
              <w:right w:val="single" w:sz="8" w:color="auto"/>
            </w:tcBorders>
            <w:gridSpan w:val="3"/>
            <w:shd w:val="clear" w:color="auto" w:fill="9ADAF6"/>
          </w:tcPr>
          <w:p>
            <w:pPr>
              <w:jc w:val="center"/>
              <w:ind w:right="260"/>
              <w:spacing w:after="0" w:line="200" w:lineRule="exact"/>
              <w:rPr>
                <w:sz w:val="20"/>
                <w:szCs w:val="20"/>
                <w:color w:val="auto"/>
              </w:rPr>
            </w:pPr>
            <w:r>
              <w:rPr>
                <w:rFonts w:ascii="Arial" w:cs="Arial" w:eastAsia="Arial" w:hAnsi="Arial"/>
                <w:sz w:val="18"/>
                <w:szCs w:val="18"/>
                <w:b w:val="1"/>
                <w:bCs w:val="1"/>
                <w:color w:val="auto"/>
                <w:w w:val="99"/>
              </w:rPr>
              <w:t>with</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shd w:val="clear" w:color="auto" w:fill="9ADAF6"/>
          </w:tcPr>
          <w:p>
            <w:pPr>
              <w:ind w:left="180"/>
              <w:spacing w:after="0" w:line="200" w:lineRule="exact"/>
              <w:rPr>
                <w:sz w:val="20"/>
                <w:szCs w:val="20"/>
                <w:color w:val="auto"/>
              </w:rPr>
            </w:pPr>
            <w:r>
              <w:rPr>
                <w:rFonts w:ascii="Arial" w:cs="Arial" w:eastAsia="Arial" w:hAnsi="Arial"/>
                <w:sz w:val="18"/>
                <w:szCs w:val="18"/>
                <w:b w:val="1"/>
                <w:bCs w:val="1"/>
                <w:color w:val="auto"/>
              </w:rPr>
              <w:t>Type</w:t>
            </w: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rPr>
              <w:t>Title</w:t>
            </w: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840" w:type="dxa"/>
            <w:vAlign w:val="bottom"/>
            <w:gridSpan w:val="4"/>
            <w:shd w:val="clear" w:color="auto" w:fill="9ADAF6"/>
          </w:tcPr>
          <w:p>
            <w:pPr>
              <w:jc w:val="center"/>
              <w:ind w:right="53"/>
              <w:spacing w:after="0" w:line="200" w:lineRule="exact"/>
              <w:rPr>
                <w:sz w:val="20"/>
                <w:szCs w:val="20"/>
                <w:color w:val="auto"/>
              </w:rPr>
            </w:pPr>
            <w:r>
              <w:rPr>
                <w:rFonts w:ascii="Arial" w:cs="Arial" w:eastAsia="Arial" w:hAnsi="Arial"/>
                <w:sz w:val="18"/>
                <w:szCs w:val="18"/>
                <w:b w:val="1"/>
                <w:bCs w:val="1"/>
                <w:color w:val="auto"/>
                <w:w w:val="98"/>
              </w:rPr>
              <w:t>Forward</w:t>
            </w:r>
          </w:p>
        </w:tc>
        <w:tc>
          <w:tcPr>
            <w:tcW w:w="40" w:type="dxa"/>
            <w:vAlign w:val="bottom"/>
            <w:tcBorders>
              <w:right w:val="single" w:sz="8" w:color="9ADAF6"/>
            </w:tcBorders>
          </w:tcPr>
          <w:p>
            <w:pPr>
              <w:spacing w:after="0"/>
              <w:rPr>
                <w:sz w:val="17"/>
                <w:szCs w:val="17"/>
                <w:color w:val="auto"/>
              </w:rPr>
            </w:pPr>
          </w:p>
        </w:tc>
        <w:tc>
          <w:tcPr>
            <w:tcW w:w="920" w:type="dxa"/>
            <w:vAlign w:val="bottom"/>
            <w:gridSpan w:val="4"/>
            <w:shd w:val="clear" w:color="auto" w:fill="9ADAF6"/>
          </w:tcPr>
          <w:p>
            <w:pPr>
              <w:jc w:val="right"/>
              <w:spacing w:after="0" w:line="200" w:lineRule="exact"/>
              <w:rPr>
                <w:sz w:val="20"/>
                <w:szCs w:val="20"/>
                <w:color w:val="auto"/>
              </w:rPr>
            </w:pPr>
            <w:r>
              <w:rPr>
                <w:rFonts w:ascii="Arial" w:cs="Arial" w:eastAsia="Arial" w:hAnsi="Arial"/>
                <w:sz w:val="18"/>
                <w:szCs w:val="18"/>
                <w:b w:val="1"/>
                <w:bCs w:val="1"/>
                <w:color w:val="auto"/>
                <w:w w:val="96"/>
              </w:rPr>
              <w:t>Registered</w:t>
            </w:r>
          </w:p>
        </w:tc>
        <w:tc>
          <w:tcPr>
            <w:tcW w:w="20" w:type="dxa"/>
            <w:vAlign w:val="bottom"/>
          </w:tcPr>
          <w:p>
            <w:pPr>
              <w:spacing w:after="0"/>
              <w:rPr>
                <w:sz w:val="17"/>
                <w:szCs w:val="17"/>
                <w:color w:val="auto"/>
              </w:rPr>
            </w:pPr>
          </w:p>
        </w:tc>
        <w:tc>
          <w:tcPr>
            <w:tcW w:w="860" w:type="dxa"/>
            <w:vAlign w:val="bottom"/>
            <w:gridSpan w:val="5"/>
            <w:shd w:val="clear" w:color="auto" w:fill="9ADAF6"/>
          </w:tcPr>
          <w:p>
            <w:pPr>
              <w:ind w:left="40"/>
              <w:spacing w:after="0" w:line="200" w:lineRule="exact"/>
              <w:rPr>
                <w:sz w:val="20"/>
                <w:szCs w:val="20"/>
                <w:color w:val="auto"/>
              </w:rPr>
            </w:pPr>
            <w:r>
              <w:rPr>
                <w:rFonts w:ascii="Arial" w:cs="Arial" w:eastAsia="Arial" w:hAnsi="Arial"/>
                <w:sz w:val="18"/>
                <w:szCs w:val="18"/>
                <w:b w:val="1"/>
                <w:bCs w:val="1"/>
                <w:color w:val="auto"/>
              </w:rPr>
              <w:t>Price Per</w:t>
            </w:r>
          </w:p>
        </w:tc>
        <w:tc>
          <w:tcPr>
            <w:tcW w:w="20" w:type="dxa"/>
            <w:vAlign w:val="bottom"/>
          </w:tcPr>
          <w:p>
            <w:pPr>
              <w:spacing w:after="0"/>
              <w:rPr>
                <w:sz w:val="17"/>
                <w:szCs w:val="17"/>
                <w:color w:val="auto"/>
              </w:rPr>
            </w:pPr>
          </w:p>
        </w:tc>
        <w:tc>
          <w:tcPr>
            <w:tcW w:w="900" w:type="dxa"/>
            <w:vAlign w:val="bottom"/>
            <w:gridSpan w:val="5"/>
            <w:shd w:val="clear" w:color="auto" w:fill="9ADAF6"/>
          </w:tcPr>
          <w:p>
            <w:pPr>
              <w:jc w:val="right"/>
              <w:ind w:right="100"/>
              <w:spacing w:after="0" w:line="200" w:lineRule="exact"/>
              <w:rPr>
                <w:sz w:val="20"/>
                <w:szCs w:val="20"/>
                <w:color w:val="auto"/>
              </w:rPr>
            </w:pPr>
            <w:r>
              <w:rPr>
                <w:rFonts w:ascii="Arial" w:cs="Arial" w:eastAsia="Arial" w:hAnsi="Arial"/>
                <w:sz w:val="18"/>
                <w:szCs w:val="18"/>
                <w:b w:val="1"/>
                <w:bCs w:val="1"/>
                <w:color w:val="auto"/>
              </w:rPr>
              <w:t>Offering</w:t>
            </w:r>
          </w:p>
        </w:tc>
        <w:tc>
          <w:tcPr>
            <w:tcW w:w="440" w:type="dxa"/>
            <w:vAlign w:val="bottom"/>
            <w:tcBorders>
              <w:left w:val="single" w:sz="8" w:color="9ADAF6"/>
            </w:tcBorders>
            <w:gridSpan w:val="2"/>
            <w:shd w:val="clear" w:color="auto" w:fill="9ADAF6"/>
          </w:tcPr>
          <w:p>
            <w:pPr>
              <w:ind w:left="40"/>
              <w:spacing w:after="0" w:line="200" w:lineRule="exact"/>
              <w:rPr>
                <w:sz w:val="20"/>
                <w:szCs w:val="20"/>
                <w:color w:val="auto"/>
              </w:rPr>
            </w:pPr>
            <w:r>
              <w:rPr>
                <w:rFonts w:ascii="Arial" w:cs="Arial" w:eastAsia="Arial" w:hAnsi="Arial"/>
                <w:sz w:val="18"/>
                <w:szCs w:val="18"/>
                <w:b w:val="1"/>
                <w:bCs w:val="1"/>
                <w:color w:val="auto"/>
                <w:w w:val="97"/>
              </w:rPr>
              <w:t>Rate</w:t>
            </w:r>
          </w:p>
        </w:tc>
        <w:tc>
          <w:tcPr>
            <w:tcW w:w="20" w:type="dxa"/>
            <w:vAlign w:val="bottom"/>
          </w:tcPr>
          <w:p>
            <w:pPr>
              <w:spacing w:after="0"/>
              <w:rPr>
                <w:sz w:val="17"/>
                <w:szCs w:val="17"/>
                <w:color w:val="auto"/>
              </w:rPr>
            </w:pPr>
          </w:p>
        </w:tc>
        <w:tc>
          <w:tcPr>
            <w:tcW w:w="10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7"/>
                <w:szCs w:val="17"/>
                <w:color w:val="auto"/>
              </w:rPr>
            </w:pPr>
          </w:p>
        </w:tc>
        <w:tc>
          <w:tcPr>
            <w:tcW w:w="600" w:type="dxa"/>
            <w:vAlign w:val="bottom"/>
            <w:tcBorders>
              <w:right w:val="single" w:sz="8" w:color="9ADAF6"/>
            </w:tcBorders>
            <w:gridSpan w:val="3"/>
            <w:shd w:val="clear" w:color="auto" w:fill="9ADAF6"/>
          </w:tcPr>
          <w:p>
            <w:pPr>
              <w:jc w:val="center"/>
              <w:ind w:left="54"/>
              <w:spacing w:after="0" w:line="200" w:lineRule="exact"/>
              <w:rPr>
                <w:sz w:val="20"/>
                <w:szCs w:val="20"/>
                <w:color w:val="auto"/>
              </w:rPr>
            </w:pPr>
            <w:r>
              <w:rPr>
                <w:rFonts w:ascii="Arial" w:cs="Arial" w:eastAsia="Arial" w:hAnsi="Arial"/>
                <w:sz w:val="18"/>
                <w:szCs w:val="18"/>
                <w:b w:val="1"/>
                <w:bCs w:val="1"/>
                <w:color w:val="auto"/>
              </w:rPr>
              <w:t>Form</w:t>
            </w: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rPr>
              <w:t>File</w:t>
            </w:r>
          </w:p>
        </w:tc>
        <w:tc>
          <w:tcPr>
            <w:tcW w:w="40" w:type="dxa"/>
            <w:vAlign w:val="bottom"/>
          </w:tcPr>
          <w:p>
            <w:pPr>
              <w:spacing w:after="0"/>
              <w:rPr>
                <w:sz w:val="17"/>
                <w:szCs w:val="17"/>
                <w:color w:val="auto"/>
              </w:rPr>
            </w:pPr>
          </w:p>
        </w:tc>
        <w:tc>
          <w:tcPr>
            <w:tcW w:w="760" w:type="dxa"/>
            <w:vAlign w:val="bottom"/>
            <w:gridSpan w:val="2"/>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Effective</w:t>
            </w: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820" w:type="dxa"/>
            <w:vAlign w:val="bottom"/>
            <w:tcBorders>
              <w:right w:val="single" w:sz="8" w:color="auto"/>
            </w:tcBorders>
            <w:gridSpan w:val="4"/>
            <w:shd w:val="clear" w:color="auto" w:fill="9ADAF6"/>
          </w:tcPr>
          <w:p>
            <w:pPr>
              <w:jc w:val="center"/>
              <w:ind w:right="220"/>
              <w:spacing w:after="0" w:line="200" w:lineRule="exact"/>
              <w:rPr>
                <w:sz w:val="20"/>
                <w:szCs w:val="20"/>
                <w:color w:val="auto"/>
              </w:rPr>
            </w:pPr>
            <w:r>
              <w:rPr>
                <w:rFonts w:ascii="Arial" w:cs="Arial" w:eastAsia="Arial" w:hAnsi="Arial"/>
                <w:sz w:val="18"/>
                <w:szCs w:val="18"/>
                <w:b w:val="1"/>
                <w:bCs w:val="1"/>
                <w:color w:val="auto"/>
                <w:w w:val="98"/>
              </w:rPr>
              <w:t>Unsold</w:t>
            </w: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80" w:type="dxa"/>
            <w:vAlign w:val="bottom"/>
            <w:tcBorders>
              <w:right w:val="single" w:sz="8" w:color="9ADAF6"/>
            </w:tcBorders>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720" w:type="dxa"/>
            <w:vAlign w:val="bottom"/>
            <w:gridSpan w:val="3"/>
            <w:vMerge w:val="restart"/>
            <w:shd w:val="clear" w:color="auto" w:fill="9ADAF6"/>
          </w:tcPr>
          <w:p>
            <w:pPr>
              <w:jc w:val="center"/>
              <w:ind w:right="173"/>
              <w:spacing w:after="0"/>
              <w:rPr>
                <w:sz w:val="20"/>
                <w:szCs w:val="20"/>
                <w:color w:val="auto"/>
              </w:rPr>
            </w:pPr>
            <w:r>
              <w:rPr>
                <w:rFonts w:ascii="Arial" w:cs="Arial" w:eastAsia="Arial" w:hAnsi="Arial"/>
                <w:sz w:val="18"/>
                <w:szCs w:val="18"/>
                <w:b w:val="1"/>
                <w:bCs w:val="1"/>
                <w:color w:val="auto"/>
                <w:w w:val="97"/>
              </w:rPr>
              <w:t>Rule</w:t>
            </w:r>
          </w:p>
        </w:tc>
        <w:tc>
          <w:tcPr>
            <w:tcW w:w="40" w:type="dxa"/>
            <w:vAlign w:val="bottom"/>
            <w:tcBorders>
              <w:right w:val="single" w:sz="8" w:color="9ADAF6"/>
            </w:tcBorders>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60" w:type="dxa"/>
            <w:vAlign w:val="bottom"/>
            <w:tcBorders>
              <w:right w:val="single" w:sz="8" w:color="9ADAF6"/>
            </w:tcBorders>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80" w:type="dxa"/>
            <w:vAlign w:val="bottom"/>
            <w:gridSpan w:val="3"/>
            <w:vMerge w:val="restart"/>
            <w:shd w:val="clear" w:color="auto" w:fill="9ADAF6"/>
          </w:tcPr>
          <w:p>
            <w:pPr>
              <w:jc w:val="center"/>
              <w:ind w:right="91"/>
              <w:spacing w:after="0"/>
              <w:rPr>
                <w:sz w:val="20"/>
                <w:szCs w:val="20"/>
                <w:color w:val="auto"/>
              </w:rPr>
            </w:pPr>
            <w:r>
              <w:rPr>
                <w:rFonts w:ascii="Arial" w:cs="Arial" w:eastAsia="Arial" w:hAnsi="Arial"/>
                <w:sz w:val="18"/>
                <w:szCs w:val="18"/>
                <w:b w:val="1"/>
                <w:bCs w:val="1"/>
                <w:color w:val="auto"/>
                <w:w w:val="97"/>
              </w:rPr>
              <w:t>Unit</w:t>
            </w:r>
          </w:p>
        </w:tc>
        <w:tc>
          <w:tcPr>
            <w:tcW w:w="20" w:type="dxa"/>
            <w:vAlign w:val="bottom"/>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680" w:type="dxa"/>
            <w:vAlign w:val="bottom"/>
            <w:gridSpan w:val="4"/>
            <w:shd w:val="clear" w:color="auto" w:fill="9ADAF6"/>
          </w:tcPr>
          <w:p>
            <w:pPr>
              <w:jc w:val="right"/>
              <w:ind w:right="240"/>
              <w:spacing w:after="0" w:line="121" w:lineRule="exact"/>
              <w:rPr>
                <w:sz w:val="20"/>
                <w:szCs w:val="20"/>
                <w:color w:val="auto"/>
              </w:rPr>
            </w:pPr>
            <w:r>
              <w:rPr>
                <w:rFonts w:ascii="Arial" w:cs="Arial" w:eastAsia="Arial" w:hAnsi="Arial"/>
                <w:sz w:val="14"/>
                <w:szCs w:val="14"/>
                <w:b w:val="1"/>
                <w:bCs w:val="1"/>
                <w:color w:val="auto"/>
              </w:rPr>
              <w:t>Price</w:t>
            </w:r>
          </w:p>
        </w:tc>
        <w:tc>
          <w:tcPr>
            <w:tcW w:w="80" w:type="dxa"/>
            <w:vAlign w:val="bottom"/>
            <w:tcBorders>
              <w:left w:val="single" w:sz="8" w:color="9ADAF6"/>
            </w:tcBorders>
            <w:shd w:val="clear" w:color="auto" w:fill="9ADAF6"/>
          </w:tcPr>
          <w:p>
            <w:pPr>
              <w:spacing w:after="0"/>
              <w:rPr>
                <w:sz w:val="10"/>
                <w:szCs w:val="10"/>
                <w:color w:val="auto"/>
              </w:rPr>
            </w:pPr>
          </w:p>
        </w:tc>
        <w:tc>
          <w:tcPr>
            <w:tcW w:w="3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right w:val="single" w:sz="8" w:color="9ADAF6"/>
            </w:tcBorders>
            <w:gridSpan w:val="3"/>
            <w:shd w:val="clear" w:color="auto" w:fill="9ADAF6"/>
          </w:tcPr>
          <w:p>
            <w:pPr>
              <w:jc w:val="center"/>
              <w:ind w:left="34"/>
              <w:spacing w:after="0" w:line="121" w:lineRule="exact"/>
              <w:rPr>
                <w:sz w:val="20"/>
                <w:szCs w:val="20"/>
                <w:color w:val="auto"/>
              </w:rPr>
            </w:pPr>
            <w:r>
              <w:rPr>
                <w:rFonts w:ascii="Arial" w:cs="Arial" w:eastAsia="Arial" w:hAnsi="Arial"/>
                <w:sz w:val="14"/>
                <w:szCs w:val="14"/>
                <w:b w:val="1"/>
                <w:bCs w:val="1"/>
                <w:color w:val="auto"/>
              </w:rPr>
              <w:t>Type</w:t>
            </w:r>
          </w:p>
        </w:tc>
        <w:tc>
          <w:tcPr>
            <w:tcW w:w="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Date</w:t>
            </w:r>
          </w:p>
        </w:tc>
        <w:tc>
          <w:tcPr>
            <w:tcW w:w="20" w:type="dxa"/>
            <w:vAlign w:val="bottom"/>
          </w:tcPr>
          <w:p>
            <w:pPr>
              <w:spacing w:after="0"/>
              <w:rPr>
                <w:sz w:val="10"/>
                <w:szCs w:val="10"/>
                <w:color w:val="auto"/>
              </w:rPr>
            </w:pPr>
          </w:p>
        </w:tc>
        <w:tc>
          <w:tcPr>
            <w:tcW w:w="1020" w:type="dxa"/>
            <w:vAlign w:val="bottom"/>
            <w:tcBorders>
              <w:right w:val="single" w:sz="8" w:color="auto"/>
            </w:tcBorders>
            <w:gridSpan w:val="5"/>
            <w:shd w:val="clear" w:color="auto" w:fill="9ADAF6"/>
          </w:tcPr>
          <w:p>
            <w:pPr>
              <w:jc w:val="center"/>
              <w:ind w:right="20"/>
              <w:spacing w:after="0" w:line="121"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45"/>
        </w:trPr>
        <w:tc>
          <w:tcPr>
            <w:tcW w:w="2060" w:type="dxa"/>
            <w:vAlign w:val="bottom"/>
            <w:tcBorders>
              <w:left w:val="single" w:sz="8" w:color="auto"/>
              <w:right w:val="single" w:sz="8" w:color="9ADAF6"/>
            </w:tcBorders>
            <w:gridSpan w:val="13"/>
          </w:tcPr>
          <w:p>
            <w:pPr>
              <w:spacing w:after="0"/>
              <w:rPr>
                <w:sz w:val="12"/>
                <w:szCs w:val="12"/>
                <w:color w:val="auto"/>
              </w:rPr>
            </w:pPr>
          </w:p>
        </w:tc>
        <w:tc>
          <w:tcPr>
            <w:tcW w:w="960" w:type="dxa"/>
            <w:vAlign w:val="bottom"/>
            <w:gridSpan w:val="5"/>
            <w:shd w:val="clear" w:color="auto" w:fill="9ADAF6"/>
          </w:tcPr>
          <w:p>
            <w:pPr>
              <w:spacing w:after="0"/>
              <w:rPr>
                <w:sz w:val="12"/>
                <w:szCs w:val="12"/>
                <w:color w:val="auto"/>
              </w:rPr>
            </w:pPr>
          </w:p>
        </w:tc>
        <w:tc>
          <w:tcPr>
            <w:tcW w:w="720" w:type="dxa"/>
            <w:vAlign w:val="bottom"/>
            <w:gridSpan w:val="3"/>
            <w:vMerge w:val="continue"/>
            <w:shd w:val="clear" w:color="auto" w:fill="9ADAF6"/>
          </w:tcPr>
          <w:p>
            <w:pPr>
              <w:spacing w:after="0"/>
              <w:rPr>
                <w:sz w:val="12"/>
                <w:szCs w:val="12"/>
                <w:color w:val="auto"/>
              </w:rPr>
            </w:pPr>
          </w:p>
        </w:tc>
        <w:tc>
          <w:tcPr>
            <w:tcW w:w="40" w:type="dxa"/>
            <w:vAlign w:val="bottom"/>
            <w:tcBorders>
              <w:right w:val="single" w:sz="8" w:color="9ADAF6"/>
            </w:tcBorders>
          </w:tcPr>
          <w:p>
            <w:pPr>
              <w:spacing w:after="0"/>
              <w:rPr>
                <w:sz w:val="12"/>
                <w:szCs w:val="12"/>
                <w:color w:val="auto"/>
              </w:rPr>
            </w:pPr>
          </w:p>
        </w:tc>
        <w:tc>
          <w:tcPr>
            <w:tcW w:w="780" w:type="dxa"/>
            <w:vAlign w:val="bottom"/>
            <w:tcBorders>
              <w:right w:val="single" w:sz="8" w:color="9ADAF6"/>
            </w:tcBorders>
            <w:gridSpan w:val="2"/>
            <w:shd w:val="clear" w:color="auto" w:fill="9ADAF6"/>
          </w:tcPr>
          <w:p>
            <w:pPr>
              <w:spacing w:after="0"/>
              <w:rPr>
                <w:sz w:val="12"/>
                <w:szCs w:val="12"/>
                <w:color w:val="auto"/>
              </w:rPr>
            </w:pPr>
          </w:p>
        </w:tc>
        <w:tc>
          <w:tcPr>
            <w:tcW w:w="340" w:type="dxa"/>
            <w:vAlign w:val="bottom"/>
            <w:gridSpan w:val="5"/>
            <w:shd w:val="clear" w:color="auto" w:fill="9ADAF6"/>
          </w:tcPr>
          <w:p>
            <w:pPr>
              <w:spacing w:after="0"/>
              <w:rPr>
                <w:sz w:val="12"/>
                <w:szCs w:val="12"/>
                <w:color w:val="auto"/>
              </w:rPr>
            </w:pPr>
          </w:p>
        </w:tc>
        <w:tc>
          <w:tcPr>
            <w:tcW w:w="680" w:type="dxa"/>
            <w:vAlign w:val="bottom"/>
            <w:gridSpan w:val="3"/>
            <w:vMerge w:val="continue"/>
            <w:shd w:val="clear" w:color="auto" w:fill="9ADAF6"/>
          </w:tcPr>
          <w:p>
            <w:pPr>
              <w:spacing w:after="0"/>
              <w:rPr>
                <w:sz w:val="12"/>
                <w:szCs w:val="12"/>
                <w:color w:val="auto"/>
              </w:rPr>
            </w:pPr>
          </w:p>
        </w:tc>
        <w:tc>
          <w:tcPr>
            <w:tcW w:w="920" w:type="dxa"/>
            <w:vAlign w:val="bottom"/>
            <w:gridSpan w:val="6"/>
          </w:tcPr>
          <w:p>
            <w:pPr>
              <w:spacing w:after="0"/>
              <w:rPr>
                <w:sz w:val="12"/>
                <w:szCs w:val="12"/>
                <w:color w:val="auto"/>
              </w:rPr>
            </w:pPr>
          </w:p>
        </w:tc>
        <w:tc>
          <w:tcPr>
            <w:tcW w:w="2040" w:type="dxa"/>
            <w:vAlign w:val="bottom"/>
            <w:tcBorders>
              <w:left w:val="single" w:sz="8" w:color="9ADAF6"/>
            </w:tcBorders>
            <w:gridSpan w:val="10"/>
            <w:shd w:val="clear" w:color="auto" w:fill="9ADAF6"/>
          </w:tcPr>
          <w:p>
            <w:pPr>
              <w:spacing w:after="0"/>
              <w:rPr>
                <w:sz w:val="12"/>
                <w:szCs w:val="12"/>
                <w:color w:val="auto"/>
              </w:rPr>
            </w:pPr>
          </w:p>
        </w:tc>
        <w:tc>
          <w:tcPr>
            <w:tcW w:w="100" w:type="dxa"/>
            <w:vAlign w:val="bottom"/>
            <w:tcBorders>
              <w:left w:val="single" w:sz="8" w:color="9ADAF6"/>
              <w:right w:val="single" w:sz="8" w:color="9ADAF6"/>
            </w:tcBorders>
            <w:shd w:val="clear" w:color="auto" w:fill="9ADAF6"/>
          </w:tcPr>
          <w:p>
            <w:pPr>
              <w:spacing w:after="0"/>
              <w:rPr>
                <w:sz w:val="12"/>
                <w:szCs w:val="12"/>
                <w:color w:val="auto"/>
              </w:rPr>
            </w:pPr>
          </w:p>
        </w:tc>
        <w:tc>
          <w:tcPr>
            <w:tcW w:w="940" w:type="dxa"/>
            <w:vAlign w:val="bottom"/>
            <w:gridSpan w:val="7"/>
            <w:shd w:val="clear" w:color="auto" w:fill="9ADAF6"/>
          </w:tcPr>
          <w:p>
            <w:pPr>
              <w:spacing w:after="0"/>
              <w:rPr>
                <w:sz w:val="12"/>
                <w:szCs w:val="12"/>
                <w:color w:val="auto"/>
              </w:rPr>
            </w:pPr>
          </w:p>
        </w:tc>
        <w:tc>
          <w:tcPr>
            <w:tcW w:w="740" w:type="dxa"/>
            <w:vAlign w:val="bottom"/>
            <w:vMerge w:val="continue"/>
            <w:shd w:val="clear" w:color="auto" w:fill="9ADAF6"/>
          </w:tcPr>
          <w:p>
            <w:pPr>
              <w:spacing w:after="0"/>
              <w:rPr>
                <w:sz w:val="12"/>
                <w:szCs w:val="12"/>
                <w:color w:val="auto"/>
              </w:rPr>
            </w:pPr>
          </w:p>
        </w:tc>
        <w:tc>
          <w:tcPr>
            <w:tcW w:w="260" w:type="dxa"/>
            <w:vAlign w:val="bottom"/>
            <w:gridSpan w:val="3"/>
          </w:tcPr>
          <w:p>
            <w:pPr>
              <w:spacing w:after="0"/>
              <w:rPr>
                <w:sz w:val="12"/>
                <w:szCs w:val="12"/>
                <w:color w:val="auto"/>
              </w:rPr>
            </w:pPr>
          </w:p>
        </w:tc>
        <w:tc>
          <w:tcPr>
            <w:tcW w:w="780" w:type="dxa"/>
            <w:vAlign w:val="bottom"/>
            <w:tcBorders>
              <w:right w:val="single" w:sz="8" w:color="auto"/>
            </w:tcBorders>
            <w:gridSpan w:val="3"/>
            <w:vMerge w:val="restart"/>
            <w:shd w:val="clear" w:color="auto" w:fill="9ADAF6"/>
          </w:tcPr>
          <w:p>
            <w:pPr>
              <w:jc w:val="center"/>
              <w:ind w:right="280"/>
              <w:spacing w:after="0" w:line="200" w:lineRule="exact"/>
              <w:rPr>
                <w:sz w:val="20"/>
                <w:szCs w:val="20"/>
                <w:color w:val="auto"/>
              </w:rPr>
            </w:pPr>
            <w:r>
              <w:rPr>
                <w:rFonts w:ascii="Arial" w:cs="Arial" w:eastAsia="Arial" w:hAnsi="Arial"/>
                <w:sz w:val="18"/>
                <w:szCs w:val="18"/>
                <w:b w:val="1"/>
                <w:bCs w:val="1"/>
                <w:color w:val="auto"/>
                <w:w w:val="97"/>
              </w:rPr>
              <w:t>to be</w:t>
            </w:r>
          </w:p>
        </w:tc>
        <w:tc>
          <w:tcPr>
            <w:tcW w:w="0" w:type="dxa"/>
            <w:vAlign w:val="bottom"/>
          </w:tcPr>
          <w:p>
            <w:pPr>
              <w:spacing w:after="0"/>
              <w:rPr>
                <w:sz w:val="1"/>
                <w:szCs w:val="1"/>
                <w:color w:val="auto"/>
              </w:rPr>
            </w:pPr>
          </w:p>
        </w:tc>
      </w:tr>
      <w:tr>
        <w:trPr>
          <w:trHeight w:val="55"/>
        </w:trPr>
        <w:tc>
          <w:tcPr>
            <w:tcW w:w="2060" w:type="dxa"/>
            <w:vAlign w:val="bottom"/>
            <w:tcBorders>
              <w:left w:val="single" w:sz="8" w:color="auto"/>
              <w:right w:val="single" w:sz="8" w:color="9ADAF6"/>
            </w:tcBorders>
            <w:gridSpan w:val="13"/>
          </w:tcPr>
          <w:p>
            <w:pPr>
              <w:spacing w:after="0"/>
              <w:rPr>
                <w:sz w:val="4"/>
                <w:szCs w:val="4"/>
                <w:color w:val="auto"/>
              </w:rPr>
            </w:pPr>
          </w:p>
        </w:tc>
        <w:tc>
          <w:tcPr>
            <w:tcW w:w="1720" w:type="dxa"/>
            <w:vAlign w:val="bottom"/>
            <w:tcBorders>
              <w:right w:val="single" w:sz="8" w:color="9ADAF6"/>
            </w:tcBorders>
            <w:gridSpan w:val="9"/>
            <w:shd w:val="clear" w:color="auto" w:fill="9ADAF6"/>
          </w:tcPr>
          <w:p>
            <w:pPr>
              <w:spacing w:after="0"/>
              <w:rPr>
                <w:sz w:val="4"/>
                <w:szCs w:val="4"/>
                <w:color w:val="auto"/>
              </w:rPr>
            </w:pPr>
          </w:p>
        </w:tc>
        <w:tc>
          <w:tcPr>
            <w:tcW w:w="780" w:type="dxa"/>
            <w:vAlign w:val="bottom"/>
            <w:tcBorders>
              <w:right w:val="single" w:sz="8" w:color="9ADAF6"/>
            </w:tcBorders>
            <w:gridSpan w:val="2"/>
            <w:shd w:val="clear" w:color="auto" w:fill="9ADAF6"/>
          </w:tcPr>
          <w:p>
            <w:pPr>
              <w:spacing w:after="0"/>
              <w:rPr>
                <w:sz w:val="4"/>
                <w:szCs w:val="4"/>
                <w:color w:val="auto"/>
              </w:rPr>
            </w:pPr>
          </w:p>
        </w:tc>
        <w:tc>
          <w:tcPr>
            <w:tcW w:w="620" w:type="dxa"/>
            <w:vAlign w:val="bottom"/>
            <w:tcBorders>
              <w:right w:val="single" w:sz="8" w:color="9ADAF6"/>
            </w:tcBorders>
            <w:gridSpan w:val="6"/>
            <w:shd w:val="clear" w:color="auto" w:fill="9ADAF6"/>
          </w:tcPr>
          <w:p>
            <w:pPr>
              <w:spacing w:after="0"/>
              <w:rPr>
                <w:sz w:val="4"/>
                <w:szCs w:val="4"/>
                <w:color w:val="auto"/>
              </w:rPr>
            </w:pPr>
          </w:p>
        </w:tc>
        <w:tc>
          <w:tcPr>
            <w:tcW w:w="1320" w:type="dxa"/>
            <w:vAlign w:val="bottom"/>
            <w:gridSpan w:val="8"/>
            <w:shd w:val="clear" w:color="auto" w:fill="9ADAF6"/>
          </w:tcPr>
          <w:p>
            <w:pPr>
              <w:spacing w:after="0"/>
              <w:rPr>
                <w:sz w:val="4"/>
                <w:szCs w:val="4"/>
                <w:color w:val="auto"/>
              </w:rPr>
            </w:pPr>
          </w:p>
        </w:tc>
        <w:tc>
          <w:tcPr>
            <w:tcW w:w="2040" w:type="dxa"/>
            <w:vAlign w:val="bottom"/>
            <w:tcBorders>
              <w:left w:val="single" w:sz="8" w:color="9ADAF6"/>
            </w:tcBorders>
            <w:gridSpan w:val="10"/>
            <w:shd w:val="clear" w:color="auto" w:fill="9ADAF6"/>
          </w:tcPr>
          <w:p>
            <w:pPr>
              <w:spacing w:after="0"/>
              <w:rPr>
                <w:sz w:val="4"/>
                <w:szCs w:val="4"/>
                <w:color w:val="auto"/>
              </w:rPr>
            </w:pPr>
          </w:p>
        </w:tc>
        <w:tc>
          <w:tcPr>
            <w:tcW w:w="100" w:type="dxa"/>
            <w:vAlign w:val="bottom"/>
            <w:tcBorders>
              <w:left w:val="single" w:sz="8" w:color="9ADAF6"/>
              <w:right w:val="single" w:sz="8" w:color="9ADAF6"/>
            </w:tcBorders>
            <w:shd w:val="clear" w:color="auto" w:fill="9ADAF6"/>
          </w:tcPr>
          <w:p>
            <w:pPr>
              <w:spacing w:after="0"/>
              <w:rPr>
                <w:sz w:val="4"/>
                <w:szCs w:val="4"/>
                <w:color w:val="auto"/>
              </w:rPr>
            </w:pPr>
          </w:p>
        </w:tc>
        <w:tc>
          <w:tcPr>
            <w:tcW w:w="1940" w:type="dxa"/>
            <w:vAlign w:val="bottom"/>
            <w:gridSpan w:val="11"/>
            <w:shd w:val="clear" w:color="auto" w:fill="9ADAF6"/>
          </w:tcPr>
          <w:p>
            <w:pPr>
              <w:spacing w:after="0"/>
              <w:rPr>
                <w:sz w:val="4"/>
                <w:szCs w:val="4"/>
                <w:color w:val="auto"/>
              </w:rPr>
            </w:pPr>
          </w:p>
        </w:tc>
        <w:tc>
          <w:tcPr>
            <w:tcW w:w="780" w:type="dxa"/>
            <w:vAlign w:val="bottom"/>
            <w:tcBorders>
              <w:right w:val="single" w:sz="8" w:color="auto"/>
            </w:tcBorders>
            <w:gridSpan w:val="3"/>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17"/>
                <w:szCs w:val="17"/>
                <w:color w:val="auto"/>
              </w:rPr>
            </w:pPr>
          </w:p>
        </w:tc>
        <w:tc>
          <w:tcPr>
            <w:tcW w:w="780" w:type="dxa"/>
            <w:vAlign w:val="bottom"/>
            <w:tcBorders>
              <w:right w:val="single" w:sz="8" w:color="9ADAF6"/>
            </w:tcBorders>
            <w:gridSpan w:val="2"/>
            <w:shd w:val="clear" w:color="auto" w:fill="9ADAF6"/>
          </w:tcPr>
          <w:p>
            <w:pPr>
              <w:spacing w:after="0"/>
              <w:rPr>
                <w:sz w:val="17"/>
                <w:szCs w:val="17"/>
                <w:color w:val="auto"/>
              </w:rPr>
            </w:pPr>
          </w:p>
        </w:tc>
        <w:tc>
          <w:tcPr>
            <w:tcW w:w="620" w:type="dxa"/>
            <w:vAlign w:val="bottom"/>
            <w:tcBorders>
              <w:right w:val="single" w:sz="8" w:color="9ADAF6"/>
            </w:tcBorders>
            <w:gridSpan w:val="6"/>
            <w:shd w:val="clear" w:color="auto" w:fill="9ADAF6"/>
          </w:tcPr>
          <w:p>
            <w:pPr>
              <w:spacing w:after="0"/>
              <w:rPr>
                <w:sz w:val="17"/>
                <w:szCs w:val="17"/>
                <w:color w:val="auto"/>
              </w:rPr>
            </w:pPr>
          </w:p>
        </w:tc>
        <w:tc>
          <w:tcPr>
            <w:tcW w:w="1320" w:type="dxa"/>
            <w:vAlign w:val="bottom"/>
            <w:gridSpan w:val="8"/>
            <w:shd w:val="clear" w:color="auto" w:fill="9ADAF6"/>
          </w:tcPr>
          <w:p>
            <w:pPr>
              <w:spacing w:after="0"/>
              <w:rPr>
                <w:sz w:val="17"/>
                <w:szCs w:val="17"/>
                <w:color w:val="auto"/>
              </w:rPr>
            </w:pP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Carried</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9ADAF6"/>
            </w:tcBorders>
            <w:gridSpan w:val="13"/>
          </w:tcPr>
          <w:p>
            <w:pPr>
              <w:spacing w:after="0"/>
              <w:rPr>
                <w:sz w:val="20"/>
                <w:szCs w:val="20"/>
                <w:color w:val="auto"/>
              </w:rPr>
            </w:pPr>
          </w:p>
        </w:tc>
        <w:tc>
          <w:tcPr>
            <w:tcW w:w="1720" w:type="dxa"/>
            <w:vAlign w:val="bottom"/>
            <w:tcBorders>
              <w:right w:val="single" w:sz="8" w:color="9ADAF6"/>
            </w:tcBorders>
            <w:gridSpan w:val="9"/>
            <w:shd w:val="clear" w:color="auto" w:fill="9ADAF6"/>
          </w:tcPr>
          <w:p>
            <w:pPr>
              <w:spacing w:after="0"/>
              <w:rPr>
                <w:sz w:val="20"/>
                <w:szCs w:val="20"/>
                <w:color w:val="auto"/>
              </w:rPr>
            </w:pPr>
          </w:p>
        </w:tc>
        <w:tc>
          <w:tcPr>
            <w:tcW w:w="780" w:type="dxa"/>
            <w:vAlign w:val="bottom"/>
            <w:tcBorders>
              <w:right w:val="single" w:sz="8" w:color="9ADAF6"/>
            </w:tcBorders>
            <w:gridSpan w:val="2"/>
            <w:shd w:val="clear" w:color="auto" w:fill="9ADAF6"/>
          </w:tcPr>
          <w:p>
            <w:pPr>
              <w:spacing w:after="0"/>
              <w:rPr>
                <w:sz w:val="20"/>
                <w:szCs w:val="20"/>
                <w:color w:val="auto"/>
              </w:rPr>
            </w:pPr>
          </w:p>
        </w:tc>
        <w:tc>
          <w:tcPr>
            <w:tcW w:w="620" w:type="dxa"/>
            <w:vAlign w:val="bottom"/>
            <w:tcBorders>
              <w:right w:val="single" w:sz="8" w:color="9ADAF6"/>
            </w:tcBorders>
            <w:gridSpan w:val="6"/>
            <w:shd w:val="clear" w:color="auto" w:fill="9ADAF6"/>
          </w:tcPr>
          <w:p>
            <w:pPr>
              <w:spacing w:after="0"/>
              <w:rPr>
                <w:sz w:val="20"/>
                <w:szCs w:val="20"/>
                <w:color w:val="auto"/>
              </w:rPr>
            </w:pPr>
          </w:p>
        </w:tc>
        <w:tc>
          <w:tcPr>
            <w:tcW w:w="1320" w:type="dxa"/>
            <w:vAlign w:val="bottom"/>
            <w:gridSpan w:val="8"/>
            <w:shd w:val="clear" w:color="auto" w:fill="9ADAF6"/>
          </w:tcPr>
          <w:p>
            <w:pPr>
              <w:spacing w:after="0"/>
              <w:rPr>
                <w:sz w:val="20"/>
                <w:szCs w:val="20"/>
                <w:color w:val="auto"/>
              </w:rPr>
            </w:pPr>
          </w:p>
        </w:tc>
        <w:tc>
          <w:tcPr>
            <w:tcW w:w="2040" w:type="dxa"/>
            <w:vAlign w:val="bottom"/>
            <w:tcBorders>
              <w:left w:val="single" w:sz="8" w:color="9ADAF6"/>
            </w:tcBorders>
            <w:gridSpan w:val="10"/>
            <w:shd w:val="clear" w:color="auto" w:fill="9ADAF6"/>
          </w:tcPr>
          <w:p>
            <w:pPr>
              <w:spacing w:after="0"/>
              <w:rPr>
                <w:sz w:val="20"/>
                <w:szCs w:val="20"/>
                <w:color w:val="auto"/>
              </w:rPr>
            </w:pPr>
          </w:p>
        </w:tc>
        <w:tc>
          <w:tcPr>
            <w:tcW w:w="100" w:type="dxa"/>
            <w:vAlign w:val="bottom"/>
            <w:tcBorders>
              <w:left w:val="single" w:sz="8" w:color="9ADAF6"/>
              <w:right w:val="single" w:sz="8" w:color="9ADAF6"/>
            </w:tcBorders>
            <w:shd w:val="clear" w:color="auto" w:fill="9ADAF6"/>
          </w:tcPr>
          <w:p>
            <w:pPr>
              <w:spacing w:after="0"/>
              <w:rPr>
                <w:sz w:val="20"/>
                <w:szCs w:val="20"/>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Forward</w:t>
            </w:r>
          </w:p>
        </w:tc>
        <w:tc>
          <w:tcPr>
            <w:tcW w:w="0" w:type="dxa"/>
            <w:vAlign w:val="bottom"/>
          </w:tcPr>
          <w:p>
            <w:pPr>
              <w:spacing w:after="0"/>
              <w:rPr>
                <w:sz w:val="1"/>
                <w:szCs w:val="1"/>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40" w:type="dxa"/>
            <w:vAlign w:val="bottom"/>
            <w:gridSpan w:val="17"/>
          </w:tcPr>
          <w:p>
            <w:pPr>
              <w:ind w:left="700"/>
              <w:spacing w:after="0"/>
              <w:rPr>
                <w:sz w:val="20"/>
                <w:szCs w:val="20"/>
                <w:color w:val="auto"/>
              </w:rPr>
            </w:pPr>
            <w:r>
              <w:rPr>
                <w:rFonts w:ascii="Arial" w:cs="Arial" w:eastAsia="Arial" w:hAnsi="Arial"/>
                <w:sz w:val="18"/>
                <w:szCs w:val="18"/>
                <w:b w:val="1"/>
                <w:bCs w:val="1"/>
                <w:color w:val="auto"/>
              </w:rPr>
              <w:t>Newly Registered Securities</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95" w:lineRule="exact"/>
              <w:rPr>
                <w:sz w:val="20"/>
                <w:szCs w:val="20"/>
                <w:color w:val="auto"/>
              </w:rPr>
            </w:pPr>
            <w:r>
              <w:rPr>
                <w:rFonts w:ascii="Arial" w:cs="Arial" w:eastAsia="Arial" w:hAnsi="Arial"/>
                <w:sz w:val="18"/>
                <w:szCs w:val="18"/>
                <w:color w:val="auto"/>
              </w:rPr>
              <w:t>Fees to</w:t>
            </w:r>
          </w:p>
        </w:tc>
        <w:tc>
          <w:tcPr>
            <w:tcW w:w="20" w:type="dxa"/>
            <w:vAlign w:val="bottom"/>
          </w:tcPr>
          <w:p>
            <w:pPr>
              <w:spacing w:after="0"/>
              <w:rPr>
                <w:sz w:val="16"/>
                <w:szCs w:val="16"/>
                <w:color w:val="auto"/>
              </w:rPr>
            </w:pPr>
          </w:p>
        </w:tc>
        <w:tc>
          <w:tcPr>
            <w:tcW w:w="32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44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680" w:type="dxa"/>
            <w:vAlign w:val="bottom"/>
            <w:gridSpan w:val="2"/>
            <w:vMerge w:val="restart"/>
            <w:shd w:val="clear" w:color="auto" w:fill="E7E7E2"/>
          </w:tcPr>
          <w:p>
            <w:pP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720" w:type="dxa"/>
            <w:vAlign w:val="bottom"/>
            <w:gridSpan w:val="3"/>
            <w:vMerge w:val="restart"/>
            <w:shd w:val="clear" w:color="auto" w:fill="E7E7E2"/>
          </w:tcPr>
          <w:p>
            <w:pPr>
              <w:jc w:val="center"/>
              <w:ind w:right="173"/>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900" w:type="dxa"/>
            <w:vAlign w:val="bottom"/>
            <w:gridSpan w:val="3"/>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tcBorders>
              <w:righ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vMerge w:val="restart"/>
            <w:shd w:val="clear" w:color="auto" w:fill="E7E7E2"/>
          </w:tcPr>
          <w:p>
            <w:pPr>
              <w:ind w:left="6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shd w:val="clear" w:color="auto" w:fill="E7E7E2"/>
          </w:tcPr>
          <w:p>
            <w:pPr>
              <w:spacing w:after="0"/>
              <w:rPr>
                <w:sz w:val="16"/>
                <w:szCs w:val="16"/>
                <w:color w:val="auto"/>
              </w:rPr>
            </w:pPr>
          </w:p>
        </w:tc>
        <w:tc>
          <w:tcPr>
            <w:tcW w:w="360" w:type="dxa"/>
            <w:vAlign w:val="bottom"/>
            <w:vMerge w:val="restart"/>
            <w:shd w:val="clear" w:color="auto" w:fill="E7E7E2"/>
          </w:tcPr>
          <w:p>
            <w:pPr>
              <w:ind w:left="4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4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00" w:type="dxa"/>
            <w:vAlign w:val="bottom"/>
            <w:tcBorders>
              <w:right w:val="single" w:sz="8" w:color="E7E7E2"/>
            </w:tcBorders>
            <w:gridSpan w:val="3"/>
            <w:vMerge w:val="restart"/>
            <w:shd w:val="clear" w:color="auto" w:fill="E7E7E2"/>
          </w:tcPr>
          <w:p>
            <w:pPr>
              <w:jc w:val="center"/>
              <w:ind w:left="54"/>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780" w:type="dxa"/>
            <w:vAlign w:val="bottom"/>
            <w:tcBorders>
              <w:right w:val="single" w:sz="8" w:color="auto"/>
            </w:tcBorders>
            <w:gridSpan w:val="3"/>
            <w:vMerge w:val="restart"/>
            <w:shd w:val="clear" w:color="auto" w:fill="E7E7E2"/>
          </w:tcPr>
          <w:p>
            <w:pPr>
              <w:ind w:left="4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be Paid</w:t>
            </w:r>
          </w:p>
        </w:tc>
        <w:tc>
          <w:tcPr>
            <w:tcW w:w="20" w:type="dxa"/>
            <w:vAlign w:val="bottom"/>
          </w:tcPr>
          <w:p>
            <w:pPr>
              <w:spacing w:after="0"/>
              <w:rPr>
                <w:sz w:val="11"/>
                <w:szCs w:val="11"/>
                <w:color w:val="auto"/>
              </w:rPr>
            </w:pPr>
          </w:p>
        </w:tc>
        <w:tc>
          <w:tcPr>
            <w:tcW w:w="3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280" w:type="dxa"/>
            <w:vAlign w:val="bottom"/>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8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720" w:type="dxa"/>
            <w:vAlign w:val="bottom"/>
            <w:gridSpan w:val="3"/>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280" w:type="dxa"/>
            <w:vAlign w:val="bottom"/>
            <w:tcBorders>
              <w:right w:val="single" w:sz="8" w:color="E7E7E2"/>
            </w:tcBorders>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780" w:type="dxa"/>
            <w:vAlign w:val="bottom"/>
            <w:tcBorders>
              <w:right w:val="single" w:sz="8" w:color="auto"/>
            </w:tcBorders>
            <w:gridSpan w:val="3"/>
            <w:vMerge w:val="continue"/>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shd w:val="clear" w:color="auto" w:fill="E7E7E2"/>
          </w:tcPr>
          <w:p>
            <w:pPr>
              <w:spacing w:after="0"/>
              <w:rPr>
                <w:sz w:val="8"/>
                <w:szCs w:val="8"/>
                <w:color w:val="auto"/>
              </w:rPr>
            </w:pPr>
          </w:p>
        </w:tc>
        <w:tc>
          <w:tcPr>
            <w:tcW w:w="620" w:type="dxa"/>
            <w:vAlign w:val="bottom"/>
            <w:tcBorders>
              <w:right w:val="single" w:sz="8" w:color="E7E7E2"/>
            </w:tcBorders>
            <w:gridSpan w:val="6"/>
            <w:shd w:val="clear" w:color="auto" w:fill="E7E7E2"/>
          </w:tcPr>
          <w:p>
            <w:pPr>
              <w:spacing w:after="0"/>
              <w:rPr>
                <w:sz w:val="8"/>
                <w:szCs w:val="8"/>
                <w:color w:val="auto"/>
              </w:rPr>
            </w:pPr>
          </w:p>
        </w:tc>
        <w:tc>
          <w:tcPr>
            <w:tcW w:w="1320" w:type="dxa"/>
            <w:vAlign w:val="bottom"/>
            <w:gridSpan w:val="8"/>
            <w:shd w:val="clear" w:color="auto" w:fill="E7E7E2"/>
          </w:tcPr>
          <w:p>
            <w:pPr>
              <w:spacing w:after="0"/>
              <w:rPr>
                <w:sz w:val="8"/>
                <w:szCs w:val="8"/>
                <w:color w:val="auto"/>
              </w:rPr>
            </w:pPr>
          </w:p>
        </w:tc>
        <w:tc>
          <w:tcPr>
            <w:tcW w:w="2040" w:type="dxa"/>
            <w:vAlign w:val="bottom"/>
            <w:tcBorders>
              <w:left w:val="single" w:sz="8" w:color="E7E7E2"/>
            </w:tcBorders>
            <w:gridSpan w:val="10"/>
            <w:shd w:val="clear" w:color="auto" w:fill="E7E7E2"/>
          </w:tcPr>
          <w:p>
            <w:pPr>
              <w:spacing w:after="0"/>
              <w:rPr>
                <w:sz w:val="8"/>
                <w:szCs w:val="8"/>
                <w:color w:val="auto"/>
              </w:rPr>
            </w:pPr>
          </w:p>
        </w:tc>
        <w:tc>
          <w:tcPr>
            <w:tcW w:w="100" w:type="dxa"/>
            <w:vAlign w:val="bottom"/>
            <w:tcBorders>
              <w:left w:val="single" w:sz="8" w:color="E7E7E2"/>
              <w:right w:val="single" w:sz="8" w:color="E7E7E2"/>
            </w:tcBorders>
            <w:shd w:val="clear" w:color="auto" w:fill="E7E7E2"/>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360" w:type="dxa"/>
            <w:vAlign w:val="bottom"/>
            <w:tcBorders>
              <w:left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Fees</w:t>
            </w:r>
          </w:p>
        </w:tc>
        <w:tc>
          <w:tcPr>
            <w:tcW w:w="1720" w:type="dxa"/>
            <w:vAlign w:val="bottom"/>
            <w:tcBorders>
              <w:right w:val="single" w:sz="8" w:color="E7E7E2"/>
            </w:tcBorders>
            <w:gridSpan w:val="9"/>
            <w:shd w:val="clear" w:color="auto" w:fill="E7E7E2"/>
          </w:tcPr>
          <w:p>
            <w:pPr>
              <w:spacing w:after="0"/>
              <w:rPr>
                <w:sz w:val="16"/>
                <w:szCs w:val="16"/>
                <w:color w:val="auto"/>
              </w:rPr>
            </w:pPr>
          </w:p>
        </w:tc>
        <w:tc>
          <w:tcPr>
            <w:tcW w:w="780" w:type="dxa"/>
            <w:vAlign w:val="bottom"/>
            <w:tcBorders>
              <w:right w:val="single" w:sz="8" w:color="E7E7E2"/>
            </w:tcBorders>
            <w:gridSpan w:val="2"/>
            <w:shd w:val="clear" w:color="auto" w:fill="E7E7E2"/>
          </w:tcPr>
          <w:p>
            <w:pPr>
              <w:spacing w:after="0"/>
              <w:rPr>
                <w:sz w:val="16"/>
                <w:szCs w:val="16"/>
                <w:color w:val="auto"/>
              </w:rPr>
            </w:pPr>
          </w:p>
        </w:tc>
        <w:tc>
          <w:tcPr>
            <w:tcW w:w="620" w:type="dxa"/>
            <w:vAlign w:val="bottom"/>
            <w:tcBorders>
              <w:right w:val="single" w:sz="8" w:color="E7E7E2"/>
            </w:tcBorders>
            <w:gridSpan w:val="6"/>
            <w:shd w:val="clear" w:color="auto" w:fill="E7E7E2"/>
          </w:tcPr>
          <w:p>
            <w:pPr>
              <w:spacing w:after="0"/>
              <w:rPr>
                <w:sz w:val="16"/>
                <w:szCs w:val="16"/>
                <w:color w:val="auto"/>
              </w:rPr>
            </w:pPr>
          </w:p>
        </w:tc>
        <w:tc>
          <w:tcPr>
            <w:tcW w:w="1320" w:type="dxa"/>
            <w:vAlign w:val="bottom"/>
            <w:gridSpan w:val="8"/>
            <w:shd w:val="clear" w:color="auto" w:fill="E7E7E2"/>
          </w:tcPr>
          <w:p>
            <w:pPr>
              <w:spacing w:after="0"/>
              <w:rPr>
                <w:sz w:val="16"/>
                <w:szCs w:val="16"/>
                <w:color w:val="auto"/>
              </w:rPr>
            </w:pPr>
          </w:p>
        </w:tc>
        <w:tc>
          <w:tcPr>
            <w:tcW w:w="2040" w:type="dxa"/>
            <w:vAlign w:val="bottom"/>
            <w:tcBorders>
              <w:left w:val="single" w:sz="8" w:color="E7E7E2"/>
            </w:tcBorders>
            <w:gridSpan w:val="10"/>
            <w:shd w:val="clear" w:color="auto" w:fill="E7E7E2"/>
          </w:tcPr>
          <w:p>
            <w:pPr>
              <w:spacing w:after="0"/>
              <w:rPr>
                <w:sz w:val="16"/>
                <w:szCs w:val="16"/>
                <w:color w:val="auto"/>
              </w:rPr>
            </w:pPr>
          </w:p>
        </w:tc>
        <w:tc>
          <w:tcPr>
            <w:tcW w:w="100" w:type="dxa"/>
            <w:vAlign w:val="bottom"/>
            <w:tcBorders>
              <w:left w:val="single" w:sz="8" w:color="E7E7E2"/>
              <w:right w:val="single" w:sz="8" w:color="E7E7E2"/>
            </w:tcBorders>
            <w:shd w:val="clear" w:color="auto" w:fill="E7E7E2"/>
          </w:tcPr>
          <w:p>
            <w:pPr>
              <w:spacing w:after="0"/>
              <w:rPr>
                <w:sz w:val="16"/>
                <w:szCs w:val="16"/>
                <w:color w:val="auto"/>
              </w:rPr>
            </w:pPr>
          </w:p>
        </w:tc>
        <w:tc>
          <w:tcPr>
            <w:tcW w:w="2720" w:type="dxa"/>
            <w:vAlign w:val="bottom"/>
            <w:tcBorders>
              <w:right w:val="single" w:sz="8" w:color="auto"/>
            </w:tcBorders>
            <w:gridSpan w:val="14"/>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4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w w:val="96"/>
              </w:rPr>
              <w:t>Previously</w:t>
            </w:r>
          </w:p>
        </w:tc>
        <w:tc>
          <w:tcPr>
            <w:tcW w:w="20" w:type="dxa"/>
            <w:vAlign w:val="bottom"/>
          </w:tcPr>
          <w:p>
            <w:pPr>
              <w:spacing w:after="0"/>
              <w:rPr>
                <w:sz w:val="17"/>
                <w:szCs w:val="17"/>
                <w:color w:val="auto"/>
              </w:rPr>
            </w:pPr>
          </w:p>
        </w:tc>
        <w:tc>
          <w:tcPr>
            <w:tcW w:w="32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7"/>
                <w:szCs w:val="17"/>
                <w:color w:val="auto"/>
              </w:rPr>
            </w:pPr>
          </w:p>
        </w:tc>
        <w:tc>
          <w:tcPr>
            <w:tcW w:w="440" w:type="dxa"/>
            <w:vAlign w:val="bottom"/>
            <w:shd w:val="clear" w:color="auto" w:fill="E7E7E2"/>
          </w:tcPr>
          <w:p>
            <w:pPr>
              <w:ind w:left="20"/>
              <w:spacing w:after="0" w:line="200" w:lineRule="exact"/>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7"/>
                <w:szCs w:val="17"/>
                <w:color w:val="auto"/>
              </w:rPr>
            </w:pPr>
          </w:p>
        </w:tc>
        <w:tc>
          <w:tcPr>
            <w:tcW w:w="280" w:type="dxa"/>
            <w:vAlign w:val="bottom"/>
            <w:shd w:val="clear" w:color="auto" w:fill="E7E7E2"/>
          </w:tcPr>
          <w:p>
            <w:pPr>
              <w:spacing w:after="0"/>
              <w:rPr>
                <w:sz w:val="17"/>
                <w:szCs w:val="17"/>
                <w:color w:val="auto"/>
              </w:rPr>
            </w:pPr>
          </w:p>
        </w:tc>
        <w:tc>
          <w:tcPr>
            <w:tcW w:w="80" w:type="dxa"/>
            <w:vAlign w:val="bottom"/>
            <w:tcBorders>
              <w:right w:val="single" w:sz="8" w:color="E7E7E2"/>
            </w:tcBorders>
          </w:tcPr>
          <w:p>
            <w:pPr>
              <w:spacing w:after="0"/>
              <w:rPr>
                <w:sz w:val="17"/>
                <w:szCs w:val="17"/>
                <w:color w:val="auto"/>
              </w:rPr>
            </w:pPr>
          </w:p>
        </w:tc>
        <w:tc>
          <w:tcPr>
            <w:tcW w:w="680" w:type="dxa"/>
            <w:vAlign w:val="bottom"/>
            <w:gridSpan w:val="2"/>
            <w:shd w:val="clear" w:color="auto" w:fill="E7E7E2"/>
          </w:tcPr>
          <w:p>
            <w:pPr>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720" w:type="dxa"/>
            <w:vAlign w:val="bottom"/>
            <w:gridSpan w:val="3"/>
            <w:shd w:val="clear" w:color="auto" w:fill="E7E7E2"/>
          </w:tcPr>
          <w:p>
            <w:pPr>
              <w:jc w:val="center"/>
              <w:ind w:right="173"/>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00" w:type="dxa"/>
            <w:vAlign w:val="bottom"/>
            <w:gridSpan w:val="3"/>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80" w:type="dxa"/>
            <w:vAlign w:val="bottom"/>
            <w:tcBorders>
              <w:right w:val="single" w:sz="8" w:color="E7E7E2"/>
            </w:tcBorders>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80" w:type="dxa"/>
            <w:vAlign w:val="bottom"/>
            <w:shd w:val="clear" w:color="auto" w:fill="E7E7E2"/>
          </w:tcPr>
          <w:p>
            <w:pPr>
              <w:ind w:left="6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20" w:type="dxa"/>
            <w:vAlign w:val="bottom"/>
            <w:shd w:val="clear" w:color="auto" w:fill="E7E7E2"/>
          </w:tcPr>
          <w:p>
            <w:pPr>
              <w:spacing w:after="0"/>
              <w:rPr>
                <w:sz w:val="17"/>
                <w:szCs w:val="17"/>
                <w:color w:val="auto"/>
              </w:rPr>
            </w:pPr>
          </w:p>
        </w:tc>
        <w:tc>
          <w:tcPr>
            <w:tcW w:w="340" w:type="dxa"/>
            <w:vAlign w:val="bottom"/>
            <w:gridSpan w:val="2"/>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shd w:val="clear" w:color="auto" w:fill="E7E7E2"/>
          </w:tcPr>
          <w:p>
            <w:pPr>
              <w:spacing w:after="0"/>
              <w:rPr>
                <w:sz w:val="17"/>
                <w:szCs w:val="17"/>
                <w:color w:val="auto"/>
              </w:rPr>
            </w:pPr>
          </w:p>
        </w:tc>
        <w:tc>
          <w:tcPr>
            <w:tcW w:w="360" w:type="dxa"/>
            <w:vAlign w:val="bottom"/>
            <w:shd w:val="clear" w:color="auto" w:fill="E7E7E2"/>
          </w:tcPr>
          <w:p>
            <w:pPr>
              <w:ind w:left="4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440" w:type="dxa"/>
            <w:vAlign w:val="bottom"/>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600" w:type="dxa"/>
            <w:vAlign w:val="bottom"/>
            <w:tcBorders>
              <w:right w:val="single" w:sz="8" w:color="E7E7E2"/>
            </w:tcBorders>
            <w:gridSpan w:val="3"/>
            <w:shd w:val="clear" w:color="auto" w:fill="E7E7E2"/>
          </w:tcPr>
          <w:p>
            <w:pPr>
              <w:jc w:val="center"/>
              <w:ind w:left="54"/>
              <w:spacing w:after="0" w:line="200" w:lineRule="exact"/>
              <w:rPr>
                <w:sz w:val="20"/>
                <w:szCs w:val="20"/>
                <w:color w:val="auto"/>
              </w:rPr>
            </w:pPr>
            <w:r>
              <w:rPr>
                <w:rFonts w:ascii="Arial" w:cs="Arial" w:eastAsia="Arial" w:hAnsi="Arial"/>
                <w:sz w:val="18"/>
                <w:szCs w:val="18"/>
                <w:color w:val="auto"/>
                <w:w w:val="99"/>
              </w:rPr>
              <w:t>N/A</w:t>
            </w: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780" w:type="dxa"/>
            <w:vAlign w:val="bottom"/>
            <w:tcBorders>
              <w:right w:val="single" w:sz="8" w:color="auto"/>
            </w:tcBorders>
            <w:gridSpan w:val="3"/>
            <w:shd w:val="clear" w:color="auto" w:fill="E7E7E2"/>
          </w:tcPr>
          <w:p>
            <w:pPr>
              <w:ind w:left="440"/>
              <w:spacing w:after="0" w:line="200"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2"/>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Paid</w:t>
            </w:r>
          </w:p>
        </w:tc>
        <w:tc>
          <w:tcPr>
            <w:tcW w:w="1720" w:type="dxa"/>
            <w:vAlign w:val="bottom"/>
            <w:tcBorders>
              <w:right w:val="single" w:sz="8" w:color="E7E7E2"/>
            </w:tcBorders>
            <w:gridSpan w:val="9"/>
            <w:shd w:val="clear" w:color="auto" w:fill="E7E7E2"/>
          </w:tcPr>
          <w:p>
            <w:pPr>
              <w:spacing w:after="0"/>
              <w:rPr>
                <w:sz w:val="20"/>
                <w:szCs w:val="20"/>
                <w:color w:val="auto"/>
              </w:rPr>
            </w:pPr>
          </w:p>
        </w:tc>
        <w:tc>
          <w:tcPr>
            <w:tcW w:w="780" w:type="dxa"/>
            <w:vAlign w:val="bottom"/>
            <w:tcBorders>
              <w:right w:val="single" w:sz="8" w:color="E7E7E2"/>
            </w:tcBorders>
            <w:gridSpan w:val="2"/>
            <w:shd w:val="clear" w:color="auto" w:fill="E7E7E2"/>
          </w:tcPr>
          <w:p>
            <w:pPr>
              <w:spacing w:after="0"/>
              <w:rPr>
                <w:sz w:val="20"/>
                <w:szCs w:val="20"/>
                <w:color w:val="auto"/>
              </w:rPr>
            </w:pPr>
          </w:p>
        </w:tc>
        <w:tc>
          <w:tcPr>
            <w:tcW w:w="620" w:type="dxa"/>
            <w:vAlign w:val="bottom"/>
            <w:tcBorders>
              <w:right w:val="single" w:sz="8" w:color="E7E7E2"/>
            </w:tcBorders>
            <w:gridSpan w:val="6"/>
            <w:shd w:val="clear" w:color="auto" w:fill="E7E7E2"/>
          </w:tcPr>
          <w:p>
            <w:pPr>
              <w:spacing w:after="0"/>
              <w:rPr>
                <w:sz w:val="20"/>
                <w:szCs w:val="20"/>
                <w:color w:val="auto"/>
              </w:rPr>
            </w:pPr>
          </w:p>
        </w:tc>
        <w:tc>
          <w:tcPr>
            <w:tcW w:w="1320" w:type="dxa"/>
            <w:vAlign w:val="bottom"/>
            <w:gridSpan w:val="8"/>
            <w:shd w:val="clear" w:color="auto" w:fill="E7E7E2"/>
          </w:tcPr>
          <w:p>
            <w:pPr>
              <w:spacing w:after="0"/>
              <w:rPr>
                <w:sz w:val="20"/>
                <w:szCs w:val="20"/>
                <w:color w:val="auto"/>
              </w:rPr>
            </w:pPr>
          </w:p>
        </w:tc>
        <w:tc>
          <w:tcPr>
            <w:tcW w:w="2040" w:type="dxa"/>
            <w:vAlign w:val="bottom"/>
            <w:tcBorders>
              <w:left w:val="single" w:sz="8" w:color="E7E7E2"/>
            </w:tcBorders>
            <w:gridSpan w:val="10"/>
            <w:shd w:val="clear" w:color="auto" w:fill="E7E7E2"/>
          </w:tcPr>
          <w:p>
            <w:pPr>
              <w:spacing w:after="0"/>
              <w:rPr>
                <w:sz w:val="20"/>
                <w:szCs w:val="20"/>
                <w:color w:val="auto"/>
              </w:rPr>
            </w:pPr>
          </w:p>
        </w:tc>
        <w:tc>
          <w:tcPr>
            <w:tcW w:w="100" w:type="dxa"/>
            <w:vAlign w:val="bottom"/>
            <w:tcBorders>
              <w:left w:val="single" w:sz="8" w:color="E7E7E2"/>
              <w:right w:val="single" w:sz="8" w:color="E7E7E2"/>
            </w:tcBorders>
            <w:shd w:val="clear" w:color="auto" w:fill="E7E7E2"/>
          </w:tcPr>
          <w:p>
            <w:pPr>
              <w:spacing w:after="0"/>
              <w:rPr>
                <w:sz w:val="20"/>
                <w:szCs w:val="20"/>
                <w:color w:val="auto"/>
              </w:rPr>
            </w:pPr>
          </w:p>
        </w:tc>
        <w:tc>
          <w:tcPr>
            <w:tcW w:w="2720" w:type="dxa"/>
            <w:vAlign w:val="bottom"/>
            <w:tcBorders>
              <w:right w:val="single" w:sz="8" w:color="auto"/>
            </w:tcBorders>
            <w:gridSpan w:val="14"/>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15"/>
          </w:tcPr>
          <w:p>
            <w:pPr>
              <w:ind w:left="60"/>
              <w:spacing w:after="0"/>
              <w:rPr>
                <w:sz w:val="20"/>
                <w:szCs w:val="20"/>
                <w:color w:val="auto"/>
              </w:rPr>
            </w:pPr>
            <w:r>
              <w:rPr>
                <w:rFonts w:ascii="Arial" w:cs="Arial" w:eastAsia="Arial" w:hAnsi="Arial"/>
                <w:sz w:val="18"/>
                <w:szCs w:val="18"/>
                <w:b w:val="1"/>
                <w:bCs w:val="1"/>
                <w:color w:val="auto"/>
              </w:rPr>
              <w:t>Carry Forward Securities</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Carry</w:t>
            </w:r>
          </w:p>
        </w:tc>
        <w:tc>
          <w:tcPr>
            <w:tcW w:w="1720" w:type="dxa"/>
            <w:vAlign w:val="bottom"/>
            <w:tcBorders>
              <w:right w:val="single" w:sz="8" w:color="E7E7E2"/>
            </w:tcBorders>
            <w:gridSpan w:val="9"/>
            <w:shd w:val="clear" w:color="auto" w:fill="E7E7E2"/>
          </w:tcPr>
          <w:p>
            <w:pPr>
              <w:spacing w:after="0"/>
              <w:rPr>
                <w:sz w:val="16"/>
                <w:szCs w:val="16"/>
                <w:color w:val="auto"/>
              </w:rPr>
            </w:pPr>
          </w:p>
        </w:tc>
        <w:tc>
          <w:tcPr>
            <w:tcW w:w="780" w:type="dxa"/>
            <w:vAlign w:val="bottom"/>
            <w:tcBorders>
              <w:right w:val="single" w:sz="8" w:color="E7E7E2"/>
            </w:tcBorders>
            <w:gridSpan w:val="2"/>
            <w:shd w:val="clear" w:color="auto" w:fill="E7E7E2"/>
          </w:tcPr>
          <w:p>
            <w:pPr>
              <w:spacing w:after="0"/>
              <w:rPr>
                <w:sz w:val="16"/>
                <w:szCs w:val="16"/>
                <w:color w:val="auto"/>
              </w:rPr>
            </w:pPr>
          </w:p>
        </w:tc>
        <w:tc>
          <w:tcPr>
            <w:tcW w:w="620" w:type="dxa"/>
            <w:vAlign w:val="bottom"/>
            <w:tcBorders>
              <w:right w:val="single" w:sz="8" w:color="E7E7E2"/>
            </w:tcBorders>
            <w:gridSpan w:val="6"/>
            <w:shd w:val="clear" w:color="auto" w:fill="E7E7E2"/>
          </w:tcPr>
          <w:p>
            <w:pPr>
              <w:spacing w:after="0"/>
              <w:rPr>
                <w:sz w:val="16"/>
                <w:szCs w:val="16"/>
                <w:color w:val="auto"/>
              </w:rPr>
            </w:pPr>
          </w:p>
        </w:tc>
        <w:tc>
          <w:tcPr>
            <w:tcW w:w="1320" w:type="dxa"/>
            <w:vAlign w:val="bottom"/>
            <w:gridSpan w:val="8"/>
            <w:shd w:val="clear" w:color="auto" w:fill="E7E7E2"/>
          </w:tcPr>
          <w:p>
            <w:pPr>
              <w:spacing w:after="0"/>
              <w:rPr>
                <w:sz w:val="16"/>
                <w:szCs w:val="16"/>
                <w:color w:val="auto"/>
              </w:rPr>
            </w:pPr>
          </w:p>
        </w:tc>
        <w:tc>
          <w:tcPr>
            <w:tcW w:w="2040" w:type="dxa"/>
            <w:vAlign w:val="bottom"/>
            <w:tcBorders>
              <w:left w:val="single" w:sz="8" w:color="E7E7E2"/>
            </w:tcBorders>
            <w:gridSpan w:val="10"/>
            <w:shd w:val="clear" w:color="auto" w:fill="E7E7E2"/>
          </w:tcPr>
          <w:p>
            <w:pPr>
              <w:spacing w:after="0"/>
              <w:rPr>
                <w:sz w:val="16"/>
                <w:szCs w:val="16"/>
                <w:color w:val="auto"/>
              </w:rPr>
            </w:pPr>
          </w:p>
        </w:tc>
        <w:tc>
          <w:tcPr>
            <w:tcW w:w="100" w:type="dxa"/>
            <w:vAlign w:val="bottom"/>
            <w:tcBorders>
              <w:left w:val="single" w:sz="8" w:color="E7E7E2"/>
              <w:right w:val="single" w:sz="8" w:color="E7E7E2"/>
            </w:tcBorders>
            <w:shd w:val="clear" w:color="auto" w:fill="E7E7E2"/>
          </w:tcPr>
          <w:p>
            <w:pPr>
              <w:spacing w:after="0"/>
              <w:rPr>
                <w:sz w:val="16"/>
                <w:szCs w:val="16"/>
                <w:color w:val="auto"/>
              </w:rPr>
            </w:pPr>
          </w:p>
        </w:tc>
        <w:tc>
          <w:tcPr>
            <w:tcW w:w="2720" w:type="dxa"/>
            <w:vAlign w:val="bottom"/>
            <w:tcBorders>
              <w:right w:val="single" w:sz="8" w:color="auto"/>
            </w:tcBorders>
            <w:gridSpan w:val="14"/>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4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rPr>
              <w:t>Forward</w:t>
            </w:r>
          </w:p>
        </w:tc>
        <w:tc>
          <w:tcPr>
            <w:tcW w:w="20" w:type="dxa"/>
            <w:vAlign w:val="bottom"/>
          </w:tcPr>
          <w:p>
            <w:pPr>
              <w:spacing w:after="0"/>
              <w:rPr>
                <w:sz w:val="17"/>
                <w:szCs w:val="17"/>
                <w:color w:val="auto"/>
              </w:rPr>
            </w:pPr>
          </w:p>
        </w:tc>
        <w:tc>
          <w:tcPr>
            <w:tcW w:w="32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7"/>
                <w:szCs w:val="17"/>
                <w:color w:val="auto"/>
              </w:rPr>
            </w:pPr>
          </w:p>
        </w:tc>
        <w:tc>
          <w:tcPr>
            <w:tcW w:w="440" w:type="dxa"/>
            <w:vAlign w:val="bottom"/>
            <w:shd w:val="clear" w:color="auto" w:fill="E7E7E2"/>
          </w:tcPr>
          <w:p>
            <w:pPr>
              <w:ind w:left="20"/>
              <w:spacing w:after="0" w:line="200" w:lineRule="exact"/>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7"/>
                <w:szCs w:val="17"/>
                <w:color w:val="auto"/>
              </w:rPr>
            </w:pPr>
          </w:p>
        </w:tc>
        <w:tc>
          <w:tcPr>
            <w:tcW w:w="280" w:type="dxa"/>
            <w:vAlign w:val="bottom"/>
            <w:shd w:val="clear" w:color="auto" w:fill="E7E7E2"/>
          </w:tcPr>
          <w:p>
            <w:pPr>
              <w:spacing w:after="0"/>
              <w:rPr>
                <w:sz w:val="17"/>
                <w:szCs w:val="17"/>
                <w:color w:val="auto"/>
              </w:rPr>
            </w:pPr>
          </w:p>
        </w:tc>
        <w:tc>
          <w:tcPr>
            <w:tcW w:w="80" w:type="dxa"/>
            <w:vAlign w:val="bottom"/>
            <w:tcBorders>
              <w:right w:val="single" w:sz="8" w:color="E7E7E2"/>
            </w:tcBorders>
          </w:tcPr>
          <w:p>
            <w:pPr>
              <w:spacing w:after="0"/>
              <w:rPr>
                <w:sz w:val="17"/>
                <w:szCs w:val="17"/>
                <w:color w:val="auto"/>
              </w:rPr>
            </w:pPr>
          </w:p>
        </w:tc>
        <w:tc>
          <w:tcPr>
            <w:tcW w:w="680" w:type="dxa"/>
            <w:vAlign w:val="bottom"/>
            <w:gridSpan w:val="2"/>
            <w:shd w:val="clear" w:color="auto" w:fill="E7E7E2"/>
          </w:tcPr>
          <w:p>
            <w:pPr>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720" w:type="dxa"/>
            <w:vAlign w:val="bottom"/>
            <w:gridSpan w:val="3"/>
            <w:shd w:val="clear" w:color="auto" w:fill="E7E7E2"/>
          </w:tcPr>
          <w:p>
            <w:pPr>
              <w:jc w:val="center"/>
              <w:ind w:right="173"/>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00" w:type="dxa"/>
            <w:vAlign w:val="bottom"/>
            <w:gridSpan w:val="3"/>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80" w:type="dxa"/>
            <w:vAlign w:val="bottom"/>
            <w:tcBorders>
              <w:right w:val="single" w:sz="8" w:color="E7E7E2"/>
            </w:tcBorders>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80" w:type="dxa"/>
            <w:vAlign w:val="bottom"/>
            <w:shd w:val="clear" w:color="auto" w:fill="E7E7E2"/>
          </w:tcPr>
          <w:p>
            <w:pPr>
              <w:ind w:left="6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20" w:type="dxa"/>
            <w:vAlign w:val="bottom"/>
            <w:shd w:val="clear" w:color="auto" w:fill="E7E7E2"/>
          </w:tcPr>
          <w:p>
            <w:pPr>
              <w:spacing w:after="0"/>
              <w:rPr>
                <w:sz w:val="17"/>
                <w:szCs w:val="17"/>
                <w:color w:val="auto"/>
              </w:rPr>
            </w:pPr>
          </w:p>
        </w:tc>
        <w:tc>
          <w:tcPr>
            <w:tcW w:w="340" w:type="dxa"/>
            <w:vAlign w:val="bottom"/>
            <w:gridSpan w:val="2"/>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shd w:val="clear" w:color="auto" w:fill="E7E7E2"/>
          </w:tcPr>
          <w:p>
            <w:pPr>
              <w:spacing w:after="0"/>
              <w:rPr>
                <w:sz w:val="17"/>
                <w:szCs w:val="17"/>
                <w:color w:val="auto"/>
              </w:rPr>
            </w:pPr>
          </w:p>
        </w:tc>
        <w:tc>
          <w:tcPr>
            <w:tcW w:w="360" w:type="dxa"/>
            <w:vAlign w:val="bottom"/>
            <w:shd w:val="clear" w:color="auto" w:fill="E7E7E2"/>
          </w:tcPr>
          <w:p>
            <w:pPr>
              <w:ind w:left="4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440" w:type="dxa"/>
            <w:vAlign w:val="bottom"/>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600" w:type="dxa"/>
            <w:vAlign w:val="bottom"/>
            <w:tcBorders>
              <w:right w:val="single" w:sz="8" w:color="E7E7E2"/>
            </w:tcBorders>
            <w:gridSpan w:val="3"/>
            <w:shd w:val="clear" w:color="auto" w:fill="E7E7E2"/>
          </w:tcPr>
          <w:p>
            <w:pPr>
              <w:jc w:val="center"/>
              <w:ind w:left="54"/>
              <w:spacing w:after="0" w:line="200" w:lineRule="exact"/>
              <w:rPr>
                <w:sz w:val="20"/>
                <w:szCs w:val="20"/>
                <w:color w:val="auto"/>
              </w:rPr>
            </w:pPr>
            <w:r>
              <w:rPr>
                <w:rFonts w:ascii="Arial" w:cs="Arial" w:eastAsia="Arial" w:hAnsi="Arial"/>
                <w:sz w:val="18"/>
                <w:szCs w:val="18"/>
                <w:color w:val="auto"/>
                <w:w w:val="99"/>
              </w:rPr>
              <w:t>N/A</w:t>
            </w: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780" w:type="dxa"/>
            <w:vAlign w:val="bottom"/>
            <w:tcBorders>
              <w:right w:val="single" w:sz="8" w:color="auto"/>
            </w:tcBorders>
            <w:gridSpan w:val="3"/>
            <w:shd w:val="clear" w:color="auto" w:fill="E7E7E2"/>
          </w:tcPr>
          <w:p>
            <w:pPr>
              <w:ind w:left="440"/>
              <w:spacing w:after="0" w:line="200"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2"/>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Securities</w:t>
            </w:r>
          </w:p>
        </w:tc>
        <w:tc>
          <w:tcPr>
            <w:tcW w:w="1720" w:type="dxa"/>
            <w:vAlign w:val="bottom"/>
            <w:tcBorders>
              <w:right w:val="single" w:sz="8" w:color="E7E7E2"/>
            </w:tcBorders>
            <w:gridSpan w:val="9"/>
            <w:shd w:val="clear" w:color="auto" w:fill="E7E7E2"/>
          </w:tcPr>
          <w:p>
            <w:pPr>
              <w:spacing w:after="0"/>
              <w:rPr>
                <w:sz w:val="20"/>
                <w:szCs w:val="20"/>
                <w:color w:val="auto"/>
              </w:rPr>
            </w:pPr>
          </w:p>
        </w:tc>
        <w:tc>
          <w:tcPr>
            <w:tcW w:w="780" w:type="dxa"/>
            <w:vAlign w:val="bottom"/>
            <w:tcBorders>
              <w:right w:val="single" w:sz="8" w:color="E7E7E2"/>
            </w:tcBorders>
            <w:gridSpan w:val="2"/>
            <w:shd w:val="clear" w:color="auto" w:fill="E7E7E2"/>
          </w:tcPr>
          <w:p>
            <w:pPr>
              <w:spacing w:after="0"/>
              <w:rPr>
                <w:sz w:val="20"/>
                <w:szCs w:val="20"/>
                <w:color w:val="auto"/>
              </w:rPr>
            </w:pPr>
          </w:p>
        </w:tc>
        <w:tc>
          <w:tcPr>
            <w:tcW w:w="620" w:type="dxa"/>
            <w:vAlign w:val="bottom"/>
            <w:tcBorders>
              <w:right w:val="single" w:sz="8" w:color="E7E7E2"/>
            </w:tcBorders>
            <w:gridSpan w:val="6"/>
            <w:shd w:val="clear" w:color="auto" w:fill="E7E7E2"/>
          </w:tcPr>
          <w:p>
            <w:pPr>
              <w:spacing w:after="0"/>
              <w:rPr>
                <w:sz w:val="20"/>
                <w:szCs w:val="20"/>
                <w:color w:val="auto"/>
              </w:rPr>
            </w:pPr>
          </w:p>
        </w:tc>
        <w:tc>
          <w:tcPr>
            <w:tcW w:w="1320" w:type="dxa"/>
            <w:vAlign w:val="bottom"/>
            <w:gridSpan w:val="8"/>
            <w:shd w:val="clear" w:color="auto" w:fill="E7E7E2"/>
          </w:tcPr>
          <w:p>
            <w:pPr>
              <w:spacing w:after="0"/>
              <w:rPr>
                <w:sz w:val="20"/>
                <w:szCs w:val="20"/>
                <w:color w:val="auto"/>
              </w:rPr>
            </w:pPr>
          </w:p>
        </w:tc>
        <w:tc>
          <w:tcPr>
            <w:tcW w:w="2040" w:type="dxa"/>
            <w:vAlign w:val="bottom"/>
            <w:tcBorders>
              <w:left w:val="single" w:sz="8" w:color="E7E7E2"/>
            </w:tcBorders>
            <w:gridSpan w:val="10"/>
            <w:shd w:val="clear" w:color="auto" w:fill="E7E7E2"/>
          </w:tcPr>
          <w:p>
            <w:pPr>
              <w:spacing w:after="0"/>
              <w:rPr>
                <w:sz w:val="20"/>
                <w:szCs w:val="20"/>
                <w:color w:val="auto"/>
              </w:rPr>
            </w:pPr>
          </w:p>
        </w:tc>
        <w:tc>
          <w:tcPr>
            <w:tcW w:w="100" w:type="dxa"/>
            <w:vAlign w:val="bottom"/>
            <w:tcBorders>
              <w:left w:val="single" w:sz="8" w:color="E7E7E2"/>
              <w:right w:val="single" w:sz="8" w:color="E7E7E2"/>
            </w:tcBorders>
            <w:shd w:val="clear" w:color="auto" w:fill="E7E7E2"/>
          </w:tcPr>
          <w:p>
            <w:pPr>
              <w:spacing w:after="0"/>
              <w:rPr>
                <w:sz w:val="20"/>
                <w:szCs w:val="20"/>
                <w:color w:val="auto"/>
              </w:rPr>
            </w:pPr>
          </w:p>
        </w:tc>
        <w:tc>
          <w:tcPr>
            <w:tcW w:w="2720" w:type="dxa"/>
            <w:vAlign w:val="bottom"/>
            <w:tcBorders>
              <w:right w:val="single" w:sz="8" w:color="auto"/>
            </w:tcBorders>
            <w:gridSpan w:val="14"/>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40" w:type="dxa"/>
            <w:vAlign w:val="bottom"/>
            <w:gridSpan w:val="10"/>
          </w:tcPr>
          <w:p>
            <w:pPr>
              <w:jc w:val="right"/>
              <w:spacing w:after="0"/>
              <w:rPr>
                <w:sz w:val="20"/>
                <w:szCs w:val="20"/>
                <w:color w:val="auto"/>
              </w:rPr>
            </w:pPr>
            <w:r>
              <w:rPr>
                <w:rFonts w:ascii="Arial" w:cs="Arial" w:eastAsia="Arial" w:hAnsi="Arial"/>
                <w:sz w:val="18"/>
                <w:szCs w:val="18"/>
                <w:color w:val="auto"/>
              </w:rPr>
              <w:t>Total Offering Amounts: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$ 0.00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gridSpan w:val="12"/>
          </w:tcPr>
          <w:p>
            <w:pPr>
              <w:jc w:val="right"/>
              <w:spacing w:after="0"/>
              <w:rPr>
                <w:sz w:val="20"/>
                <w:szCs w:val="20"/>
                <w:color w:val="auto"/>
              </w:rPr>
            </w:pPr>
            <w:r>
              <w:rPr>
                <w:rFonts w:ascii="Arial" w:cs="Arial" w:eastAsia="Arial" w:hAnsi="Arial"/>
                <w:sz w:val="18"/>
                <w:szCs w:val="18"/>
                <w:color w:val="auto"/>
              </w:rPr>
              <w:t>Total Fees Previously Paid:</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480" w:type="dxa"/>
            <w:vAlign w:val="bottom"/>
            <w:tcBorders>
              <w:left w:val="single" w:sz="8" w:color="auto"/>
            </w:tcBorders>
            <w:gridSpan w:val="42"/>
          </w:tcPr>
          <w:p>
            <w:pPr>
              <w:spacing w:after="0"/>
              <w:rPr>
                <w:sz w:val="20"/>
                <w:szCs w:val="20"/>
                <w:color w:val="auto"/>
              </w:rPr>
            </w:pPr>
            <w:r>
              <w:rPr>
                <w:rFonts w:ascii="Arial" w:cs="Arial" w:eastAsia="Arial" w:hAnsi="Arial"/>
                <w:sz w:val="18"/>
                <w:szCs w:val="18"/>
                <w:color w:val="auto"/>
              </w:rPr>
              <w:t>Total Fee Offsets:</w:t>
            </w:r>
          </w:p>
        </w:tc>
        <w:tc>
          <w:tcPr>
            <w:tcW w:w="3880" w:type="dxa"/>
            <w:vAlign w:val="bottom"/>
            <w:tcBorders>
              <w:right w:val="single" w:sz="8" w:color="auto"/>
            </w:tcBorders>
            <w:gridSpan w:val="21"/>
          </w:tcPr>
          <w:p>
            <w:pPr>
              <w:jc w:val="right"/>
              <w:ind w:right="3340"/>
              <w:spacing w:after="0"/>
              <w:rPr>
                <w:sz w:val="20"/>
                <w:szCs w:val="20"/>
                <w:color w:val="auto"/>
              </w:rPr>
            </w:pPr>
            <w:r>
              <w:rPr>
                <w:rFonts w:ascii="Arial" w:cs="Arial" w:eastAsia="Arial" w:hAnsi="Arial"/>
                <w:sz w:val="18"/>
                <w:szCs w:val="18"/>
                <w:color w:val="auto"/>
              </w:rPr>
              <w:t>$ 0.00</w:t>
            </w:r>
          </w:p>
        </w:tc>
        <w:tc>
          <w:tcPr>
            <w:tcW w:w="0" w:type="dxa"/>
            <w:vAlign w:val="bottom"/>
          </w:tcPr>
          <w:p>
            <w:pPr>
              <w:spacing w:after="0"/>
              <w:rPr>
                <w:sz w:val="1"/>
                <w:szCs w:val="1"/>
                <w:color w:val="auto"/>
              </w:rPr>
            </w:pPr>
          </w:p>
        </w:tc>
      </w:tr>
      <w:tr>
        <w:trPr>
          <w:trHeight w:val="261"/>
        </w:trPr>
        <w:tc>
          <w:tcPr>
            <w:tcW w:w="7480" w:type="dxa"/>
            <w:vAlign w:val="bottom"/>
            <w:tcBorders>
              <w:left w:val="single" w:sz="8" w:color="auto"/>
              <w:bottom w:val="single" w:sz="8" w:color="auto"/>
            </w:tcBorders>
            <w:gridSpan w:val="42"/>
          </w:tcPr>
          <w:p>
            <w:pPr>
              <w:spacing w:after="0"/>
              <w:rPr>
                <w:sz w:val="20"/>
                <w:szCs w:val="20"/>
                <w:color w:val="auto"/>
              </w:rPr>
            </w:pPr>
            <w:r>
              <w:rPr>
                <w:rFonts w:ascii="Arial" w:cs="Arial" w:eastAsia="Arial" w:hAnsi="Arial"/>
                <w:sz w:val="18"/>
                <w:szCs w:val="18"/>
                <w:color w:val="auto"/>
              </w:rPr>
              <w:t>Net Fee Due:</w:t>
            </w:r>
          </w:p>
        </w:tc>
        <w:tc>
          <w:tcPr>
            <w:tcW w:w="3880" w:type="dxa"/>
            <w:vAlign w:val="bottom"/>
            <w:tcBorders>
              <w:bottom w:val="single" w:sz="8" w:color="auto"/>
              <w:right w:val="single" w:sz="8" w:color="auto"/>
            </w:tcBorders>
            <w:gridSpan w:val="21"/>
          </w:tcPr>
          <w:p>
            <w:pPr>
              <w:jc w:val="right"/>
              <w:ind w:right="3340"/>
              <w:spacing w:after="0"/>
              <w:rPr>
                <w:sz w:val="20"/>
                <w:szCs w:val="20"/>
                <w:color w:val="auto"/>
              </w:rPr>
            </w:pPr>
            <w:r>
              <w:rPr>
                <w:rFonts w:ascii="Arial" w:cs="Arial" w:eastAsia="Arial" w:hAnsi="Arial"/>
                <w:sz w:val="18"/>
                <w:szCs w:val="18"/>
                <w:color w:val="auto"/>
              </w:rPr>
              <w:t>$ 0.00</w:t>
            </w: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3700" w:type="dxa"/>
            <w:vAlign w:val="bottom"/>
            <w:gridSpan w:val="20"/>
          </w:tcPr>
          <w:p>
            <w:pPr>
              <w:spacing w:after="0"/>
              <w:rPr>
                <w:sz w:val="20"/>
                <w:szCs w:val="20"/>
                <w:color w:val="auto"/>
              </w:rPr>
            </w:pPr>
            <w:r>
              <w:rPr>
                <w:rFonts w:ascii="Arial" w:cs="Arial" w:eastAsia="Arial" w:hAnsi="Arial"/>
                <w:sz w:val="18"/>
                <w:szCs w:val="18"/>
                <w:b w:val="1"/>
                <w:bCs w:val="1"/>
                <w:color w:val="auto"/>
              </w:rPr>
              <w:t>Table 2: Fee Offset Claims and Sources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7"/>
          </w:tcPr>
          <w:p>
            <w:pPr>
              <w:ind w:left="2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05"/>
        </w:trPr>
        <w:tc>
          <w:tcPr>
            <w:tcW w:w="2060" w:type="dxa"/>
            <w:vAlign w:val="bottom"/>
            <w:tcBorders>
              <w:top w:val="single" w:sz="8" w:color="auto"/>
              <w:left w:val="single" w:sz="8" w:color="auto"/>
              <w:right w:val="single" w:sz="8" w:color="9ADAF6"/>
            </w:tcBorders>
            <w:gridSpan w:val="13"/>
          </w:tcPr>
          <w:p>
            <w:pPr>
              <w:spacing w:after="0"/>
              <w:rPr>
                <w:sz w:val="17"/>
                <w:szCs w:val="17"/>
                <w:color w:val="auto"/>
              </w:rPr>
            </w:pPr>
          </w:p>
        </w:tc>
        <w:tc>
          <w:tcPr>
            <w:tcW w:w="1720" w:type="dxa"/>
            <w:vAlign w:val="bottom"/>
            <w:tcBorders>
              <w:top w:val="single" w:sz="8" w:color="auto"/>
              <w:right w:val="single" w:sz="8" w:color="9ADAF6"/>
            </w:tcBorders>
            <w:gridSpan w:val="9"/>
            <w:shd w:val="clear" w:color="auto" w:fill="9ADAF6"/>
          </w:tcPr>
          <w:p>
            <w:pPr>
              <w:spacing w:after="0"/>
              <w:rPr>
                <w:sz w:val="17"/>
                <w:szCs w:val="17"/>
                <w:color w:val="auto"/>
              </w:rPr>
            </w:pPr>
          </w:p>
        </w:tc>
        <w:tc>
          <w:tcPr>
            <w:tcW w:w="780" w:type="dxa"/>
            <w:vAlign w:val="bottom"/>
            <w:tcBorders>
              <w:top w:val="single" w:sz="8" w:color="auto"/>
              <w:right w:val="single" w:sz="8" w:color="9ADAF6"/>
            </w:tcBorders>
            <w:gridSpan w:val="2"/>
          </w:tcPr>
          <w:p>
            <w:pPr>
              <w:spacing w:after="0"/>
              <w:rPr>
                <w:sz w:val="17"/>
                <w:szCs w:val="17"/>
                <w:color w:val="auto"/>
              </w:rPr>
            </w:pPr>
          </w:p>
        </w:tc>
        <w:tc>
          <w:tcPr>
            <w:tcW w:w="620" w:type="dxa"/>
            <w:vAlign w:val="bottom"/>
            <w:tcBorders>
              <w:top w:val="single" w:sz="8" w:color="auto"/>
              <w:right w:val="single" w:sz="8" w:color="9ADAF6"/>
            </w:tcBorders>
            <w:gridSpan w:val="6"/>
          </w:tcPr>
          <w:p>
            <w:pPr>
              <w:spacing w:after="0"/>
              <w:rPr>
                <w:sz w:val="17"/>
                <w:szCs w:val="17"/>
                <w:color w:val="auto"/>
              </w:rPr>
            </w:pPr>
          </w:p>
        </w:tc>
        <w:tc>
          <w:tcPr>
            <w:tcW w:w="1320" w:type="dxa"/>
            <w:vAlign w:val="bottom"/>
            <w:tcBorders>
              <w:top w:val="single" w:sz="8" w:color="auto"/>
            </w:tcBorders>
            <w:gridSpan w:val="8"/>
          </w:tcPr>
          <w:p>
            <w:pPr>
              <w:spacing w:after="0"/>
              <w:rPr>
                <w:sz w:val="17"/>
                <w:szCs w:val="17"/>
                <w:color w:val="auto"/>
              </w:rPr>
            </w:pPr>
          </w:p>
        </w:tc>
        <w:tc>
          <w:tcPr>
            <w:tcW w:w="2040" w:type="dxa"/>
            <w:vAlign w:val="bottom"/>
            <w:tcBorders>
              <w:top w:val="single" w:sz="8" w:color="auto"/>
              <w:left w:val="single" w:sz="8" w:color="9ADAF6"/>
            </w:tcBorders>
            <w:gridSpan w:val="10"/>
          </w:tcPr>
          <w:p>
            <w:pPr>
              <w:spacing w:after="0"/>
              <w:rPr>
                <w:sz w:val="17"/>
                <w:szCs w:val="17"/>
                <w:color w:val="auto"/>
              </w:rPr>
            </w:pPr>
          </w:p>
        </w:tc>
        <w:tc>
          <w:tcPr>
            <w:tcW w:w="100" w:type="dxa"/>
            <w:vAlign w:val="bottom"/>
            <w:tcBorders>
              <w:top w:val="single" w:sz="8" w:color="auto"/>
              <w:left w:val="single" w:sz="8" w:color="9ADAF6"/>
              <w:right w:val="single" w:sz="8" w:color="9ADAF6"/>
            </w:tcBorders>
          </w:tcPr>
          <w:p>
            <w:pPr>
              <w:spacing w:after="0"/>
              <w:rPr>
                <w:sz w:val="17"/>
                <w:szCs w:val="17"/>
                <w:color w:val="auto"/>
              </w:rPr>
            </w:pPr>
          </w:p>
        </w:tc>
        <w:tc>
          <w:tcPr>
            <w:tcW w:w="2720" w:type="dxa"/>
            <w:vAlign w:val="bottom"/>
            <w:tcBorders>
              <w:top w:val="single" w:sz="8" w:color="auto"/>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Unsold</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Security</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Security</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8"/>
              </w:rPr>
              <w:t>Unsold</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Aggregate</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Form</w:t>
            </w: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9ADAF6"/>
            </w:tcBorders>
            <w:gridSpan w:val="5"/>
            <w:vMerge w:val="restart"/>
            <w:shd w:val="clear" w:color="auto" w:fill="9ADAF6"/>
          </w:tcPr>
          <w:p>
            <w:pPr>
              <w:ind w:left="60"/>
              <w:spacing w:after="0"/>
              <w:rPr>
                <w:sz w:val="20"/>
                <w:szCs w:val="20"/>
                <w:color w:val="auto"/>
              </w:rPr>
            </w:pPr>
            <w:r>
              <w:rPr>
                <w:rFonts w:ascii="Arial" w:cs="Arial" w:eastAsia="Arial" w:hAnsi="Arial"/>
                <w:sz w:val="18"/>
                <w:szCs w:val="18"/>
                <w:b w:val="1"/>
                <w:bCs w:val="1"/>
                <w:color w:val="auto"/>
              </w:rPr>
              <w:t>Initial</w:t>
            </w: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vMerge w:val="restart"/>
            <w:shd w:val="clear" w:color="auto" w:fill="9ADAF6"/>
          </w:tcPr>
          <w:p>
            <w:pPr>
              <w:jc w:val="right"/>
              <w:ind w:right="140"/>
              <w:spacing w:after="0"/>
              <w:rPr>
                <w:sz w:val="20"/>
                <w:szCs w:val="20"/>
                <w:color w:val="auto"/>
              </w:rPr>
            </w:pPr>
            <w:r>
              <w:rPr>
                <w:rFonts w:ascii="Arial" w:cs="Arial" w:eastAsia="Arial" w:hAnsi="Arial"/>
                <w:sz w:val="18"/>
                <w:szCs w:val="18"/>
                <w:b w:val="1"/>
                <w:bCs w:val="1"/>
                <w:color w:val="auto"/>
              </w:rPr>
              <w:t>Fee</w:t>
            </w: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5"/>
              </w:rPr>
              <w:t>Type</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Title</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7"/>
              </w:rPr>
              <w:t>Securities</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Offering</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Paid</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7"/>
            <w:vMerge w:val="restart"/>
            <w:shd w:val="clear" w:color="auto" w:fill="9ADAF6"/>
          </w:tcPr>
          <w:p>
            <w:pPr>
              <w:ind w:left="180"/>
              <w:spacing w:after="0"/>
              <w:rPr>
                <w:sz w:val="20"/>
                <w:szCs w:val="20"/>
                <w:color w:val="auto"/>
              </w:rPr>
            </w:pPr>
            <w:r>
              <w:rPr>
                <w:rFonts w:ascii="Arial" w:cs="Arial" w:eastAsia="Arial" w:hAnsi="Arial"/>
                <w:sz w:val="18"/>
                <w:szCs w:val="18"/>
                <w:b w:val="1"/>
                <w:bCs w:val="1"/>
                <w:color w:val="auto"/>
                <w:w w:val="99"/>
              </w:rPr>
              <w:t>Registrant or</w:t>
            </w: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or</w:t>
            </w: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right w:val="single" w:sz="8" w:color="9ADAF6"/>
            </w:tcBorders>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File</w:t>
            </w:r>
          </w:p>
        </w:tc>
        <w:tc>
          <w:tcPr>
            <w:tcW w:w="20" w:type="dxa"/>
            <w:vAlign w:val="bottom"/>
          </w:tcPr>
          <w:p>
            <w:pPr>
              <w:spacing w:after="0"/>
              <w:rPr>
                <w:sz w:val="8"/>
                <w:szCs w:val="8"/>
                <w:color w:val="auto"/>
              </w:rPr>
            </w:pPr>
          </w:p>
        </w:tc>
        <w:tc>
          <w:tcPr>
            <w:tcW w:w="600" w:type="dxa"/>
            <w:vAlign w:val="bottom"/>
            <w:tcBorders>
              <w:right w:val="single" w:sz="8" w:color="9ADAF6"/>
            </w:tcBorders>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3"/>
            <w:vMerge w:val="restart"/>
            <w:shd w:val="clear" w:color="auto" w:fill="9ADAF6"/>
          </w:tcPr>
          <w:p>
            <w:pPr>
              <w:ind w:left="80"/>
              <w:spacing w:after="0"/>
              <w:rPr>
                <w:sz w:val="20"/>
                <w:szCs w:val="20"/>
                <w:color w:val="auto"/>
              </w:rPr>
            </w:pPr>
            <w:r>
              <w:rPr>
                <w:rFonts w:ascii="Arial" w:cs="Arial" w:eastAsia="Arial" w:hAnsi="Arial"/>
                <w:sz w:val="18"/>
                <w:szCs w:val="18"/>
                <w:b w:val="1"/>
                <w:bCs w:val="1"/>
                <w:color w:val="auto"/>
              </w:rPr>
              <w:t>Filing</w:t>
            </w:r>
          </w:p>
        </w:tc>
        <w:tc>
          <w:tcPr>
            <w:tcW w:w="2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80" w:type="dxa"/>
            <w:vAlign w:val="bottom"/>
            <w:tcBorders>
              <w:left w:val="single" w:sz="8" w:color="9ADAF6"/>
            </w:tcBorders>
          </w:tcPr>
          <w:p>
            <w:pPr>
              <w:spacing w:after="0"/>
              <w:rPr>
                <w:sz w:val="8"/>
                <w:szCs w:val="8"/>
                <w:color w:val="auto"/>
              </w:rPr>
            </w:pPr>
          </w:p>
        </w:tc>
        <w:tc>
          <w:tcPr>
            <w:tcW w:w="980" w:type="dxa"/>
            <w:vAlign w:val="bottom"/>
            <w:gridSpan w:val="4"/>
            <w:vMerge w:val="restart"/>
            <w:shd w:val="clear" w:color="auto" w:fill="9ADAF6"/>
          </w:tcPr>
          <w:p>
            <w:pPr>
              <w:ind w:left="20"/>
              <w:spacing w:after="0"/>
              <w:rPr>
                <w:sz w:val="20"/>
                <w:szCs w:val="20"/>
                <w:color w:val="auto"/>
              </w:rPr>
            </w:pPr>
            <w:r>
              <w:rPr>
                <w:rFonts w:ascii="Arial" w:cs="Arial" w:eastAsia="Arial" w:hAnsi="Arial"/>
                <w:sz w:val="18"/>
                <w:szCs w:val="18"/>
                <w:b w:val="1"/>
                <w:bCs w:val="1"/>
                <w:color w:val="auto"/>
                <w:w w:val="97"/>
              </w:rPr>
              <w:t>Associated</w:t>
            </w:r>
          </w:p>
        </w:tc>
        <w:tc>
          <w:tcPr>
            <w:tcW w:w="20" w:type="dxa"/>
            <w:vAlign w:val="bottom"/>
          </w:tcPr>
          <w:p>
            <w:pPr>
              <w:spacing w:after="0"/>
              <w:rPr>
                <w:sz w:val="8"/>
                <w:szCs w:val="8"/>
                <w:color w:val="auto"/>
              </w:rPr>
            </w:pPr>
          </w:p>
        </w:tc>
        <w:tc>
          <w:tcPr>
            <w:tcW w:w="960" w:type="dxa"/>
            <w:vAlign w:val="bottom"/>
            <w:gridSpan w:val="4"/>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Associated</w:t>
            </w:r>
          </w:p>
        </w:tc>
        <w:tc>
          <w:tcPr>
            <w:tcW w:w="100" w:type="dxa"/>
            <w:vAlign w:val="bottom"/>
            <w:tcBorders>
              <w:left w:val="single" w:sz="8" w:color="9ADAF6"/>
              <w:right w:val="single" w:sz="8" w:color="9ADAF6"/>
            </w:tcBorders>
          </w:tcPr>
          <w:p>
            <w:pPr>
              <w:spacing w:after="0"/>
              <w:rPr>
                <w:sz w:val="8"/>
                <w:szCs w:val="8"/>
                <w:color w:val="auto"/>
              </w:rPr>
            </w:pPr>
          </w:p>
        </w:tc>
        <w:tc>
          <w:tcPr>
            <w:tcW w:w="920" w:type="dxa"/>
            <w:vAlign w:val="bottom"/>
            <w:gridSpan w:val="6"/>
            <w:vMerge w:val="restart"/>
            <w:shd w:val="clear" w:color="auto" w:fill="9ADAF6"/>
          </w:tcPr>
          <w:p>
            <w:pPr>
              <w:jc w:val="center"/>
              <w:ind w:right="20"/>
              <w:spacing w:after="0"/>
              <w:rPr>
                <w:sz w:val="20"/>
                <w:szCs w:val="20"/>
                <w:color w:val="auto"/>
              </w:rPr>
            </w:pPr>
            <w:r>
              <w:rPr>
                <w:rFonts w:ascii="Arial" w:cs="Arial" w:eastAsia="Arial" w:hAnsi="Arial"/>
                <w:sz w:val="18"/>
                <w:szCs w:val="18"/>
                <w:b w:val="1"/>
                <w:bCs w:val="1"/>
                <w:color w:val="auto"/>
                <w:w w:val="93"/>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Amount</w:t>
            </w:r>
          </w:p>
        </w:tc>
        <w:tc>
          <w:tcPr>
            <w:tcW w:w="4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with</w:t>
            </w:r>
          </w:p>
        </w:tc>
        <w:tc>
          <w:tcPr>
            <w:tcW w:w="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7"/>
            <w:vMerge w:val="continue"/>
            <w:shd w:val="clear" w:color="auto" w:fill="9ADAF6"/>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shd w:val="clear" w:color="auto" w:fill="9ADAF6"/>
          </w:tcPr>
          <w:p>
            <w:pPr>
              <w:spacing w:after="0"/>
              <w:rPr>
                <w:sz w:val="15"/>
                <w:szCs w:val="15"/>
                <w:color w:val="auto"/>
              </w:rPr>
            </w:pPr>
          </w:p>
        </w:tc>
        <w:tc>
          <w:tcPr>
            <w:tcW w:w="4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right w:val="single" w:sz="8" w:color="9ADAF6"/>
            </w:tcBorders>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right w:val="single" w:sz="8" w:color="9ADAF6"/>
            </w:tcBorders>
            <w:gridSpan w:val="5"/>
            <w:shd w:val="clear" w:color="auto" w:fill="9ADAF6"/>
          </w:tcPr>
          <w:p>
            <w:pPr>
              <w:ind w:left="60"/>
              <w:spacing w:after="0" w:line="178" w:lineRule="exact"/>
              <w:rPr>
                <w:sz w:val="20"/>
                <w:szCs w:val="20"/>
                <w:color w:val="auto"/>
              </w:rPr>
            </w:pPr>
            <w:r>
              <w:rPr>
                <w:rFonts w:ascii="Arial" w:cs="Arial" w:eastAsia="Arial" w:hAnsi="Arial"/>
                <w:sz w:val="18"/>
                <w:szCs w:val="18"/>
                <w:b w:val="1"/>
                <w:bCs w:val="1"/>
                <w:color w:val="auto"/>
              </w:rPr>
              <w:t>Filing</w:t>
            </w:r>
          </w:p>
        </w:tc>
        <w:tc>
          <w:tcPr>
            <w:tcW w:w="20" w:type="dxa"/>
            <w:vAlign w:val="bottom"/>
          </w:tcPr>
          <w:p>
            <w:pPr>
              <w:spacing w:after="0"/>
              <w:rPr>
                <w:sz w:val="15"/>
                <w:szCs w:val="15"/>
                <w:color w:val="auto"/>
              </w:rPr>
            </w:pPr>
          </w:p>
        </w:tc>
        <w:tc>
          <w:tcPr>
            <w:tcW w:w="62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shd w:val="clear" w:color="auto" w:fill="9ADAF6"/>
          </w:tcPr>
          <w:p>
            <w:pPr>
              <w:jc w:val="right"/>
              <w:ind w:right="40"/>
              <w:spacing w:after="0" w:line="178" w:lineRule="exact"/>
              <w:rPr>
                <w:sz w:val="20"/>
                <w:szCs w:val="20"/>
                <w:color w:val="auto"/>
              </w:rPr>
            </w:pPr>
            <w:r>
              <w:rPr>
                <w:rFonts w:ascii="Arial" w:cs="Arial" w:eastAsia="Arial" w:hAnsi="Arial"/>
                <w:sz w:val="18"/>
                <w:szCs w:val="18"/>
                <w:b w:val="1"/>
                <w:bCs w:val="1"/>
                <w:color w:val="auto"/>
              </w:rPr>
              <w:t>Offset</w:t>
            </w:r>
          </w:p>
        </w:tc>
        <w:tc>
          <w:tcPr>
            <w:tcW w:w="80" w:type="dxa"/>
            <w:vAlign w:val="bottom"/>
            <w:tcBorders>
              <w:left w:val="single" w:sz="8" w:color="9ADAF6"/>
            </w:tcBorders>
          </w:tcPr>
          <w:p>
            <w:pPr>
              <w:spacing w:after="0"/>
              <w:rPr>
                <w:sz w:val="15"/>
                <w:szCs w:val="15"/>
                <w:color w:val="auto"/>
              </w:rPr>
            </w:pPr>
          </w:p>
        </w:tc>
        <w:tc>
          <w:tcPr>
            <w:tcW w:w="980" w:type="dxa"/>
            <w:vAlign w:val="bottom"/>
            <w:gridSpan w:val="4"/>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vMerge w:val="continue"/>
            <w:shd w:val="clear" w:color="auto" w:fill="9ADAF6"/>
          </w:tcPr>
          <w:p>
            <w:pPr>
              <w:spacing w:after="0"/>
              <w:rPr>
                <w:sz w:val="15"/>
                <w:szCs w:val="15"/>
                <w:color w:val="auto"/>
              </w:rPr>
            </w:pPr>
          </w:p>
        </w:tc>
        <w:tc>
          <w:tcPr>
            <w:tcW w:w="100" w:type="dxa"/>
            <w:vAlign w:val="bottom"/>
            <w:tcBorders>
              <w:left w:val="single" w:sz="8" w:color="9ADAF6"/>
              <w:right w:val="single" w:sz="8" w:color="9ADAF6"/>
            </w:tcBorders>
          </w:tcPr>
          <w:p>
            <w:pPr>
              <w:spacing w:after="0"/>
              <w:rPr>
                <w:sz w:val="15"/>
                <w:szCs w:val="15"/>
                <w:color w:val="auto"/>
              </w:rPr>
            </w:pPr>
          </w:p>
        </w:tc>
        <w:tc>
          <w:tcPr>
            <w:tcW w:w="920" w:type="dxa"/>
            <w:vAlign w:val="bottom"/>
            <w:gridSpan w:val="6"/>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6"/>
            <w:shd w:val="clear" w:color="auto" w:fill="9ADAF6"/>
          </w:tcPr>
          <w:p>
            <w:pPr>
              <w:ind w:left="280"/>
              <w:spacing w:after="0" w:line="200" w:lineRule="exact"/>
              <w:rPr>
                <w:sz w:val="20"/>
                <w:szCs w:val="20"/>
                <w:color w:val="auto"/>
              </w:rPr>
            </w:pPr>
            <w:r>
              <w:rPr>
                <w:rFonts w:ascii="Arial" w:cs="Arial" w:eastAsia="Arial" w:hAnsi="Arial"/>
                <w:sz w:val="18"/>
                <w:szCs w:val="18"/>
                <w:b w:val="1"/>
                <w:bCs w:val="1"/>
                <w:color w:val="auto"/>
                <w:w w:val="97"/>
              </w:rPr>
              <w:t>Filer Name</w:t>
            </w: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Filing</w:t>
            </w: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right w:val="single" w:sz="8" w:color="9ADAF6"/>
            </w:tcBorders>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Number</w:t>
            </w:r>
          </w:p>
        </w:tc>
        <w:tc>
          <w:tcPr>
            <w:tcW w:w="20" w:type="dxa"/>
            <w:vAlign w:val="bottom"/>
          </w:tcPr>
          <w:p>
            <w:pPr>
              <w:spacing w:after="0"/>
              <w:rPr>
                <w:sz w:val="17"/>
                <w:szCs w:val="17"/>
                <w:color w:val="auto"/>
              </w:rPr>
            </w:pPr>
          </w:p>
        </w:tc>
        <w:tc>
          <w:tcPr>
            <w:tcW w:w="600" w:type="dxa"/>
            <w:vAlign w:val="bottom"/>
            <w:tcBorders>
              <w:right w:val="single" w:sz="8" w:color="9ADAF6"/>
            </w:tcBorders>
            <w:gridSpan w:val="5"/>
            <w:shd w:val="clear" w:color="auto" w:fill="9ADAF6"/>
          </w:tcPr>
          <w:p>
            <w:pPr>
              <w:ind w:left="100"/>
              <w:spacing w:after="0" w:line="200" w:lineRule="exact"/>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7"/>
                <w:szCs w:val="17"/>
                <w:color w:val="auto"/>
              </w:rPr>
            </w:pPr>
          </w:p>
        </w:tc>
        <w:tc>
          <w:tcPr>
            <w:tcW w:w="620" w:type="dxa"/>
            <w:vAlign w:val="bottom"/>
            <w:gridSpan w:val="3"/>
            <w:shd w:val="clear" w:color="auto" w:fill="9ADAF6"/>
          </w:tcPr>
          <w:p>
            <w:pPr>
              <w:ind w:left="120"/>
              <w:spacing w:after="0" w:line="200" w:lineRule="exact"/>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7"/>
                <w:szCs w:val="17"/>
                <w:color w:val="auto"/>
              </w:rPr>
            </w:pPr>
          </w:p>
        </w:tc>
        <w:tc>
          <w:tcPr>
            <w:tcW w:w="660" w:type="dxa"/>
            <w:vAlign w:val="bottom"/>
            <w:gridSpan w:val="3"/>
            <w:shd w:val="clear" w:color="auto" w:fill="9ADAF6"/>
          </w:tcPr>
          <w:p>
            <w:pPr>
              <w:jc w:val="right"/>
              <w:spacing w:after="0" w:line="200" w:lineRule="exact"/>
              <w:rPr>
                <w:sz w:val="20"/>
                <w:szCs w:val="20"/>
                <w:color w:val="auto"/>
              </w:rPr>
            </w:pPr>
            <w:r>
              <w:rPr>
                <w:rFonts w:ascii="Arial" w:cs="Arial" w:eastAsia="Arial" w:hAnsi="Arial"/>
                <w:sz w:val="18"/>
                <w:szCs w:val="18"/>
                <w:b w:val="1"/>
                <w:bCs w:val="1"/>
                <w:color w:val="auto"/>
                <w:w w:val="97"/>
              </w:rPr>
              <w:t>Claimed</w:t>
            </w: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with Fee</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with Fee</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9"/>
              </w:rPr>
              <w:t>with Fee</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Associated</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80" w:type="dxa"/>
            <w:vAlign w:val="bottom"/>
            <w:tcBorders>
              <w:right w:val="single" w:sz="8" w:color="9ADAF6"/>
            </w:tcBorders>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Type</w:t>
            </w:r>
          </w:p>
        </w:tc>
        <w:tc>
          <w:tcPr>
            <w:tcW w:w="4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80" w:type="dxa"/>
            <w:vAlign w:val="bottom"/>
            <w:tcBorders>
              <w:left w:val="single" w:sz="8" w:color="9ADAF6"/>
            </w:tcBorders>
          </w:tcPr>
          <w:p>
            <w:pPr>
              <w:spacing w:after="0"/>
              <w:rPr>
                <w:sz w:val="10"/>
                <w:szCs w:val="10"/>
                <w:color w:val="auto"/>
              </w:rPr>
            </w:pPr>
          </w:p>
        </w:tc>
        <w:tc>
          <w:tcPr>
            <w:tcW w:w="900" w:type="dxa"/>
            <w:vAlign w:val="bottom"/>
            <w:gridSpan w:val="3"/>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Offset</w:t>
            </w: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4"/>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Offset</w:t>
            </w:r>
          </w:p>
        </w:tc>
        <w:tc>
          <w:tcPr>
            <w:tcW w:w="100" w:type="dxa"/>
            <w:vAlign w:val="bottom"/>
            <w:tcBorders>
              <w:left w:val="single" w:sz="8" w:color="9ADAF6"/>
              <w:right w:val="single" w:sz="8" w:color="9ADAF6"/>
            </w:tcBorders>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60" w:type="dxa"/>
            <w:vAlign w:val="bottom"/>
            <w:gridSpan w:val="4"/>
            <w:shd w:val="clear" w:color="auto" w:fill="9ADAF6"/>
          </w:tcPr>
          <w:p>
            <w:pPr>
              <w:jc w:val="center"/>
              <w:ind w:right="240"/>
              <w:spacing w:after="0" w:line="121" w:lineRule="exact"/>
              <w:rPr>
                <w:sz w:val="20"/>
                <w:szCs w:val="20"/>
                <w:color w:val="auto"/>
              </w:rPr>
            </w:pPr>
            <w:r>
              <w:rPr>
                <w:rFonts w:ascii="Arial" w:cs="Arial" w:eastAsia="Arial" w:hAnsi="Arial"/>
                <w:sz w:val="14"/>
                <w:szCs w:val="14"/>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with Fee</w:t>
            </w:r>
          </w:p>
        </w:tc>
        <w:tc>
          <w:tcPr>
            <w:tcW w:w="40" w:type="dxa"/>
            <w:vAlign w:val="bottom"/>
          </w:tcPr>
          <w:p>
            <w:pPr>
              <w:spacing w:after="0"/>
              <w:rPr>
                <w:sz w:val="10"/>
                <w:szCs w:val="10"/>
                <w:color w:val="auto"/>
              </w:rPr>
            </w:pPr>
          </w:p>
        </w:tc>
        <w:tc>
          <w:tcPr>
            <w:tcW w:w="640" w:type="dxa"/>
            <w:vAlign w:val="bottom"/>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Offset</w:t>
            </w: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Claimed</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Claimed</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7"/>
              </w:rPr>
              <w:t>Claimed</w:t>
            </w:r>
          </w:p>
        </w:tc>
        <w:tc>
          <w:tcPr>
            <w:tcW w:w="20" w:type="dxa"/>
            <w:vAlign w:val="bottom"/>
          </w:tcPr>
          <w:p>
            <w:pPr>
              <w:spacing w:after="0"/>
              <w:rPr>
                <w:sz w:val="17"/>
                <w:szCs w:val="17"/>
                <w:color w:val="auto"/>
              </w:rPr>
            </w:pPr>
          </w:p>
        </w:tc>
        <w:tc>
          <w:tcPr>
            <w:tcW w:w="760" w:type="dxa"/>
            <w:vAlign w:val="bottom"/>
            <w:gridSpan w:val="2"/>
            <w:shd w:val="clear" w:color="auto" w:fill="9ADAF6"/>
          </w:tcPr>
          <w:p>
            <w:pPr>
              <w:jc w:val="center"/>
              <w:ind w:left="112"/>
              <w:spacing w:after="0" w:line="200" w:lineRule="exact"/>
              <w:rPr>
                <w:sz w:val="20"/>
                <w:szCs w:val="20"/>
                <w:color w:val="auto"/>
              </w:rPr>
            </w:pPr>
            <w:r>
              <w:rPr>
                <w:rFonts w:ascii="Arial" w:cs="Arial" w:eastAsia="Arial" w:hAnsi="Arial"/>
                <w:sz w:val="18"/>
                <w:szCs w:val="18"/>
                <w:b w:val="1"/>
                <w:bCs w:val="1"/>
                <w:color w:val="auto"/>
                <w:w w:val="99"/>
              </w:rPr>
              <w:t>Offset</w:t>
            </w:r>
          </w:p>
        </w:tc>
        <w:tc>
          <w:tcPr>
            <w:tcW w:w="2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Source</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9ADAF6"/>
            </w:tcBorders>
            <w:gridSpan w:val="13"/>
          </w:tcPr>
          <w:p>
            <w:pPr>
              <w:spacing w:after="0"/>
              <w:rPr>
                <w:sz w:val="20"/>
                <w:szCs w:val="20"/>
                <w:color w:val="auto"/>
              </w:rPr>
            </w:pPr>
          </w:p>
        </w:tc>
        <w:tc>
          <w:tcPr>
            <w:tcW w:w="1720" w:type="dxa"/>
            <w:vAlign w:val="bottom"/>
            <w:tcBorders>
              <w:right w:val="single" w:sz="8" w:color="9ADAF6"/>
            </w:tcBorders>
            <w:gridSpan w:val="9"/>
            <w:shd w:val="clear" w:color="auto" w:fill="9ADAF6"/>
          </w:tcPr>
          <w:p>
            <w:pPr>
              <w:spacing w:after="0"/>
              <w:rPr>
                <w:sz w:val="20"/>
                <w:szCs w:val="20"/>
                <w:color w:val="auto"/>
              </w:rPr>
            </w:pPr>
          </w:p>
        </w:tc>
        <w:tc>
          <w:tcPr>
            <w:tcW w:w="780" w:type="dxa"/>
            <w:vAlign w:val="bottom"/>
            <w:tcBorders>
              <w:right w:val="single" w:sz="8" w:color="9ADAF6"/>
            </w:tcBorders>
            <w:gridSpan w:val="2"/>
          </w:tcPr>
          <w:p>
            <w:pPr>
              <w:spacing w:after="0"/>
              <w:rPr>
                <w:sz w:val="20"/>
                <w:szCs w:val="20"/>
                <w:color w:val="auto"/>
              </w:rPr>
            </w:pPr>
          </w:p>
        </w:tc>
        <w:tc>
          <w:tcPr>
            <w:tcW w:w="620" w:type="dxa"/>
            <w:vAlign w:val="bottom"/>
            <w:tcBorders>
              <w:right w:val="single" w:sz="8" w:color="9ADAF6"/>
            </w:tcBorders>
            <w:gridSpan w:val="6"/>
          </w:tcPr>
          <w:p>
            <w:pPr>
              <w:spacing w:after="0"/>
              <w:rPr>
                <w:sz w:val="20"/>
                <w:szCs w:val="20"/>
                <w:color w:val="auto"/>
              </w:rPr>
            </w:pPr>
          </w:p>
        </w:tc>
        <w:tc>
          <w:tcPr>
            <w:tcW w:w="1320" w:type="dxa"/>
            <w:vAlign w:val="bottom"/>
            <w:gridSpan w:val="8"/>
          </w:tcPr>
          <w:p>
            <w:pPr>
              <w:spacing w:after="0"/>
              <w:rPr>
                <w:sz w:val="20"/>
                <w:szCs w:val="20"/>
                <w:color w:val="auto"/>
              </w:rPr>
            </w:pPr>
          </w:p>
        </w:tc>
        <w:tc>
          <w:tcPr>
            <w:tcW w:w="2040" w:type="dxa"/>
            <w:vAlign w:val="bottom"/>
            <w:tcBorders>
              <w:left w:val="single" w:sz="8" w:color="9ADAF6"/>
            </w:tcBorders>
            <w:gridSpan w:val="10"/>
          </w:tcPr>
          <w:p>
            <w:pPr>
              <w:spacing w:after="0"/>
              <w:rPr>
                <w:sz w:val="20"/>
                <w:szCs w:val="20"/>
                <w:color w:val="auto"/>
              </w:rPr>
            </w:pPr>
          </w:p>
        </w:tc>
        <w:tc>
          <w:tcPr>
            <w:tcW w:w="100" w:type="dxa"/>
            <w:vAlign w:val="bottom"/>
            <w:tcBorders>
              <w:left w:val="single" w:sz="8" w:color="9ADAF6"/>
              <w:right w:val="single" w:sz="8" w:color="9ADAF6"/>
            </w:tcBorders>
          </w:tcPr>
          <w:p>
            <w:pPr>
              <w:spacing w:after="0"/>
              <w:rPr>
                <w:sz w:val="20"/>
                <w:szCs w:val="20"/>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Claimed</w:t>
            </w:r>
          </w:p>
        </w:tc>
        <w:tc>
          <w:tcPr>
            <w:tcW w:w="0" w:type="dxa"/>
            <w:vAlign w:val="bottom"/>
          </w:tcPr>
          <w:p>
            <w:pPr>
              <w:spacing w:after="0"/>
              <w:rPr>
                <w:sz w:val="1"/>
                <w:szCs w:val="1"/>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380" w:type="dxa"/>
            <w:vAlign w:val="bottom"/>
            <w:gridSpan w:val="16"/>
          </w:tcPr>
          <w:p>
            <w:pPr>
              <w:spacing w:after="0"/>
              <w:rPr>
                <w:sz w:val="20"/>
                <w:szCs w:val="20"/>
                <w:color w:val="auto"/>
              </w:rPr>
            </w:pPr>
            <w:r>
              <w:rPr>
                <w:rFonts w:ascii="Arial" w:cs="Arial" w:eastAsia="Arial" w:hAnsi="Arial"/>
                <w:sz w:val="18"/>
                <w:szCs w:val="18"/>
                <w:b w:val="1"/>
                <w:bCs w:val="1"/>
                <w:color w:val="auto"/>
              </w:rPr>
              <w:t>Rules 457(b) and 0-11(a)(2)</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95"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3"/>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Claims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right w:val="single" w:sz="8" w:color="E7E7E2"/>
            </w:tcBorders>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tcPr>
          <w:p>
            <w:pPr>
              <w:spacing w:after="0"/>
              <w:rPr>
                <w:sz w:val="8"/>
                <w:szCs w:val="8"/>
                <w:color w:val="auto"/>
              </w:rPr>
            </w:pPr>
          </w:p>
        </w:tc>
        <w:tc>
          <w:tcPr>
            <w:tcW w:w="620" w:type="dxa"/>
            <w:vAlign w:val="bottom"/>
            <w:tcBorders>
              <w:right w:val="single" w:sz="8" w:color="E7E7E2"/>
            </w:tcBorders>
            <w:gridSpan w:val="6"/>
          </w:tcPr>
          <w:p>
            <w:pPr>
              <w:spacing w:after="0"/>
              <w:rPr>
                <w:sz w:val="8"/>
                <w:szCs w:val="8"/>
                <w:color w:val="auto"/>
              </w:rPr>
            </w:pPr>
          </w:p>
        </w:tc>
        <w:tc>
          <w:tcPr>
            <w:tcW w:w="1320" w:type="dxa"/>
            <w:vAlign w:val="bottom"/>
            <w:gridSpan w:val="8"/>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360" w:type="dxa"/>
            <w:vAlign w:val="bottom"/>
            <w:tcBorders>
              <w:left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89"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3"/>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Sources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right w:val="single" w:sz="8" w:color="E7E7E2"/>
            </w:tcBorders>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tcPr>
          <w:p>
            <w:pPr>
              <w:spacing w:after="0"/>
              <w:rPr>
                <w:sz w:val="8"/>
                <w:szCs w:val="8"/>
                <w:color w:val="auto"/>
              </w:rPr>
            </w:pPr>
          </w:p>
        </w:tc>
        <w:tc>
          <w:tcPr>
            <w:tcW w:w="620" w:type="dxa"/>
            <w:vAlign w:val="bottom"/>
            <w:tcBorders>
              <w:right w:val="single" w:sz="8" w:color="E7E7E2"/>
            </w:tcBorders>
            <w:gridSpan w:val="6"/>
          </w:tcPr>
          <w:p>
            <w:pPr>
              <w:spacing w:after="0"/>
              <w:rPr>
                <w:sz w:val="8"/>
                <w:szCs w:val="8"/>
                <w:color w:val="auto"/>
              </w:rPr>
            </w:pPr>
          </w:p>
        </w:tc>
        <w:tc>
          <w:tcPr>
            <w:tcW w:w="1320" w:type="dxa"/>
            <w:vAlign w:val="bottom"/>
            <w:gridSpan w:val="8"/>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1360" w:type="dxa"/>
            <w:vAlign w:val="bottom"/>
            <w:tcBorders>
              <w:left w:val="single" w:sz="8" w:color="auto"/>
              <w:right w:val="single" w:sz="8" w:color="auto"/>
            </w:tcBorders>
            <w:gridSpan w:val="63"/>
          </w:tcPr>
          <w:p>
            <w:pPr>
              <w:spacing w:after="0"/>
              <w:rPr>
                <w:sz w:val="20"/>
                <w:szCs w:val="20"/>
                <w:color w:val="auto"/>
              </w:rPr>
            </w:pPr>
            <w:r>
              <w:rPr>
                <w:rFonts w:ascii="Arial" w:cs="Arial" w:eastAsia="Arial" w:hAnsi="Arial"/>
                <w:sz w:val="18"/>
                <w:szCs w:val="18"/>
                <w:b w:val="1"/>
                <w:bCs w:val="1"/>
                <w:color w:val="auto"/>
              </w:rPr>
              <w:t>Rule 457(p)</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95"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3"/>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Claims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right w:val="single" w:sz="8" w:color="E7E7E2"/>
            </w:tcBorders>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tcPr>
          <w:p>
            <w:pPr>
              <w:spacing w:after="0"/>
              <w:rPr>
                <w:sz w:val="8"/>
                <w:szCs w:val="8"/>
                <w:color w:val="auto"/>
              </w:rPr>
            </w:pPr>
          </w:p>
        </w:tc>
        <w:tc>
          <w:tcPr>
            <w:tcW w:w="620" w:type="dxa"/>
            <w:vAlign w:val="bottom"/>
            <w:tcBorders>
              <w:right w:val="single" w:sz="8" w:color="E7E7E2"/>
            </w:tcBorders>
            <w:gridSpan w:val="6"/>
          </w:tcPr>
          <w:p>
            <w:pPr>
              <w:spacing w:after="0"/>
              <w:rPr>
                <w:sz w:val="8"/>
                <w:szCs w:val="8"/>
                <w:color w:val="auto"/>
              </w:rPr>
            </w:pPr>
          </w:p>
        </w:tc>
        <w:tc>
          <w:tcPr>
            <w:tcW w:w="1320" w:type="dxa"/>
            <w:vAlign w:val="bottom"/>
            <w:gridSpan w:val="8"/>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360" w:type="dxa"/>
            <w:vAlign w:val="bottom"/>
            <w:tcBorders>
              <w:left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89"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3"/>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Sources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right w:val="single" w:sz="8" w:color="E7E7E2"/>
            </w:tcBorders>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tcPr>
          <w:p>
            <w:pPr>
              <w:spacing w:after="0"/>
              <w:rPr>
                <w:sz w:val="8"/>
                <w:szCs w:val="8"/>
                <w:color w:val="auto"/>
              </w:rPr>
            </w:pPr>
          </w:p>
        </w:tc>
        <w:tc>
          <w:tcPr>
            <w:tcW w:w="620" w:type="dxa"/>
            <w:vAlign w:val="bottom"/>
            <w:tcBorders>
              <w:right w:val="single" w:sz="8" w:color="E7E7E2"/>
            </w:tcBorders>
            <w:gridSpan w:val="6"/>
          </w:tcPr>
          <w:p>
            <w:pPr>
              <w:spacing w:after="0"/>
              <w:rPr>
                <w:sz w:val="8"/>
                <w:szCs w:val="8"/>
                <w:color w:val="auto"/>
              </w:rPr>
            </w:pPr>
          </w:p>
        </w:tc>
        <w:tc>
          <w:tcPr>
            <w:tcW w:w="1320" w:type="dxa"/>
            <w:vAlign w:val="bottom"/>
            <w:gridSpan w:val="8"/>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360" w:type="dxa"/>
            <w:vAlign w:val="bottom"/>
            <w:tcBorders>
              <w:left w:val="single" w:sz="8" w:color="auto"/>
              <w:bottom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2860" w:type="dxa"/>
            <w:vAlign w:val="bottom"/>
            <w:gridSpan w:val="16"/>
          </w:tcPr>
          <w:p>
            <w:pPr>
              <w:spacing w:after="0"/>
              <w:rPr>
                <w:sz w:val="20"/>
                <w:szCs w:val="20"/>
                <w:color w:val="auto"/>
              </w:rPr>
            </w:pPr>
            <w:r>
              <w:rPr>
                <w:rFonts w:ascii="Arial" w:cs="Arial" w:eastAsia="Arial" w:hAnsi="Arial"/>
                <w:sz w:val="18"/>
                <w:szCs w:val="18"/>
                <w:b w:val="1"/>
                <w:bCs w:val="1"/>
                <w:color w:val="auto"/>
                <w:w w:val="99"/>
              </w:rPr>
              <w:t>Table 3: Combined Prospectuses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7"/>
          </w:tcPr>
          <w:p>
            <w:pPr>
              <w:ind w:left="2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05"/>
        </w:trPr>
        <w:tc>
          <w:tcPr>
            <w:tcW w:w="40" w:type="dxa"/>
            <w:vAlign w:val="bottom"/>
            <w:tcBorders>
              <w:top w:val="single" w:sz="8" w:color="auto"/>
              <w:left w:val="single" w:sz="8" w:color="auto"/>
            </w:tcBorders>
          </w:tcPr>
          <w:p>
            <w:pPr>
              <w:spacing w:after="0"/>
              <w:rPr>
                <w:sz w:val="17"/>
                <w:szCs w:val="17"/>
                <w:color w:val="auto"/>
              </w:rPr>
            </w:pPr>
          </w:p>
        </w:tc>
        <w:tc>
          <w:tcPr>
            <w:tcW w:w="4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8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22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4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280" w:type="dxa"/>
            <w:vAlign w:val="bottom"/>
            <w:tcBorders>
              <w:top w:val="single" w:sz="8" w:color="auto"/>
            </w:tcBorders>
            <w:shd w:val="clear" w:color="auto" w:fill="9ADAF6"/>
          </w:tcPr>
          <w:p>
            <w:pPr>
              <w:spacing w:after="0"/>
              <w:rPr>
                <w:sz w:val="17"/>
                <w:szCs w:val="17"/>
                <w:color w:val="auto"/>
              </w:rPr>
            </w:pPr>
          </w:p>
        </w:tc>
        <w:tc>
          <w:tcPr>
            <w:tcW w:w="8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140" w:type="dxa"/>
            <w:vAlign w:val="bottom"/>
            <w:tcBorders>
              <w:top w:val="single" w:sz="8" w:color="auto"/>
            </w:tcBorders>
            <w:shd w:val="clear" w:color="auto" w:fill="9ADAF6"/>
          </w:tcPr>
          <w:p>
            <w:pPr>
              <w:spacing w:after="0"/>
              <w:rPr>
                <w:sz w:val="17"/>
                <w:szCs w:val="17"/>
                <w:color w:val="auto"/>
              </w:rPr>
            </w:pPr>
          </w:p>
        </w:tc>
        <w:tc>
          <w:tcPr>
            <w:tcW w:w="120" w:type="dxa"/>
            <w:vAlign w:val="bottom"/>
            <w:tcBorders>
              <w:top w:val="single" w:sz="8" w:color="auto"/>
            </w:tcBorders>
            <w:shd w:val="clear" w:color="auto" w:fill="9ADAF6"/>
          </w:tcPr>
          <w:p>
            <w:pPr>
              <w:spacing w:after="0"/>
              <w:rPr>
                <w:sz w:val="17"/>
                <w:szCs w:val="17"/>
                <w:color w:val="auto"/>
              </w:rPr>
            </w:pPr>
          </w:p>
        </w:tc>
        <w:tc>
          <w:tcPr>
            <w:tcW w:w="1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560" w:type="dxa"/>
            <w:vAlign w:val="bottom"/>
            <w:tcBorders>
              <w:top w:val="single" w:sz="8" w:color="auto"/>
            </w:tcBorders>
            <w:shd w:val="clear" w:color="auto" w:fill="9ADAF6"/>
          </w:tcPr>
          <w:p>
            <w:pPr>
              <w:spacing w:after="0"/>
              <w:rPr>
                <w:sz w:val="17"/>
                <w:szCs w:val="17"/>
                <w:color w:val="auto"/>
              </w:rPr>
            </w:pPr>
          </w:p>
        </w:tc>
        <w:tc>
          <w:tcPr>
            <w:tcW w:w="4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76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12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16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960" w:type="dxa"/>
            <w:vAlign w:val="bottom"/>
            <w:tcBorders>
              <w:top w:val="single" w:sz="8" w:color="auto"/>
            </w:tcBorders>
            <w:gridSpan w:val="5"/>
            <w:shd w:val="clear" w:color="auto" w:fill="9ADAF6"/>
          </w:tcPr>
          <w:p>
            <w:pPr>
              <w:ind w:left="40"/>
              <w:spacing w:after="0" w:line="205" w:lineRule="exact"/>
              <w:rPr>
                <w:sz w:val="20"/>
                <w:szCs w:val="20"/>
                <w:color w:val="auto"/>
              </w:rPr>
            </w:pPr>
            <w:r>
              <w:rPr>
                <w:rFonts w:ascii="Arial" w:cs="Arial" w:eastAsia="Arial" w:hAnsi="Arial"/>
                <w:sz w:val="18"/>
                <w:szCs w:val="18"/>
                <w:b w:val="1"/>
                <w:bCs w:val="1"/>
                <w:color w:val="auto"/>
                <w:w w:val="99"/>
              </w:rPr>
              <w:t>Amount of</w:t>
            </w:r>
          </w:p>
        </w:tc>
        <w:tc>
          <w:tcPr>
            <w:tcW w:w="300" w:type="dxa"/>
            <w:vAlign w:val="bottom"/>
            <w:tcBorders>
              <w:top w:val="single" w:sz="8" w:color="auto"/>
            </w:tcBorders>
            <w:shd w:val="clear" w:color="auto" w:fill="9ADAF6"/>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left w:val="single" w:sz="8" w:color="9ADAF6"/>
            </w:tcBorders>
            <w:shd w:val="clear" w:color="auto" w:fill="9ADAF6"/>
          </w:tcPr>
          <w:p>
            <w:pPr>
              <w:spacing w:after="0"/>
              <w:rPr>
                <w:sz w:val="17"/>
                <w:szCs w:val="17"/>
                <w:color w:val="auto"/>
              </w:rPr>
            </w:pPr>
          </w:p>
        </w:tc>
        <w:tc>
          <w:tcPr>
            <w:tcW w:w="1920" w:type="dxa"/>
            <w:vAlign w:val="bottom"/>
            <w:tcBorders>
              <w:top w:val="single" w:sz="8" w:color="auto"/>
            </w:tcBorders>
            <w:gridSpan w:val="8"/>
            <w:shd w:val="clear" w:color="auto" w:fill="9ADAF6"/>
          </w:tcPr>
          <w:p>
            <w:pPr>
              <w:ind w:left="40"/>
              <w:spacing w:after="0" w:line="205" w:lineRule="exact"/>
              <w:rPr>
                <w:sz w:val="20"/>
                <w:szCs w:val="20"/>
                <w:color w:val="auto"/>
              </w:rPr>
            </w:pPr>
            <w:r>
              <w:rPr>
                <w:rFonts w:ascii="Arial" w:cs="Arial" w:eastAsia="Arial" w:hAnsi="Arial"/>
                <w:sz w:val="18"/>
                <w:szCs w:val="18"/>
                <w:b w:val="1"/>
                <w:bCs w:val="1"/>
                <w:color w:val="auto"/>
              </w:rPr>
              <w:t>Maximum Aggregate</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left w:val="single" w:sz="8" w:color="9ADAF6"/>
              <w:right w:val="single" w:sz="8" w:color="9ADAF6"/>
            </w:tcBorders>
            <w:shd w:val="clear" w:color="auto" w:fill="9ADAF6"/>
          </w:tcPr>
          <w:p>
            <w:pPr>
              <w:spacing w:after="0"/>
              <w:rPr>
                <w:sz w:val="17"/>
                <w:szCs w:val="17"/>
                <w:color w:val="auto"/>
              </w:rPr>
            </w:pPr>
          </w:p>
        </w:tc>
        <w:tc>
          <w:tcPr>
            <w:tcW w:w="1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40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shd w:val="clear" w:color="auto" w:fill="9ADAF6"/>
          </w:tcPr>
          <w:p>
            <w:pPr>
              <w:spacing w:after="0"/>
              <w:rPr>
                <w:sz w:val="17"/>
                <w:szCs w:val="17"/>
                <w:color w:val="auto"/>
              </w:rPr>
            </w:pPr>
          </w:p>
        </w:tc>
        <w:tc>
          <w:tcPr>
            <w:tcW w:w="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7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shd w:val="clear" w:color="auto" w:fill="9ADAF6"/>
          </w:tcPr>
          <w:p>
            <w:pPr>
              <w:spacing w:after="0"/>
              <w:rPr>
                <w:sz w:val="17"/>
                <w:szCs w:val="17"/>
                <w:color w:val="auto"/>
              </w:rPr>
            </w:pPr>
          </w:p>
        </w:tc>
        <w:tc>
          <w:tcPr>
            <w:tcW w:w="700" w:type="dxa"/>
            <w:vAlign w:val="bottom"/>
            <w:tcBorders>
              <w:top w:val="single" w:sz="8" w:color="auto"/>
            </w:tcBorders>
            <w:gridSpan w:val="3"/>
            <w:vMerge w:val="restart"/>
            <w:shd w:val="clear" w:color="auto" w:fill="9ADAF6"/>
          </w:tcPr>
          <w:p>
            <w:pPr>
              <w:jc w:val="center"/>
              <w:ind w:right="200"/>
              <w:spacing w:after="0"/>
              <w:rPr>
                <w:sz w:val="20"/>
                <w:szCs w:val="20"/>
                <w:color w:val="auto"/>
              </w:rPr>
            </w:pPr>
            <w:r>
              <w:rPr>
                <w:rFonts w:ascii="Arial" w:cs="Arial" w:eastAsia="Arial" w:hAnsi="Arial"/>
                <w:sz w:val="18"/>
                <w:szCs w:val="18"/>
                <w:b w:val="1"/>
                <w:bCs w:val="1"/>
                <w:color w:val="auto"/>
                <w:w w:val="97"/>
              </w:rPr>
              <w:t>Initial</w:t>
            </w:r>
          </w:p>
        </w:tc>
        <w:tc>
          <w:tcPr>
            <w:tcW w:w="1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960" w:type="dxa"/>
            <w:vAlign w:val="bottom"/>
            <w:gridSpan w:val="5"/>
            <w:vMerge w:val="restart"/>
            <w:shd w:val="clear" w:color="auto" w:fill="9ADAF6"/>
          </w:tcPr>
          <w:p>
            <w:pPr>
              <w:ind w:left="60"/>
              <w:spacing w:after="0" w:line="200" w:lineRule="exact"/>
              <w:rPr>
                <w:sz w:val="20"/>
                <w:szCs w:val="20"/>
                <w:color w:val="auto"/>
              </w:rPr>
            </w:pPr>
            <w:r>
              <w:rPr>
                <w:rFonts w:ascii="Arial" w:cs="Arial" w:eastAsia="Arial" w:hAnsi="Arial"/>
                <w:sz w:val="18"/>
                <w:szCs w:val="18"/>
                <w:b w:val="1"/>
                <w:bCs w:val="1"/>
                <w:color w:val="auto"/>
              </w:rPr>
              <w:t>Securities</w:t>
            </w:r>
          </w:p>
        </w:tc>
        <w:tc>
          <w:tcPr>
            <w:tcW w:w="3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left w:val="single" w:sz="8" w:color="9ADAF6"/>
            </w:tcBorders>
            <w:shd w:val="clear" w:color="auto" w:fill="9ADAF6"/>
          </w:tcPr>
          <w:p>
            <w:pPr>
              <w:spacing w:after="0"/>
              <w:rPr>
                <w:sz w:val="8"/>
                <w:szCs w:val="8"/>
                <w:color w:val="auto"/>
              </w:rPr>
            </w:pPr>
          </w:p>
        </w:tc>
        <w:tc>
          <w:tcPr>
            <w:tcW w:w="1920" w:type="dxa"/>
            <w:vAlign w:val="bottom"/>
            <w:gridSpan w:val="8"/>
            <w:vMerge w:val="restart"/>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Offering Price of</w:t>
            </w:r>
          </w:p>
        </w:tc>
        <w:tc>
          <w:tcPr>
            <w:tcW w:w="40" w:type="dxa"/>
            <w:vAlign w:val="bottom"/>
          </w:tcPr>
          <w:p>
            <w:pPr>
              <w:spacing w:after="0"/>
              <w:rPr>
                <w:sz w:val="8"/>
                <w:szCs w:val="8"/>
                <w:color w:val="auto"/>
              </w:rPr>
            </w:pPr>
          </w:p>
        </w:tc>
        <w:tc>
          <w:tcPr>
            <w:tcW w:w="100" w:type="dxa"/>
            <w:vAlign w:val="bottom"/>
            <w:tcBorders>
              <w:left w:val="single" w:sz="8" w:color="9ADAF6"/>
              <w:right w:val="single" w:sz="8" w:color="9ADAF6"/>
            </w:tcBorders>
            <w:shd w:val="clear" w:color="auto" w:fill="9ADAF6"/>
          </w:tcPr>
          <w:p>
            <w:pPr>
              <w:spacing w:after="0"/>
              <w:rPr>
                <w:sz w:val="8"/>
                <w:szCs w:val="8"/>
                <w:color w:val="auto"/>
              </w:rPr>
            </w:pPr>
          </w:p>
        </w:tc>
        <w:tc>
          <w:tcPr>
            <w:tcW w:w="560" w:type="dxa"/>
            <w:vAlign w:val="bottom"/>
            <w:gridSpan w:val="3"/>
            <w:vMerge w:val="restart"/>
            <w:shd w:val="clear" w:color="auto" w:fill="9ADAF6"/>
          </w:tcPr>
          <w:p>
            <w:pPr>
              <w:jc w:val="center"/>
              <w:ind w:right="35"/>
              <w:spacing w:after="0" w:line="200" w:lineRule="exact"/>
              <w:rPr>
                <w:sz w:val="20"/>
                <w:szCs w:val="20"/>
                <w:color w:val="auto"/>
              </w:rPr>
            </w:pPr>
            <w:r>
              <w:rPr>
                <w:rFonts w:ascii="Arial" w:cs="Arial" w:eastAsia="Arial" w:hAnsi="Arial"/>
                <w:sz w:val="18"/>
                <w:szCs w:val="18"/>
                <w:b w:val="1"/>
                <w:bCs w:val="1"/>
                <w:color w:val="auto"/>
                <w:w w:val="97"/>
              </w:rPr>
              <w:t>Form</w:t>
            </w: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00" w:type="dxa"/>
            <w:vAlign w:val="bottom"/>
            <w:gridSpan w:val="3"/>
            <w:vMerge w:val="continue"/>
            <w:shd w:val="clear" w:color="auto" w:fill="9ADAF6"/>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Borders>
              <w:right w:val="single" w:sz="8" w:color="9ADAF6"/>
            </w:tcBorders>
            <w:gridSpan w:val="10"/>
            <w:vMerge w:val="restart"/>
            <w:shd w:val="clear" w:color="auto" w:fill="9ADAF6"/>
          </w:tcPr>
          <w:p>
            <w:pPr>
              <w:ind w:left="200"/>
              <w:spacing w:after="0"/>
              <w:rPr>
                <w:sz w:val="20"/>
                <w:szCs w:val="20"/>
                <w:color w:val="auto"/>
              </w:rPr>
            </w:pPr>
            <w:r>
              <w:rPr>
                <w:rFonts w:ascii="Arial" w:cs="Arial" w:eastAsia="Arial" w:hAnsi="Arial"/>
                <w:sz w:val="18"/>
                <w:szCs w:val="18"/>
                <w:b w:val="1"/>
                <w:bCs w:val="1"/>
                <w:color w:val="auto"/>
              </w:rPr>
              <w:t>Security Type</w:t>
            </w:r>
          </w:p>
        </w:tc>
        <w:tc>
          <w:tcPr>
            <w:tcW w:w="20" w:type="dxa"/>
            <w:vAlign w:val="bottom"/>
          </w:tcPr>
          <w:p>
            <w:pPr>
              <w:spacing w:after="0"/>
              <w:rPr>
                <w:sz w:val="8"/>
                <w:szCs w:val="8"/>
                <w:color w:val="auto"/>
              </w:rPr>
            </w:pPr>
          </w:p>
        </w:tc>
        <w:tc>
          <w:tcPr>
            <w:tcW w:w="2480" w:type="dxa"/>
            <w:vAlign w:val="bottom"/>
            <w:tcBorders>
              <w:right w:val="single" w:sz="8" w:color="9ADAF6"/>
            </w:tcBorders>
            <w:gridSpan w:val="10"/>
            <w:vMerge w:val="restart"/>
            <w:shd w:val="clear" w:color="auto" w:fill="9ADAF6"/>
          </w:tcPr>
          <w:p>
            <w:pPr>
              <w:jc w:val="center"/>
              <w:ind w:left="231"/>
              <w:spacing w:after="0"/>
              <w:rPr>
                <w:sz w:val="20"/>
                <w:szCs w:val="20"/>
                <w:color w:val="auto"/>
              </w:rPr>
            </w:pPr>
            <w:r>
              <w:rPr>
                <w:rFonts w:ascii="Arial" w:cs="Arial" w:eastAsia="Arial" w:hAnsi="Arial"/>
                <w:sz w:val="18"/>
                <w:szCs w:val="18"/>
                <w:b w:val="1"/>
                <w:bCs w:val="1"/>
                <w:color w:val="auto"/>
                <w:w w:val="98"/>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960" w:type="dxa"/>
            <w:vAlign w:val="bottom"/>
            <w:gridSpan w:val="5"/>
            <w:vMerge w:val="continue"/>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left w:val="single" w:sz="8" w:color="9ADAF6"/>
            </w:tcBorders>
            <w:shd w:val="clear" w:color="auto" w:fill="9ADAF6"/>
          </w:tcPr>
          <w:p>
            <w:pPr>
              <w:spacing w:after="0"/>
              <w:rPr>
                <w:sz w:val="8"/>
                <w:szCs w:val="8"/>
                <w:color w:val="auto"/>
              </w:rPr>
            </w:pPr>
          </w:p>
        </w:tc>
        <w:tc>
          <w:tcPr>
            <w:tcW w:w="1920" w:type="dxa"/>
            <w:vAlign w:val="bottom"/>
            <w:gridSpan w:val="8"/>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left w:val="single" w:sz="8" w:color="9ADAF6"/>
              <w:right w:val="single" w:sz="8" w:color="9ADAF6"/>
            </w:tcBorders>
            <w:shd w:val="clear" w:color="auto" w:fill="9ADAF6"/>
          </w:tcPr>
          <w:p>
            <w:pPr>
              <w:spacing w:after="0"/>
              <w:rPr>
                <w:sz w:val="8"/>
                <w:szCs w:val="8"/>
                <w:color w:val="auto"/>
              </w:rPr>
            </w:pPr>
          </w:p>
        </w:tc>
        <w:tc>
          <w:tcPr>
            <w:tcW w:w="5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4"/>
            <w:vMerge w:val="restart"/>
            <w:shd w:val="clear" w:color="auto" w:fill="9ADAF6"/>
          </w:tcPr>
          <w:p>
            <w:pPr>
              <w:ind w:left="40"/>
              <w:spacing w:after="0"/>
              <w:rPr>
                <w:sz w:val="20"/>
                <w:szCs w:val="20"/>
                <w:color w:val="auto"/>
              </w:rPr>
            </w:pPr>
            <w:r>
              <w:rPr>
                <w:rFonts w:ascii="Arial" w:cs="Arial" w:eastAsia="Arial" w:hAnsi="Arial"/>
                <w:sz w:val="18"/>
                <w:szCs w:val="18"/>
                <w:b w:val="1"/>
                <w:bCs w:val="1"/>
                <w:color w:val="auto"/>
                <w:w w:val="99"/>
              </w:rPr>
              <w:t>File Number</w:t>
            </w:r>
          </w:p>
        </w:tc>
        <w:tc>
          <w:tcPr>
            <w:tcW w:w="20" w:type="dxa"/>
            <w:vAlign w:val="bottom"/>
          </w:tcPr>
          <w:p>
            <w:pPr>
              <w:spacing w:after="0"/>
              <w:rPr>
                <w:sz w:val="8"/>
                <w:szCs w:val="8"/>
                <w:color w:val="auto"/>
              </w:rPr>
            </w:pPr>
          </w:p>
        </w:tc>
        <w:tc>
          <w:tcPr>
            <w:tcW w:w="900" w:type="dxa"/>
            <w:vAlign w:val="bottom"/>
            <w:gridSpan w:val="4"/>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Effective</w:t>
            </w:r>
          </w:p>
        </w:tc>
        <w:tc>
          <w:tcPr>
            <w:tcW w:w="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right w:val="single" w:sz="8" w:color="9ADAF6"/>
            </w:tcBorders>
            <w:gridSpan w:val="10"/>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tcBorders>
              <w:right w:val="single" w:sz="8" w:color="9ADAF6"/>
            </w:tcBorders>
            <w:gridSpan w:val="10"/>
            <w:vMerge w:val="continue"/>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right w:val="single" w:sz="8" w:color="9ADAF6"/>
            </w:tcBorders>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960" w:type="dxa"/>
            <w:vAlign w:val="bottom"/>
            <w:gridSpan w:val="5"/>
            <w:shd w:val="clear" w:color="auto" w:fill="9ADAF6"/>
          </w:tcPr>
          <w:p>
            <w:pPr>
              <w:ind w:left="40"/>
              <w:spacing w:after="0" w:line="178" w:lineRule="exact"/>
              <w:rPr>
                <w:sz w:val="20"/>
                <w:szCs w:val="20"/>
                <w:color w:val="auto"/>
              </w:rPr>
            </w:pPr>
            <w:r>
              <w:rPr>
                <w:rFonts w:ascii="Arial" w:cs="Arial" w:eastAsia="Arial" w:hAnsi="Arial"/>
                <w:sz w:val="18"/>
                <w:szCs w:val="18"/>
                <w:b w:val="1"/>
                <w:bCs w:val="1"/>
                <w:color w:val="auto"/>
                <w:w w:val="98"/>
              </w:rPr>
              <w:t>Previously</w:t>
            </w:r>
          </w:p>
        </w:tc>
        <w:tc>
          <w:tcPr>
            <w:tcW w:w="3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left w:val="single" w:sz="8" w:color="9ADAF6"/>
            </w:tcBorders>
            <w:shd w:val="clear" w:color="auto" w:fill="9ADAF6"/>
          </w:tcPr>
          <w:p>
            <w:pPr>
              <w:spacing w:after="0"/>
              <w:rPr>
                <w:sz w:val="15"/>
                <w:szCs w:val="15"/>
                <w:color w:val="auto"/>
              </w:rPr>
            </w:pPr>
          </w:p>
        </w:tc>
        <w:tc>
          <w:tcPr>
            <w:tcW w:w="1920" w:type="dxa"/>
            <w:vAlign w:val="bottom"/>
            <w:gridSpan w:val="8"/>
            <w:shd w:val="clear" w:color="auto" w:fill="9ADAF6"/>
          </w:tcPr>
          <w:p>
            <w:pPr>
              <w:ind w:left="20"/>
              <w:spacing w:after="0" w:line="178" w:lineRule="exact"/>
              <w:rPr>
                <w:sz w:val="20"/>
                <w:szCs w:val="20"/>
                <w:color w:val="auto"/>
              </w:rPr>
            </w:pPr>
            <w:r>
              <w:rPr>
                <w:rFonts w:ascii="Arial" w:cs="Arial" w:eastAsia="Arial" w:hAnsi="Arial"/>
                <w:sz w:val="18"/>
                <w:szCs w:val="18"/>
                <w:b w:val="1"/>
                <w:bCs w:val="1"/>
                <w:color w:val="auto"/>
              </w:rPr>
              <w:t>Securities Previously</w:t>
            </w:r>
          </w:p>
        </w:tc>
        <w:tc>
          <w:tcPr>
            <w:tcW w:w="40" w:type="dxa"/>
            <w:vAlign w:val="bottom"/>
          </w:tcPr>
          <w:p>
            <w:pPr>
              <w:spacing w:after="0"/>
              <w:rPr>
                <w:sz w:val="15"/>
                <w:szCs w:val="15"/>
                <w:color w:val="auto"/>
              </w:rPr>
            </w:pPr>
          </w:p>
        </w:tc>
        <w:tc>
          <w:tcPr>
            <w:tcW w:w="100" w:type="dxa"/>
            <w:vAlign w:val="bottom"/>
            <w:tcBorders>
              <w:left w:val="single" w:sz="8" w:color="9ADAF6"/>
              <w:right w:val="single" w:sz="8" w:color="9ADAF6"/>
            </w:tcBorders>
            <w:shd w:val="clear" w:color="auto" w:fill="9ADAF6"/>
          </w:tcPr>
          <w:p>
            <w:pPr>
              <w:spacing w:after="0"/>
              <w:rPr>
                <w:sz w:val="15"/>
                <w:szCs w:val="15"/>
                <w:color w:val="auto"/>
              </w:rPr>
            </w:pPr>
          </w:p>
        </w:tc>
        <w:tc>
          <w:tcPr>
            <w:tcW w:w="560" w:type="dxa"/>
            <w:vAlign w:val="bottom"/>
            <w:gridSpan w:val="3"/>
            <w:shd w:val="clear" w:color="auto" w:fill="9ADAF6"/>
          </w:tcPr>
          <w:p>
            <w:pPr>
              <w:jc w:val="center"/>
              <w:ind w:right="35"/>
              <w:spacing w:after="0" w:line="178" w:lineRule="exact"/>
              <w:rPr>
                <w:sz w:val="20"/>
                <w:szCs w:val="20"/>
                <w:color w:val="auto"/>
              </w:rPr>
            </w:pPr>
            <w:r>
              <w:rPr>
                <w:rFonts w:ascii="Arial" w:cs="Arial" w:eastAsia="Arial" w:hAnsi="Arial"/>
                <w:sz w:val="18"/>
                <w:szCs w:val="18"/>
                <w:b w:val="1"/>
                <w:bCs w:val="1"/>
                <w:color w:val="auto"/>
                <w:w w:val="95"/>
              </w:rPr>
              <w:t>Type</w:t>
            </w:r>
          </w:p>
        </w:tc>
        <w:tc>
          <w:tcPr>
            <w:tcW w:w="20" w:type="dxa"/>
            <w:vAlign w:val="bottom"/>
          </w:tcPr>
          <w:p>
            <w:pPr>
              <w:spacing w:after="0"/>
              <w:rPr>
                <w:sz w:val="15"/>
                <w:szCs w:val="15"/>
                <w:color w:val="auto"/>
              </w:rPr>
            </w:pPr>
          </w:p>
        </w:tc>
        <w:tc>
          <w:tcPr>
            <w:tcW w:w="1100" w:type="dxa"/>
            <w:vAlign w:val="bottom"/>
            <w:gridSpan w:val="4"/>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4"/>
            <w:vMerge w:val="continue"/>
            <w:shd w:val="clear" w:color="auto" w:fill="9ADAF6"/>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8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22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4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280" w:type="dxa"/>
            <w:vAlign w:val="bottom"/>
            <w:tcBorders>
              <w:bottom w:val="single" w:sz="8" w:color="9ADAF6"/>
            </w:tcBorders>
            <w:shd w:val="clear" w:color="auto" w:fill="9ADAF6"/>
          </w:tcPr>
          <w:p>
            <w:pPr>
              <w:spacing w:after="0"/>
              <w:rPr>
                <w:sz w:val="20"/>
                <w:szCs w:val="20"/>
                <w:color w:val="auto"/>
              </w:rPr>
            </w:pPr>
          </w:p>
        </w:tc>
        <w:tc>
          <w:tcPr>
            <w:tcW w:w="8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40" w:type="dxa"/>
            <w:vAlign w:val="bottom"/>
            <w:tcBorders>
              <w:bottom w:val="single" w:sz="8" w:color="9ADAF6"/>
            </w:tcBorders>
            <w:shd w:val="clear" w:color="auto" w:fill="9ADAF6"/>
          </w:tcPr>
          <w:p>
            <w:pPr>
              <w:spacing w:after="0"/>
              <w:rPr>
                <w:sz w:val="20"/>
                <w:szCs w:val="20"/>
                <w:color w:val="auto"/>
              </w:rPr>
            </w:pPr>
          </w:p>
        </w:tc>
        <w:tc>
          <w:tcPr>
            <w:tcW w:w="120" w:type="dxa"/>
            <w:vAlign w:val="bottom"/>
            <w:tcBorders>
              <w:bottom w:val="single" w:sz="8" w:color="9ADAF6"/>
            </w:tcBorders>
            <w:shd w:val="clear" w:color="auto" w:fill="9ADAF6"/>
          </w:tcPr>
          <w:p>
            <w:pPr>
              <w:spacing w:after="0"/>
              <w:rPr>
                <w:sz w:val="20"/>
                <w:szCs w:val="20"/>
                <w:color w:val="auto"/>
              </w:rPr>
            </w:pPr>
          </w:p>
        </w:tc>
        <w:tc>
          <w:tcPr>
            <w:tcW w:w="1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560" w:type="dxa"/>
            <w:vAlign w:val="bottom"/>
            <w:tcBorders>
              <w:bottom w:val="single" w:sz="8" w:color="9ADAF6"/>
            </w:tcBorders>
            <w:shd w:val="clear" w:color="auto" w:fill="9ADAF6"/>
          </w:tcPr>
          <w:p>
            <w:pPr>
              <w:spacing w:after="0"/>
              <w:rPr>
                <w:sz w:val="20"/>
                <w:szCs w:val="20"/>
                <w:color w:val="auto"/>
              </w:rPr>
            </w:pPr>
          </w:p>
        </w:tc>
        <w:tc>
          <w:tcPr>
            <w:tcW w:w="4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76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2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6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960" w:type="dxa"/>
            <w:vAlign w:val="bottom"/>
            <w:tcBorders>
              <w:bottom w:val="single" w:sz="8" w:color="9ADAF6"/>
            </w:tcBorders>
            <w:gridSpan w:val="5"/>
            <w:shd w:val="clear" w:color="auto" w:fill="9ADAF6"/>
          </w:tcPr>
          <w:p>
            <w:pPr>
              <w:ind w:left="40"/>
              <w:spacing w:after="0"/>
              <w:rPr>
                <w:sz w:val="20"/>
                <w:szCs w:val="20"/>
                <w:color w:val="auto"/>
              </w:rPr>
            </w:pPr>
            <w:r>
              <w:rPr>
                <w:rFonts w:ascii="Arial" w:cs="Arial" w:eastAsia="Arial" w:hAnsi="Arial"/>
                <w:sz w:val="18"/>
                <w:szCs w:val="18"/>
                <w:b w:val="1"/>
                <w:bCs w:val="1"/>
                <w:color w:val="auto"/>
                <w:w w:val="96"/>
              </w:rPr>
              <w:t>Registered</w:t>
            </w:r>
          </w:p>
        </w:tc>
        <w:tc>
          <w:tcPr>
            <w:tcW w:w="300" w:type="dxa"/>
            <w:vAlign w:val="bottom"/>
            <w:tcBorders>
              <w:bottom w:val="single" w:sz="8" w:color="9ADAF6"/>
            </w:tcBorders>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left w:val="single" w:sz="8" w:color="9ADAF6"/>
              <w:bottom w:val="single" w:sz="8" w:color="9ADAF6"/>
            </w:tcBorders>
            <w:shd w:val="clear" w:color="auto" w:fill="9ADAF6"/>
          </w:tcPr>
          <w:p>
            <w:pPr>
              <w:spacing w:after="0"/>
              <w:rPr>
                <w:sz w:val="20"/>
                <w:szCs w:val="20"/>
                <w:color w:val="auto"/>
              </w:rPr>
            </w:pPr>
          </w:p>
        </w:tc>
        <w:tc>
          <w:tcPr>
            <w:tcW w:w="36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060" w:type="dxa"/>
            <w:vAlign w:val="bottom"/>
            <w:tcBorders>
              <w:bottom w:val="single" w:sz="8" w:color="9ADAF6"/>
            </w:tcBorders>
            <w:gridSpan w:val="4"/>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Registered</w:t>
            </w:r>
          </w:p>
        </w:tc>
        <w:tc>
          <w:tcPr>
            <w:tcW w:w="20" w:type="dxa"/>
            <w:vAlign w:val="bottom"/>
            <w:tcBorders>
              <w:bottom w:val="single" w:sz="8" w:color="9ADAF6"/>
            </w:tcBorders>
            <w:shd w:val="clear" w:color="auto" w:fill="9ADAF6"/>
          </w:tcPr>
          <w:p>
            <w:pPr>
              <w:spacing w:after="0"/>
              <w:rPr>
                <w:sz w:val="20"/>
                <w:szCs w:val="20"/>
                <w:color w:val="auto"/>
              </w:rPr>
            </w:pPr>
          </w:p>
        </w:tc>
        <w:tc>
          <w:tcPr>
            <w:tcW w:w="460" w:type="dxa"/>
            <w:vAlign w:val="bottom"/>
            <w:tcBorders>
              <w:bottom w:val="single" w:sz="8" w:color="9ADAF6"/>
            </w:tcBorders>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left w:val="single" w:sz="8" w:color="9ADAF6"/>
              <w:bottom w:val="single" w:sz="8" w:color="9ADAF6"/>
              <w:right w:val="single" w:sz="8" w:color="9ADAF6"/>
            </w:tcBorders>
            <w:shd w:val="clear" w:color="auto" w:fill="9ADAF6"/>
          </w:tcPr>
          <w:p>
            <w:pPr>
              <w:spacing w:after="0"/>
              <w:rPr>
                <w:sz w:val="20"/>
                <w:szCs w:val="20"/>
                <w:color w:val="auto"/>
              </w:rPr>
            </w:pPr>
          </w:p>
        </w:tc>
        <w:tc>
          <w:tcPr>
            <w:tcW w:w="1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40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9ADAF6"/>
            </w:tcBorders>
            <w:shd w:val="clear" w:color="auto" w:fill="9ADAF6"/>
          </w:tcPr>
          <w:p>
            <w:pPr>
              <w:spacing w:after="0"/>
              <w:rPr>
                <w:sz w:val="20"/>
                <w:szCs w:val="20"/>
                <w:color w:val="auto"/>
              </w:rPr>
            </w:pPr>
          </w:p>
        </w:tc>
        <w:tc>
          <w:tcPr>
            <w:tcW w:w="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74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9ADAF6"/>
            </w:tcBorders>
            <w:shd w:val="clear" w:color="auto" w:fill="9ADAF6"/>
          </w:tcPr>
          <w:p>
            <w:pPr>
              <w:spacing w:after="0"/>
              <w:rPr>
                <w:sz w:val="20"/>
                <w:szCs w:val="20"/>
                <w:color w:val="auto"/>
              </w:rPr>
            </w:pPr>
          </w:p>
        </w:tc>
        <w:tc>
          <w:tcPr>
            <w:tcW w:w="40" w:type="dxa"/>
            <w:vAlign w:val="bottom"/>
            <w:tcBorders>
              <w:bottom w:val="single" w:sz="8" w:color="9ADAF6"/>
            </w:tcBorders>
            <w:shd w:val="clear" w:color="auto" w:fill="9ADAF6"/>
          </w:tcPr>
          <w:p>
            <w:pPr>
              <w:spacing w:after="0"/>
              <w:rPr>
                <w:sz w:val="20"/>
                <w:szCs w:val="20"/>
                <w:color w:val="auto"/>
              </w:rPr>
            </w:pPr>
          </w:p>
        </w:tc>
        <w:tc>
          <w:tcPr>
            <w:tcW w:w="660" w:type="dxa"/>
            <w:vAlign w:val="bottom"/>
            <w:tcBorders>
              <w:bottom w:val="single" w:sz="8" w:color="9ADAF6"/>
            </w:tcBorders>
            <w:gridSpan w:val="2"/>
            <w:shd w:val="clear" w:color="auto" w:fill="9ADAF6"/>
          </w:tcPr>
          <w:p>
            <w:pPr>
              <w:jc w:val="center"/>
              <w:ind w:right="240"/>
              <w:spacing w:after="0" w:line="200" w:lineRule="exact"/>
              <w:rPr>
                <w:sz w:val="20"/>
                <w:szCs w:val="20"/>
                <w:color w:val="auto"/>
              </w:rPr>
            </w:pPr>
            <w:r>
              <w:rPr>
                <w:rFonts w:ascii="Arial" w:cs="Arial" w:eastAsia="Arial" w:hAnsi="Arial"/>
                <w:sz w:val="18"/>
                <w:szCs w:val="18"/>
                <w:b w:val="1"/>
                <w:bCs w:val="1"/>
                <w:color w:val="auto"/>
                <w:w w:val="97"/>
              </w:rPr>
              <w:t>Date</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80" w:type="dxa"/>
            <w:vAlign w:val="bottom"/>
            <w:tcBorders>
              <w:left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960" w:type="dxa"/>
            <w:vAlign w:val="bottom"/>
            <w:gridSpan w:val="34"/>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 w:type="dxa"/>
            <w:vAlign w:val="bottom"/>
            <w:tcBorders>
              <w:lef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9"/>
                <w:szCs w:val="19"/>
                <w:color w:val="auto"/>
              </w:rPr>
            </w:pPr>
          </w:p>
        </w:tc>
        <w:tc>
          <w:tcPr>
            <w:tcW w:w="1560" w:type="dxa"/>
            <w:vAlign w:val="bottom"/>
            <w:tcBorders>
              <w:right w:val="single" w:sz="8" w:color="E7E7E2"/>
            </w:tcBorders>
            <w:gridSpan w:val="10"/>
            <w:shd w:val="clear" w:color="auto" w:fill="E7E7E2"/>
          </w:tcPr>
          <w:p>
            <w:pPr>
              <w:spacing w:after="0"/>
              <w:rPr>
                <w:sz w:val="20"/>
                <w:szCs w:val="20"/>
                <w:color w:val="auto"/>
              </w:rPr>
            </w:pPr>
            <w:r>
              <w:rPr>
                <w:rFonts w:ascii="Arial" w:cs="Arial" w:eastAsia="Arial" w:hAnsi="Arial"/>
                <w:sz w:val="18"/>
                <w:szCs w:val="18"/>
                <w:color w:val="auto"/>
              </w:rPr>
              <w:t>N/A</w:t>
            </w:r>
          </w:p>
        </w:tc>
        <w:tc>
          <w:tcPr>
            <w:tcW w:w="1720" w:type="dxa"/>
            <w:vAlign w:val="bottom"/>
            <w:tcBorders>
              <w:right w:val="single" w:sz="8" w:color="E7E7E2"/>
            </w:tcBorders>
            <w:gridSpan w:val="9"/>
          </w:tcPr>
          <w:p>
            <w:pPr>
              <w:spacing w:after="0"/>
              <w:rPr>
                <w:sz w:val="20"/>
                <w:szCs w:val="20"/>
                <w:color w:val="auto"/>
              </w:rPr>
            </w:pPr>
            <w:r>
              <w:rPr>
                <w:rFonts w:ascii="Arial" w:cs="Arial" w:eastAsia="Arial" w:hAnsi="Arial"/>
                <w:sz w:val="18"/>
                <w:szCs w:val="18"/>
                <w:color w:val="auto"/>
              </w:rPr>
              <w:t>N/A</w:t>
            </w:r>
          </w:p>
        </w:tc>
        <w:tc>
          <w:tcPr>
            <w:tcW w:w="780" w:type="dxa"/>
            <w:vAlign w:val="bottom"/>
            <w:tcBorders>
              <w:right w:val="single" w:sz="8" w:color="E7E7E2"/>
            </w:tcBorders>
            <w:gridSpan w:val="2"/>
            <w:shd w:val="clear" w:color="auto" w:fill="E7E7E2"/>
          </w:tcPr>
          <w:p>
            <w:pPr>
              <w:spacing w:after="0"/>
              <w:rPr>
                <w:sz w:val="19"/>
                <w:szCs w:val="19"/>
                <w:color w:val="auto"/>
              </w:rPr>
            </w:pPr>
          </w:p>
        </w:tc>
        <w:tc>
          <w:tcPr>
            <w:tcW w:w="620" w:type="dxa"/>
            <w:vAlign w:val="bottom"/>
            <w:tcBorders>
              <w:right w:val="single" w:sz="8" w:color="E7E7E2"/>
            </w:tcBorders>
            <w:gridSpan w:val="6"/>
            <w:shd w:val="clear" w:color="auto" w:fill="E7E7E2"/>
          </w:tcPr>
          <w:p>
            <w:pPr>
              <w:spacing w:after="0"/>
              <w:rPr>
                <w:sz w:val="19"/>
                <w:szCs w:val="19"/>
                <w:color w:val="auto"/>
              </w:rPr>
            </w:pPr>
          </w:p>
        </w:tc>
        <w:tc>
          <w:tcPr>
            <w:tcW w:w="1280" w:type="dxa"/>
            <w:vAlign w:val="bottom"/>
            <w:gridSpan w:val="7"/>
            <w:shd w:val="clear" w:color="auto" w:fill="E7E7E2"/>
          </w:tcPr>
          <w:p>
            <w:pPr>
              <w:spacing w:after="0"/>
              <w:rPr>
                <w:sz w:val="20"/>
                <w:szCs w:val="20"/>
                <w:color w:val="auto"/>
              </w:rPr>
            </w:pPr>
            <w:r>
              <w:rPr>
                <w:rFonts w:ascii="Arial" w:cs="Arial" w:eastAsia="Arial" w:hAnsi="Arial"/>
                <w:sz w:val="18"/>
                <w:szCs w:val="18"/>
                <w:color w:val="auto"/>
              </w:rPr>
              <w:t>N/A</w:t>
            </w:r>
          </w:p>
        </w:tc>
        <w:tc>
          <w:tcPr>
            <w:tcW w:w="40" w:type="dxa"/>
            <w:vAlign w:val="bottom"/>
            <w:vMerge w:val="continue"/>
          </w:tcPr>
          <w:p>
            <w:pPr>
              <w:spacing w:after="0"/>
              <w:rPr>
                <w:sz w:val="19"/>
                <w:szCs w:val="19"/>
                <w:color w:val="auto"/>
              </w:rPr>
            </w:pPr>
          </w:p>
        </w:tc>
        <w:tc>
          <w:tcPr>
            <w:tcW w:w="2000" w:type="dxa"/>
            <w:vAlign w:val="bottom"/>
            <w:tcBorders>
              <w:left w:val="single" w:sz="8" w:color="E7E7E2"/>
            </w:tcBorders>
            <w:gridSpan w:val="9"/>
            <w:shd w:val="clear" w:color="auto" w:fill="E7E7E2"/>
          </w:tcPr>
          <w:p>
            <w:pPr>
              <w:spacing w:after="0"/>
              <w:rPr>
                <w:sz w:val="20"/>
                <w:szCs w:val="20"/>
                <w:color w:val="auto"/>
              </w:rPr>
            </w:pPr>
            <w:r>
              <w:rPr>
                <w:rFonts w:ascii="Arial" w:cs="Arial" w:eastAsia="Arial" w:hAnsi="Arial"/>
                <w:sz w:val="18"/>
                <w:szCs w:val="18"/>
                <w:color w:val="auto"/>
              </w:rPr>
              <w:t>N/A</w:t>
            </w:r>
          </w:p>
        </w:tc>
        <w:tc>
          <w:tcPr>
            <w:tcW w:w="40" w:type="dxa"/>
            <w:vAlign w:val="bottom"/>
            <w:vMerge w:val="continue"/>
          </w:tcPr>
          <w:p>
            <w:pPr>
              <w:spacing w:after="0"/>
              <w:rPr>
                <w:sz w:val="19"/>
                <w:szCs w:val="19"/>
                <w:color w:val="auto"/>
              </w:rPr>
            </w:pPr>
          </w:p>
        </w:tc>
        <w:tc>
          <w:tcPr>
            <w:tcW w:w="100" w:type="dxa"/>
            <w:vAlign w:val="bottom"/>
            <w:tcBorders>
              <w:left w:val="single" w:sz="8" w:color="E7E7E2"/>
              <w:right w:val="single" w:sz="8" w:color="E7E7E2"/>
            </w:tcBorders>
            <w:shd w:val="clear" w:color="auto" w:fill="E7E7E2"/>
          </w:tcPr>
          <w:p>
            <w:pPr>
              <w:spacing w:after="0"/>
              <w:rPr>
                <w:sz w:val="19"/>
                <w:szCs w:val="19"/>
                <w:color w:val="auto"/>
              </w:rPr>
            </w:pPr>
          </w:p>
        </w:tc>
        <w:tc>
          <w:tcPr>
            <w:tcW w:w="940" w:type="dxa"/>
            <w:vAlign w:val="bottom"/>
            <w:gridSpan w:val="7"/>
            <w:shd w:val="clear" w:color="auto" w:fill="E7E7E2"/>
          </w:tcPr>
          <w:p>
            <w:pPr>
              <w:jc w:val="center"/>
              <w:ind w:right="391"/>
              <w:spacing w:after="0"/>
              <w:rPr>
                <w:sz w:val="20"/>
                <w:szCs w:val="20"/>
                <w:color w:val="auto"/>
              </w:rPr>
            </w:pPr>
            <w:r>
              <w:rPr>
                <w:rFonts w:ascii="Arial" w:cs="Arial" w:eastAsia="Arial" w:hAnsi="Arial"/>
                <w:sz w:val="18"/>
                <w:szCs w:val="18"/>
                <w:color w:val="auto"/>
                <w:w w:val="99"/>
              </w:rPr>
              <w:t>N/A</w:t>
            </w:r>
          </w:p>
        </w:tc>
        <w:tc>
          <w:tcPr>
            <w:tcW w:w="740" w:type="dxa"/>
            <w:vAlign w:val="bottom"/>
            <w:shd w:val="clear" w:color="auto" w:fill="E7E7E2"/>
          </w:tcPr>
          <w:p>
            <w:pPr>
              <w:ind w:left="40"/>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9"/>
                <w:szCs w:val="19"/>
                <w:color w:val="auto"/>
              </w:rPr>
            </w:pPr>
          </w:p>
        </w:tc>
        <w:tc>
          <w:tcPr>
            <w:tcW w:w="900" w:type="dxa"/>
            <w:vAlign w:val="bottom"/>
            <w:gridSpan w:val="4"/>
            <w:shd w:val="clear" w:color="auto" w:fill="E7E7E2"/>
          </w:tcPr>
          <w:p>
            <w:pPr>
              <w:spacing w:after="0"/>
              <w:rPr>
                <w:sz w:val="20"/>
                <w:szCs w:val="20"/>
                <w:color w:val="auto"/>
              </w:rPr>
            </w:pPr>
            <w:r>
              <w:rPr>
                <w:rFonts w:ascii="Arial" w:cs="Arial" w:eastAsia="Arial" w:hAnsi="Arial"/>
                <w:sz w:val="18"/>
                <w:szCs w:val="18"/>
                <w:color w:val="auto"/>
              </w:rPr>
              <w:t>N/A</w:t>
            </w:r>
          </w:p>
        </w:tc>
        <w:tc>
          <w:tcPr>
            <w:tcW w:w="1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360" w:type="dxa"/>
            <w:vAlign w:val="bottom"/>
            <w:tcBorders>
              <w:left w:val="single" w:sz="8" w:color="auto"/>
              <w:bottom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Narrative Disclosure</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maximum aggregate offering price of the securities to which the prospectus relates is $400,000,000.00. The prospectus is a final</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prospectus for the related offering.</w:t>
      </w:r>
    </w:p>
    <w:sectPr>
      <w:pgSz w:w="11900" w:h="16838" w:orient="portrait"/>
      <w:cols w:equalWidth="0" w:num="1">
        <w:col w:w="11360"/>
      </w:cols>
      <w:pgMar w:left="30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lowerRoman"/>
      <w:start w:val="1"/>
    </w:lvl>
  </w:abstractNum>
  <w:abstractNum w:abstractNumId="11">
    <w:nsid w:val="3A95F874"/>
    <w:multiLevelType w:val="hybridMultilevel"/>
    <w:lvl w:ilvl="0">
      <w:lvlJc w:val="left"/>
      <w:lvlText w:val="(%1)"/>
      <w:numFmt w:val="lowerRoman"/>
      <w:start w:val="2"/>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lowerRoman"/>
      <w:start w:val="1"/>
    </w:lvl>
  </w:abstractNum>
  <w:abstractNum w:abstractNumId="15">
    <w:nsid w:val="737B8DDC"/>
    <w:multiLevelType w:val="hybridMultilevel"/>
    <w:lvl w:ilvl="0">
      <w:lvlJc w:val="left"/>
      <w:lvlText w:val="%1."/>
      <w:numFmt w:val="lowerRoman"/>
      <w:start w:val="6"/>
    </w:lvl>
  </w:abstractNum>
  <w:abstractNum w:abstractNumId="16">
    <w:nsid w:val="6CEAF087"/>
    <w:multiLevelType w:val="hybridMultilevel"/>
    <w:lvl w:ilvl="0">
      <w:lvlJc w:val="left"/>
      <w:lvlText w:val="%1."/>
      <w:numFmt w:val="lowerRoman"/>
      <w:start w:val="1"/>
    </w:lvl>
  </w:abstractNum>
  <w:abstractNum w:abstractNumId="17">
    <w:nsid w:val="22221A70"/>
    <w:multiLevelType w:val="hybridMultilevel"/>
    <w:lvl w:ilvl="0">
      <w:lvlJc w:val="left"/>
      <w:lvlText w:val="%1."/>
      <w:numFmt w:val="lowerRoman"/>
      <w:start w:val="3"/>
    </w:lvl>
  </w:abstractNum>
  <w:abstractNum w:abstractNumId="18">
    <w:nsid w:val="4516DDE9"/>
    <w:multiLevelType w:val="hybridMultilevel"/>
    <w:lvl w:ilvl="0">
      <w:lvlJc w:val="left"/>
      <w:lvlText w:val="(%1)"/>
      <w:numFmt w:val="lowerRoman"/>
      <w:start w:val="3"/>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lowerRoman"/>
      <w:start w:val="1"/>
    </w:lvl>
  </w:abstractNum>
  <w:abstractNum w:abstractNumId="21">
    <w:nsid w:val="419AC241"/>
    <w:multiLevelType w:val="hybridMultilevel"/>
    <w:lvl w:ilvl="0">
      <w:lvlJc w:val="left"/>
      <w:lvlText w:val="%1)"/>
      <w:numFmt w:val="decimal"/>
      <w:start w:val="57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lowerRoman"/>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1)"/>
      <w:numFmt w:val="lowerRoman"/>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jpe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jpe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52" Type="http://schemas.openxmlformats.org/officeDocument/2006/relationships/hyperlink" Target="http://www.sec.gov/ix?doc=/Archives/edgar/data/0001832038/000095017025042332/ivvd-20241231.htm" TargetMode="External"/><Relationship Id="rId53" Type="http://schemas.openxmlformats.org/officeDocument/2006/relationships/hyperlink" Target="http://www.sec.gov/ix?doc=/Archives/edgar/data/0001832038/000095017025051587/ivvd-20250407.htm" TargetMode="External"/><Relationship Id="rId54" Type="http://schemas.openxmlformats.org/officeDocument/2006/relationships/hyperlink" Target="http://www.sec.gov/ix?doc=/Archives/edgar/data/0001832038/000095017025071974/ivvd-20250331.htm" TargetMode="External"/><Relationship Id="rId55" Type="http://schemas.openxmlformats.org/officeDocument/2006/relationships/hyperlink" Target="http://www.sec.gov/ix?doc=/Archives/edgar/data/1832038/000095017025109029/ivvd-20250630.htm" TargetMode="External"/><Relationship Id="rId56" Type="http://schemas.openxmlformats.org/officeDocument/2006/relationships/hyperlink" Target="http://www.sec.gov/ix?doc=/Archives/edgar/data/0001832038/000095017025003781/ivvd-20250110.htm" TargetMode="External"/><Relationship Id="rId57" Type="http://schemas.openxmlformats.org/officeDocument/2006/relationships/hyperlink" Target="http://www.sec.gov/ix?doc=/Archives/edgar/data/0001832038/000095017025068543/ivvd-20250512.htm" TargetMode="External"/><Relationship Id="rId58" Type="http://schemas.openxmlformats.org/officeDocument/2006/relationships/hyperlink" Target="http://www.sec.gov/ix?doc=/Archives/edgar/data/0001832038/000119312525120261/d66861d8k.htm" TargetMode="External"/><Relationship Id="rId59" Type="http://schemas.openxmlformats.org/officeDocument/2006/relationships/hyperlink" Target="http://www.sec.gov/ix?doc=/Archives/edgar/data/0001832038/000095017025075199/ivvd-20250520.htm" TargetMode="External"/><Relationship Id="rId60" Type="http://schemas.openxmlformats.org/officeDocument/2006/relationships/hyperlink" Target="http://www.sec.gov/ix?doc=/Archives/edgar/data/0001832038/000095017025090172/ivvd-20250626.htm" TargetMode="External"/><Relationship Id="rId61" Type="http://schemas.openxmlformats.org/officeDocument/2006/relationships/hyperlink" Target="http://www.sec.gov/ix?doc=/Archives/edgar/data/0001832038/000095017025092528/ivvd-20250702.htm" TargetMode="External"/><Relationship Id="rId62" Type="http://schemas.openxmlformats.org/officeDocument/2006/relationships/hyperlink" Target="http://www.sec.gov/ix?doc=/Archives/edgar/data/1832038/000119312525180890/d936404d8k.htm" TargetMode="External"/><Relationship Id="rId63" Type="http://schemas.openxmlformats.org/officeDocument/2006/relationships/hyperlink" Target="http://www.sec.gov/Archives/edgar/data/1832038/000095017024037610/ivvd-ex4_2.htm" TargetMode="External"/><Relationship Id="rId97" Type="http://schemas.openxmlformats.org/officeDocument/2006/relationships/hyperlink" Target="http://www.sec.gov/ix?doc=/Archives/edgar/data/1832038/000095017022005112/adgi-20211231.htm" TargetMode="External"/><Relationship Id="rId98" Type="http://schemas.openxmlformats.org/officeDocument/2006/relationships/hyperlink" Target="http://www.sec.gov/ix?doc=/Archives/edgar/data/1832038/000119312522134035/d304392d10ka.htm" TargetMode="External"/><Relationship Id="rId99" Type="http://schemas.openxmlformats.org/officeDocument/2006/relationships/hyperlink" Target="http://www.sec.gov/ix?doc=/Archives/edgar/data/1832038/000095017022009799/adgi-20220331.htm" TargetMode="External"/><Relationship Id="rId100" Type="http://schemas.openxmlformats.org/officeDocument/2006/relationships/hyperlink" Target="http://www.sec.gov/ix?doc=/Archives/edgar/data/1832038/000095017022017242/adgi-20220630.htm" TargetMode="External"/><Relationship Id="rId101" Type="http://schemas.openxmlformats.org/officeDocument/2006/relationships/hyperlink" Target="http://www.sec.gov/ix?doc=/Archives/edgar/data/1832038/000119312522008197/d277827d8k.htm" TargetMode="External"/><Relationship Id="rId102" Type="http://schemas.openxmlformats.org/officeDocument/2006/relationships/hyperlink" Target="http://www.sec.gov/ix?doc=/Archives/edgar/data/1832038/000119312522079997/d285779d8ka.htm" TargetMode="External"/><Relationship Id="rId103" Type="http://schemas.openxmlformats.org/officeDocument/2006/relationships/hyperlink" Target="http://www.sec.gov/ix?doc=/Archives/edgar/data/1832038/000119312522242433/d382910d8k.htm" TargetMode="External"/><Relationship Id="rId104" Type="http://schemas.openxmlformats.org/officeDocument/2006/relationships/hyperlink" Target="http://www.sec.gov/ix?doc=/Archives/edgar/data/1832038/000119312522243285/d388436d8k.htm" TargetMode="External"/><Relationship Id="rId105" Type="http://schemas.openxmlformats.org/officeDocument/2006/relationships/hyperlink" Target="http://www.sec.gov/Archives/edgar/data/1832038/000119312521233921/d109461d8a12b.htm" TargetMode="External"/><Relationship Id="rId106" Type="http://schemas.openxmlformats.org/officeDocument/2006/relationships/hyperlink" Target="http://www.sec.gov/Archives/edgar/data/1832038/000095017022005112/adgi-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2025-08-22T05:21:29Z</dcterms:created>
  <dcterms:modified xsi:type="dcterms:W3CDTF">2025-08-22T05:21:29Z</dcterms:modified>
</cp:coreProperties>
</file>