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August 5, 2021.</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Arial" w:cs="Arial" w:eastAsia="Arial" w:hAnsi="Arial"/>
                <w:sz w:val="16"/>
                <w:szCs w:val="16"/>
                <w:b w:val="1"/>
                <w:bCs w:val="1"/>
                <w:color w:val="auto"/>
                <w:w w:val="93"/>
              </w:rPr>
              <w:t>Delaware</w:t>
            </w:r>
          </w:p>
        </w:tc>
        <w:tc>
          <w:tcPr>
            <w:tcW w:w="386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2836</w:t>
            </w:r>
          </w:p>
        </w:tc>
        <w:tc>
          <w:tcPr>
            <w:tcW w:w="2200" w:type="dxa"/>
            <w:vAlign w:val="bottom"/>
          </w:tcPr>
          <w:p>
            <w:pPr>
              <w:jc w:val="center"/>
              <w:ind w:left="985"/>
              <w:spacing w:after="0"/>
              <w:rPr>
                <w:sz w:val="20"/>
                <w:szCs w:val="20"/>
                <w:color w:val="auto"/>
              </w:rPr>
            </w:pPr>
            <w:r>
              <w:rPr>
                <w:rFonts w:ascii="Arial" w:cs="Arial" w:eastAsia="Arial" w:hAnsi="Arial"/>
                <w:sz w:val="16"/>
                <w:szCs w:val="16"/>
                <w:b w:val="1"/>
                <w:bCs w:val="1"/>
                <w:color w:val="auto"/>
                <w:w w:val="91"/>
              </w:rPr>
              <w:t>85-1403134</w:t>
            </w:r>
          </w:p>
        </w:tc>
      </w:tr>
      <w:tr>
        <w:trPr>
          <w:trHeight w:val="148"/>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303 Wyman Street, Suite 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Waltham, MA 02451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(603) 252-2274</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Tillman U. Gerngross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Adagio Therapeutics,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303 Wyman Street, Suite 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Waltham, MA 02451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(603) 252-2274</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7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49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5"/>
              </w:rPr>
              <w:t>Divakar Gupta</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1"/>
              </w:rPr>
              <w:t>Richard D. Truesdell, Jr.</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87"/>
              </w:rPr>
              <w:t>Ryan Sansom</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1"/>
              </w:rPr>
              <w:t>Roshni Banker Cariello</w:t>
            </w:r>
          </w:p>
        </w:tc>
      </w:tr>
      <w:tr>
        <w:trPr>
          <w:trHeight w:val="216"/>
        </w:trPr>
        <w:tc>
          <w:tcPr>
            <w:tcW w:w="27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Courtney M.W. Tygesson</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4"/>
              </w:rPr>
              <w:t>Davis Polk &amp; Wardwell LLP</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2"/>
              </w:rPr>
              <w:t>Cooley LLP</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0"/>
              </w:rPr>
              <w:t>450 Lexington Avenue</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55 Hudson Yards</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2"/>
              </w:rPr>
              <w:t>New York, New York 10001</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0"/>
              </w:rPr>
              <w:t>(212) 450-4000</w:t>
            </w:r>
          </w:p>
        </w:tc>
      </w:tr>
      <w:tr>
        <w:trPr>
          <w:trHeight w:val="234"/>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(212) 479-6000</w:t>
            </w:r>
          </w:p>
        </w:tc>
        <w:tc>
          <w:tcPr>
            <w:tcW w:w="4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 effective.</w:t>
      </w:r>
    </w:p>
    <w:p>
      <w:pPr>
        <w:spacing w:after="0" w:line="25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(333-257975)</w:t>
      </w:r>
    </w:p>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0960"/>
          </w:cols>
          <w:pgMar w:left="440" w:top="229" w:right="49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72" w:orient="portrait"/>
          <w:cols w:equalWidth="0" w:num="4">
            <w:col w:w="1620" w:space="380"/>
            <w:col w:w="5660" w:space="720"/>
            <w:col w:w="1700" w:space="720"/>
            <w:col w:w="160"/>
          </w:cols>
          <w:pgMar w:left="440" w:top="229" w:right="49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72" w:orient="portrait"/>
          <w:cols w:equalWidth="0" w:num="4">
            <w:col w:w="1520" w:space="480"/>
            <w:col w:w="5660" w:space="720"/>
            <w:col w:w="1960" w:space="460"/>
            <w:col w:w="160"/>
          </w:cols>
          <w:pgMar w:left="440" w:top="229" w:right="499" w:bottom="0" w:gutter="0" w:footer="0" w:header="0"/>
          <w:type w:val="continuous"/>
        </w:sectPr>
      </w:pPr>
    </w:p>
    <w:bookmarkStart w:id="1" w:name="page2"/>
    <w:bookmarkEnd w:id="1"/>
    <w:p>
      <w:pPr>
        <w:ind w:left="8384"/>
        <w:spacing w:after="0" w:line="207" w:lineRule="exact"/>
        <w:tabs>
          <w:tab w:leader="none" w:pos="1078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3" w:lineRule="exact"/>
        <w:rPr>
          <w:sz w:val="20"/>
          <w:szCs w:val="20"/>
          <w:color w:val="auto"/>
        </w:rPr>
      </w:pPr>
    </w:p>
    <w:p>
      <w:pPr>
        <w:ind w:left="4"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per</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575,000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$9,775,000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$1,067.00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shares being registered and includes 75,000 shares of common stock issuable upon exercise of the underwriters’ option to purchase additional shares to cover over-allotments, if any. Does not include the securities that the Registrant previously registered on the Registration Statement on Form S-1 (File No. 333-257975).</w:t>
      </w:r>
    </w:p>
    <w:p>
      <w:pPr>
        <w:spacing w:after="0" w:line="1" w:lineRule="exact"/>
        <w:rPr>
          <w:rFonts w:ascii="Arial" w:cs="Arial" w:eastAsia="Arial" w:hAnsi="Arial"/>
          <w:sz w:val="18"/>
          <w:szCs w:val="18"/>
          <w:color w:val="auto"/>
        </w:rPr>
      </w:pPr>
    </w:p>
    <w:p>
      <w:pPr>
        <w:ind w:left="424" w:right="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is calculated in accordance with Rule 457(a) under the Securities Act of 1933, as amended, based on the proposed maximum aggregate offering price. The registrant previously registered securities at an aggregate offering price not to exceed $366,390,000 on a Registration Statement on Form S-1 (File No. 333-257975), which was declared effective by the Securities and Exchange Commission on August 5, 2021.</w:t>
      </w:r>
    </w:p>
    <w:p>
      <w:pPr>
        <w:spacing w:after="0" w:line="1" w:lineRule="exact"/>
        <w:rPr>
          <w:rFonts w:ascii="Arial" w:cs="Arial" w:eastAsia="Arial" w:hAnsi="Arial"/>
          <w:sz w:val="16"/>
          <w:szCs w:val="16"/>
          <w:color w:val="auto"/>
        </w:rPr>
      </w:pPr>
    </w:p>
    <w:p>
      <w:pPr>
        <w:ind w:left="424" w:right="100" w:hanging="424"/>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462(b) under the Securities Act, an additional amount of securities having a proposed maximum aggregate offering price of $9,775,000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191135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in accordance with Rule 462(b)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01"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This Registration Statement is being filed pursuant to Rule 462(b) under the Securities Act of 1933, as amended (the “Securities Act”), for the sole purpose of increasing the aggregate number of shares of common stock offered by Adagio Therapeutics, Inc. (the “Registrant”) by 575,000 shares, 75,000 of which are subject to purchase upon exercise of the underwriters’ option to purchase additional shares of the Registrant’s common stock. The contents of the Registration Statement on Form S-1, as amended (File No. 333-257975), filed by the Registrant with the Securities and Exchange Commission (the “Commission”) pursuant to the Securities Act, which was declared effective by the Commission on August 5, 2021, are incorporated by reference into this Registration Statement.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60" w:type="dxa"/>
            <w:vAlign w:val="bottom"/>
            <w:gridSpan w:val="7"/>
          </w:tcPr>
          <w:p>
            <w:pPr>
              <w:ind w:left="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740" w:type="dxa"/>
            <w:vAlign w:val="bottom"/>
            <w:tcBorders>
              <w:bottom w:val="single" w:sz="8" w:color="0000EE"/>
            </w:tcBorders>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Opinion of Cooley LLP.</w:t>
              </w:r>
            </w:hyperlink>
          </w:p>
        </w:tc>
        <w:tc>
          <w:tcPr>
            <w:tcW w:w="2560" w:type="dxa"/>
            <w:vAlign w:val="bottom"/>
            <w:gridSpan w:val="2"/>
          </w:tcPr>
          <w:p>
            <w:pPr>
              <w:spacing w:after="0"/>
              <w:rPr>
                <w:sz w:val="24"/>
                <w:szCs w:val="24"/>
                <w:color w:val="auto"/>
              </w:rPr>
            </w:pPr>
          </w:p>
        </w:tc>
        <w:tc>
          <w:tcPr>
            <w:tcW w:w="1360" w:type="dxa"/>
            <w:vAlign w:val="bottom"/>
            <w:tcBorders>
              <w:top w:val="single" w:sz="8" w:color="auto"/>
            </w:tcBorders>
            <w:gridSpan w:val="2"/>
          </w:tcPr>
          <w:p>
            <w:pPr>
              <w:spacing w:after="0"/>
              <w:rPr>
                <w:sz w:val="24"/>
                <w:szCs w:val="24"/>
                <w:color w:val="auto"/>
              </w:rPr>
            </w:pPr>
          </w:p>
        </w:tc>
        <w:tc>
          <w:tcPr>
            <w:tcW w:w="4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Consent of PricewaterhouseCoopers LLP, independent registered public accounting firm.</w:t>
              </w:r>
            </w:hyperlink>
          </w:p>
        </w:tc>
        <w:tc>
          <w:tcPr>
            <w:tcW w:w="3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Cooley LLP (included in Exhibit 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Power of Attorney (included on the signature page of the Registration Statement on Form S-1 (File No. 333-257975), originally filed</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with the Commission on July 16, 2021 and incorporated herein by reference).</w:t>
              </w:r>
            </w:hyperlink>
          </w:p>
        </w:tc>
        <w:tc>
          <w:tcPr>
            <w:tcW w:w="4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24"/>
                <w:szCs w:val="24"/>
                <w:color w:val="auto"/>
              </w:rPr>
            </w:pPr>
          </w:p>
        </w:tc>
        <w:tc>
          <w:tcPr>
            <w:tcW w:w="9820" w:type="dxa"/>
            <w:vAlign w:val="bottom"/>
            <w:tcBorders>
              <w:bottom w:val="single" w:sz="8" w:color="0000EE"/>
            </w:tcBorders>
            <w:gridSpan w:val="9"/>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Power of Attorney of Michael Wyzga (included on the signature page of the Registration Statement on Form S-1 (File No. 333-257975),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gridSpan w:val="9"/>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originally filed with the Commission on August 2, 2021 and incorporated herein by reference).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0864"/>
          </w:cols>
          <w:pgMar w:left="436" w:top="27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Waltham, Massachusetts, on this 5th day of August,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62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w:t>
            </w:r>
          </w:p>
        </w:tc>
      </w:tr>
      <w:tr>
        <w:trPr>
          <w:trHeight w:val="412"/>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Tillman U. Gerngross, Ph.D.</w:t>
            </w: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Co-Founder, Chief Executive Officer and 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Tillman U. Gerngross, Ph.D.</w:t>
            </w:r>
          </w:p>
        </w:tc>
        <w:tc>
          <w:tcPr>
            <w:tcW w:w="47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Jane Pritchett Henderson</w:t>
            </w: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Jane Pritchett Henderson</w:t>
            </w:r>
          </w:p>
        </w:tc>
        <w:tc>
          <w:tcPr>
            <w:tcW w:w="47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Co-Founder, Director and Chair of the Board</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René Russo, Pharm.D.</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Terrance McGuire</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Ajay Royan</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Howard Mayer, M.D.</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Anand Shah, M.D.</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Tom Heyman</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August 5, 2021</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Michael Wyzga</w:t>
            </w:r>
          </w:p>
        </w:tc>
        <w:tc>
          <w:tcPr>
            <w:tcW w:w="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58"/>
        </w:trPr>
        <w:tc>
          <w:tcPr>
            <w:tcW w:w="4960" w:type="dxa"/>
            <w:vAlign w:val="bottom"/>
            <w:gridSpan w:val="3"/>
          </w:tcPr>
          <w:p>
            <w:pPr>
              <w:spacing w:after="0"/>
              <w:rPr>
                <w:sz w:val="20"/>
                <w:szCs w:val="20"/>
                <w:color w:val="auto"/>
              </w:rPr>
            </w:pPr>
            <w:r>
              <w:rPr>
                <w:rFonts w:ascii="Arial" w:cs="Arial" w:eastAsia="Arial" w:hAnsi="Arial"/>
                <w:sz w:val="18"/>
                <w:szCs w:val="18"/>
                <w:color w:val="auto"/>
              </w:rPr>
              <w:t>*By:  /s/ Tillman U. Gerngross, Ph.D.</w:t>
            </w:r>
          </w:p>
        </w:tc>
        <w:tc>
          <w:tcPr>
            <w:tcW w:w="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Tillman U. Gerngross, Ph.D.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741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Divakar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dgupta@cooley.com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Wyman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 02451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acted as counsel to Adagio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pursuant to Rule 462(b) promulgated under the Securities Act of 1933, as amended, covering an underwritten public offering of up to 575,000 shares of the Company’s common stock, par value $0.0001 per share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Registration Statement incorporates by reference the registration statement on Form S-1 (No. 333-257975), which was declared effective on August 5, 2021 (the “</w:t>
      </w:r>
      <w:r>
        <w:rPr>
          <w:rFonts w:ascii="Arial" w:cs="Arial" w:eastAsia="Arial" w:hAnsi="Arial"/>
          <w:sz w:val="18"/>
          <w:szCs w:val="18"/>
          <w:b w:val="1"/>
          <w:bCs w:val="1"/>
          <w:i w:val="1"/>
          <w:iCs w:val="1"/>
          <w:color w:val="auto"/>
        </w:rPr>
        <w:t>Prior Registration Statement</w:t>
      </w:r>
      <w:r>
        <w:rPr>
          <w:rFonts w:ascii="Arial" w:cs="Arial" w:eastAsia="Arial" w:hAnsi="Arial"/>
          <w:sz w:val="18"/>
          <w:szCs w:val="18"/>
          <w:color w:val="auto"/>
        </w:rPr>
        <w:t>”), including the prospectus that is part of the Prior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Prospectus, (b) the Company’s Amended and Restated Certificate of Incorporation, as amended, and Amended and Restated Bylaws, each as currently in effect, (c) the forms of the Company’s Amended and Restated Certificate of Incorporation and Amended and Restated Bylaws, filed as Exhibits 3.4 and 3.5, to the Registration Statement, respectively, each of which is to be in effect upon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the certificates of public officials and the due authorization, execution and delivery of all documents by all persons other than by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174115" cy="385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5445"/>
                    </a:xfrm>
                    <a:prstGeom prst="rect">
                      <a:avLst/>
                    </a:prstGeom>
                    <a:noFill/>
                  </pic:spPr>
                </pic:pic>
              </a:graphicData>
            </a:graphic>
          </wp:anchor>
        </w:drawing>
        <w:t>August 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3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Prior Registration Statement and to the filing of this opinion as an exhibit 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Divakar Gupta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980"/>
          </w:cols>
          <w:pgMar w:left="440" w:top="1111"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May 21, 2021, except for the effects of the stock split discussed in Note 15 to the consolidated financial statements, as to which the date is August 2, 2021, relating to the financial statements, which appears in Amendment No. 1 to the Registration Statement on Form S-1 (No. 333- 257975) of Adagio Therapeutics, Inc. We also consent to the reference to us under the heading “Experts” in Amendment No. 1 to the Registration Statement on Form S-1 (No. 333-257975)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png"/><Relationship Id="rId21" Type="http://schemas.openxmlformats.org/officeDocument/2006/relationships/hyperlink" Target="http://www.sec.gov/Archives/edgar/data/1832038/000119312521217506/d549501ds1.htm#poa" TargetMode="External"/><Relationship Id="rId22" Type="http://schemas.openxmlformats.org/officeDocument/2006/relationships/hyperlink" Target="http://www.sec.gov/Archives/edgar/data/1832038/000119312521232137/d549501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2021-08-05T20:24:58Z</dcterms:created>
  <dcterms:modified xsi:type="dcterms:W3CDTF">2021-08-05T20:24:58Z</dcterms:modified>
</cp:coreProperties>
</file>