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vvd-20260813.htm"/>
      <w:bookmarkStart w:id="1" w:name="ksivvd20260813"/>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August 13, 2026</w:t>
      </w:r>
    </w:p>
    <w:p>
      <w:pPr>
        <w:pStyle w:val="TextBody"/>
        <w:pBdr>
          <w:bottom w:val="single" w:sz="8" w:space="1" w:color="000000"/>
        </w:pBdr>
        <w:bidi w:val="0"/>
        <w:spacing w:before="0" w:after="4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Church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209 Church Street, New Haven, CT 06510</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676" w:type="dxa"/>
        <w:jc w:val="left"/>
        <w:tblInd w:w="0" w:type="dxa"/>
        <w:tblLayout w:type="fixed"/>
        <w:tblCellMar>
          <w:top w:w="28" w:type="dxa"/>
          <w:left w:w="28" w:type="dxa"/>
          <w:bottom w:w="28" w:type="dxa"/>
          <w:right w:w="28" w:type="dxa"/>
        </w:tblCellMar>
      </w:tblPr>
      <w:tblGrid>
        <w:gridCol w:w="3841"/>
        <w:gridCol w:w="109"/>
        <w:gridCol w:w="826"/>
        <w:gridCol w:w="109"/>
        <w:gridCol w:w="279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IVVD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057" w:type="dxa"/>
        <w:jc w:val="left"/>
        <w:tblInd w:w="0" w:type="dxa"/>
        <w:tblLayout w:type="fixed"/>
        <w:tblCellMar>
          <w:top w:w="28" w:type="dxa"/>
          <w:left w:w="28" w:type="dxa"/>
          <w:bottom w:w="28" w:type="dxa"/>
          <w:right w:w="28" w:type="dxa"/>
        </w:tblCellMar>
      </w:tblPr>
      <w:tblGrid>
        <w:gridCol w:w="961"/>
        <w:gridCol w:w="4096"/>
      </w:tblGrid>
      <w:tr>
        <w:trPr/>
        <w:tc>
          <w:tcPr>
            <w:tcW w:w="961"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13, 2026, Invivyd, Inc. (the “Company”) issued a press release announcing its financial results for the quarter ended June 30, 2026, and recent business highlights. A copy of the press release is furnished as Exhibit 99.1 to this Current Report on Form 8-K and is incorporated by reference into this Item 2.02.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furnished pursuant to this Item 2.02, including Exhibit 99.1, shall not be deemed to be “filed” for purposes of Section 18 of the Securities Exchange Act of 1934, as amended (the “Exchange Act”), or otherwise subject to the liabilities of that Section, nor shall it be deemed to be incorporated by reference into any of the Company’s filings with the Securities and Exchange Commission under the Exchange Act or the Securities Act of 1933, as amended, whether made before or after the date hereof, regardless of any general incorporation language in such a filing, except as expressly set forth by specific reference in such a filing. </w:t>
      </w:r>
    </w:p>
    <w:p>
      <w:pPr>
        <w:pStyle w:val="TextBody"/>
        <w:bidi w:val="0"/>
        <w:jc w:val="left"/>
        <w:rPr/>
      </w:pPr>
      <w:r>
        <w:rPr/>
        <w:t> </w:t>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vvd-ex99_1.htm">
              <w:r>
                <w:rPr>
                  <w:rStyle w:val="InternetLink"/>
                  <w:rFonts w:ascii="Times New Roman" w:hAnsi="Times New Roman"/>
                  <w:color w:val="0000FF"/>
                  <w:sz w:val="20"/>
                  <w:u w:val="single"/>
                </w:rPr>
                <w:t>Press Release, dated August 13,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6217" w:type="dxa"/>
        <w:jc w:val="left"/>
        <w:tblInd w:w="0" w:type="dxa"/>
        <w:tblLayout w:type="fixed"/>
        <w:tblCellMar>
          <w:top w:w="28" w:type="dxa"/>
          <w:left w:w="28" w:type="dxa"/>
          <w:bottom w:w="28" w:type="dxa"/>
          <w:right w:w="28" w:type="dxa"/>
        </w:tblCellMar>
      </w:tblPr>
      <w:tblGrid>
        <w:gridCol w:w="1996"/>
        <w:gridCol w:w="109"/>
        <w:gridCol w:w="406"/>
        <w:gridCol w:w="3706"/>
      </w:tblGrid>
      <w:tr>
        <w:trPr/>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August 13, 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Andersen</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ptos;sans-serif" w:hAnsi="Aptos;sans-serif"/>
          <w:b/>
          <w:color w:val="000000"/>
          <w:sz w:val="22"/>
        </w:rPr>
      </w:pPr>
      <w:bookmarkStart w:id="2" w:name="ivvd-ex99_1.htm"/>
      <w:bookmarkStart w:id="3" w:name="ksivvdex99_1"/>
      <w:bookmarkEnd w:id="2"/>
      <w:bookmarkEnd w:id="3"/>
      <w:r>
        <w:rPr>
          <w:rFonts w:ascii="Aptos;sans-serif" w:hAnsi="Aptos;sans-serif"/>
          <w:b/>
          <w:color w:val="000000"/>
          <w:sz w:val="22"/>
        </w:rPr>
        <w:t>Exhibit 99.1</w:t>
      </w:r>
      <w:r>
        <w:br w:type="page"/>
      </w:r>
    </w:p>
    <w:p>
      <w:pPr>
        <w:pStyle w:val="TextBody"/>
        <w:bidi w:val="0"/>
        <w:jc w:val="left"/>
        <w:rPr/>
      </w:pPr>
      <w:r>
        <w:rPr/>
        <w:drawing>
          <wp:inline distT="0" distB="0" distL="0" distR="0">
            <wp:extent cx="14382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323850"/>
                    </a:xfrm>
                    <a:prstGeom prst="rect">
                      <a:avLst/>
                    </a:prstGeom>
                  </pic:spPr>
                </pic:pic>
              </a:graphicData>
            </a:graphic>
          </wp:inline>
        </w:drawing>
      </w:r>
    </w:p>
    <w:p>
      <w:pPr>
        <w:pStyle w:val="TextBody"/>
        <w:bidi w:val="0"/>
        <w:jc w:val="left"/>
        <w:rPr/>
      </w:pPr>
      <w:r>
        <w:rPr/>
        <w:t> </w:t>
      </w:r>
    </w:p>
    <w:p>
      <w:pPr>
        <w:pStyle w:val="TextBody"/>
        <w:bidi w:val="0"/>
        <w:spacing w:before="0" w:after="160"/>
        <w:jc w:val="left"/>
        <w:rPr>
          <w:rFonts w:ascii="sans-serif" w:hAnsi="sans-serif"/>
          <w:b/>
          <w:color w:val="000000"/>
          <w:sz w:val="28"/>
        </w:rPr>
      </w:pPr>
      <w:r>
        <w:rPr>
          <w:rFonts w:ascii="sans-serif" w:hAnsi="sans-serif"/>
          <w:b/>
          <w:color w:val="000000"/>
          <w:sz w:val="28"/>
        </w:rPr>
        <w:t>Invivyd Reports Second Quarter 2026 Financial Results and 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i/>
          <w:color w:val="000000"/>
          <w:sz w:val="22"/>
        </w:rPr>
      </w:pPr>
      <w:r>
        <w:rPr>
          <w:rFonts w:ascii="Aptos;sans-serif" w:hAnsi="Aptos;sans-serif"/>
          <w:i/>
          <w:color w:val="000000"/>
          <w:sz w:val="22"/>
        </w:rPr>
        <w:t>Achieved Q2 2026 PEMGARDA® (pemivibart) net product revenue of $14.3 million, representing 21% growth versus Q2 2025 net product revenue of $11.8 million</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Completed rapid enrollment in VYD2311 DECLARATION clinical trial expansion cohort and LIBERTY clinical trial, driven by strong subject demand</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 xml:space="preserve">DECLARATION pivotal clinical trial enrollment is complete; the ongoing study is approaching its planned analysis, and in lieu of a Q2 2026 quarterly earnings call, Invivyd plans to hold an investor call post study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LIBERTY study fully dosed with top-line data anticipated in late Q3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ptos;sans-serif" w:hAnsi="Aptos;sans-serif"/>
          <w:i/>
          <w:color w:val="000000"/>
          <w:sz w:val="22"/>
        </w:rPr>
        <w:t>Strong balance sheet with Q2 2026 ending cash and cash equivalents of $160.1 million</w:t>
      </w:r>
      <w:r>
        <w:rPr>
          <w:color w:val="000000"/>
        </w:rPr>
        <w:t xml:space="preserve"> </w:t>
      </w:r>
      <w:r>
        <w:rPr>
          <w:rFonts w:ascii="Aptos;sans-serif" w:hAnsi="Aptos;sans-serif"/>
          <w:i/>
          <w:color w:val="000000"/>
          <w:sz w:val="22"/>
        </w:rPr>
        <w:t>anticipated to provide runway through DECLARATION pivotal data readout and support potential commercial launch readiness for VYD2311</w:t>
      </w:r>
    </w:p>
    <w:p>
      <w:pPr>
        <w:pStyle w:val="TextBody"/>
        <w:bidi w:val="0"/>
        <w:jc w:val="left"/>
        <w:rPr/>
      </w:pPr>
      <w:r>
        <w:rPr/>
        <w:t> </w:t>
      </w:r>
    </w:p>
    <w:p>
      <w:pPr>
        <w:pStyle w:val="TextBody"/>
        <w:bidi w:val="0"/>
        <w:spacing w:before="0" w:after="120"/>
        <w:jc w:val="left"/>
        <w:rPr>
          <w:rFonts w:ascii="Aptos;sans-serif" w:hAnsi="Aptos;sans-serif"/>
          <w:color w:val="000000"/>
          <w:sz w:val="22"/>
        </w:rPr>
      </w:pPr>
      <w:r>
        <w:rPr>
          <w:rFonts w:ascii="Aptos;sans-serif" w:hAnsi="Aptos;sans-serif"/>
          <w:color w:val="000000"/>
          <w:sz w:val="22"/>
        </w:rPr>
        <w:t>NEW HAVEN, Conn., August 13, 2026 (GLOBE NEWSWIRE) -- Invivyd, Inc. (Nasdaq: IVVD) today announced financial results for the second quarter ended June 30, 2026, and recent business highlights.</w:t>
      </w:r>
    </w:p>
    <w:p>
      <w:pPr>
        <w:pStyle w:val="TextBody"/>
        <w:bidi w:val="0"/>
        <w:spacing w:before="0" w:after="120"/>
        <w:jc w:val="left"/>
        <w:rPr/>
      </w:pPr>
      <w:r>
        <w:rPr>
          <w:color w:val="000000"/>
        </w:rPr>
        <w:t>“</w:t>
      </w:r>
      <w:r>
        <w:rPr>
          <w:rFonts w:ascii="Aptos;sans-serif" w:hAnsi="Aptos;sans-serif"/>
          <w:color w:val="000000"/>
          <w:sz w:val="22"/>
        </w:rPr>
        <w:t>With our VYD2311 DECLARATION and LIBERTY clinical trials planned to wrap up in the coming weeks, we are looking forward to the next steps for vulnerable Americans,” said Marc Elia, Chairman of the Board of Invivyd. “The public health need for antibody-based protection with attractive safety is enormous, and we are confident that many public health leaders and policy makers in the United States understand the importance of having non-vaccine options available for the American public health.”</w:t>
      </w:r>
      <w:r>
        <w:rPr>
          <w:rFonts w:ascii="Times New Roman" w:hAnsi="Times New Roman"/>
          <w:color w:val="000000"/>
          <w:sz w:val="20"/>
        </w:rPr>
        <w:t xml:space="preserve"> </w:t>
      </w:r>
    </w:p>
    <w:p>
      <w:pPr>
        <w:pStyle w:val="TextBody"/>
        <w:bidi w:val="0"/>
        <w:spacing w:before="0" w:after="120"/>
        <w:jc w:val="left"/>
        <w:rPr/>
      </w:pPr>
      <w:r>
        <w:rPr>
          <w:color w:val="000000"/>
        </w:rPr>
        <w:t>“</w:t>
      </w:r>
      <w:r>
        <w:rPr>
          <w:rFonts w:ascii="Aptos;sans-serif" w:hAnsi="Aptos;sans-serif"/>
          <w:color w:val="000000"/>
          <w:sz w:val="22"/>
        </w:rPr>
        <w:t>We are pleased with continued growth of PEMGARDA, especially in the face of understandably diminished COVID vaccine utilization,” commented Bill Duke, Chief Financial Officer of Invivyd. “We are pleased with our strong cash position as we approach planned top-line data for our VYD2311 pivotal program later this quarter. We have continued to diligently manage expenses, albeit during a period of critical heavy clinical investment in our pivotal VYD2311 program, which we expect to complete shortly as we move toward potential launch of VYD2311, if approved.”</w:t>
      </w:r>
      <w:r>
        <w:rPr>
          <w:rFonts w:ascii="Times New Roman" w:hAnsi="Times New Roman"/>
          <w:color w:val="000000"/>
          <w:sz w:val="20"/>
        </w:rPr>
        <w:t xml:space="preserve">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br/>
        <w:t>Second Quarter 2026 and Recent Company Highlights</w:t>
      </w:r>
    </w:p>
    <w:p>
      <w:pPr>
        <w:pStyle w:val="TextBody"/>
        <w:bidi w:val="0"/>
        <w:spacing w:before="0" w:after="120"/>
        <w:jc w:val="left"/>
        <w:rPr>
          <w:rFonts w:ascii="Times New Roman" w:hAnsi="Times New Roman"/>
          <w:sz w:val="20"/>
        </w:rPr>
      </w:pPr>
      <w:r>
        <w:rPr>
          <w:rFonts w:ascii="Aptos;sans-serif" w:hAnsi="Aptos;sans-serif"/>
          <w:b/>
          <w:i/>
          <w:color w:val="000000"/>
          <w:sz w:val="22"/>
        </w:rPr>
        <w:t>PEMGARDA® Commercial Performance &amp; Regulatory Update</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PEMGARDA net product revenue was $14.3 million for the quarter ended June 30, 2026, compared to $11.8 million in for the quarter ended June 30, 2025. Growth of 21% was driven by increased patient demand.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 xml:space="preserve">In July 2026, Invivyd announced receipt of twelve months’ advanced notice of emergency use authorization (EUA) termination for PEMGARDA and that the company is in dialogue with the U.S. Food and Drug Administration (FDA) about appropriate next steps.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left"/>
        <w:rPr>
          <w:rFonts w:ascii="Aptos;sans-serif" w:hAnsi="Aptos;sans-serif"/>
          <w:b/>
          <w:i/>
          <w:color w:val="000000"/>
          <w:sz w:val="22"/>
        </w:rPr>
      </w:pPr>
      <w:r>
        <w:rPr>
          <w:rFonts w:ascii="Aptos;sans-serif" w:hAnsi="Aptos;sans-serif"/>
          <w:b/>
          <w:i/>
          <w:color w:val="000000"/>
          <w:sz w:val="22"/>
        </w:rPr>
        <w:t>Research &amp; Development (R&amp;D) Highlights</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COVID-19</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Invivyd continued to advance its REVOLUTION program, which is Invivyd’s development program for VYD2311 that is designed to elaborate the profile of monoclonal antibody-mediated prophylaxis from COVID-19 and the potential medical benefits to vulnerable Americans: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i/>
          <w:color w:val="000000"/>
          <w:sz w:val="22"/>
        </w:rPr>
        <w:t>DECLARATION:</w:t>
      </w:r>
      <w:r>
        <w:rPr>
          <w:color w:val="000000"/>
        </w:rPr>
        <w:t xml:space="preserve"> </w:t>
      </w:r>
      <w:r>
        <w:rPr>
          <w:rFonts w:ascii="Aptos;sans-serif" w:hAnsi="Aptos;sans-serif"/>
          <w:color w:val="000000"/>
          <w:sz w:val="22"/>
        </w:rPr>
        <w:t>Following trial initiation in late 2025, the DECLARATION pivotal clinical trial recruitment progressed rapidly with full initial enrollment achieved in March 2026. In April 2026, Invivyd announced it had conducted a prospectively designed, conservative, algorithmic sample size re-estimation pooled, blinded analysis for the DECLARATION clinical trial aimed at supporting adequate COVID-19 clinical events and associated statistical power given the variability of COVID-19 attack rates, and, in June 2026, Invivyd announced completion of enrollment in the upsized DECLARATION clinical trial. DECLARATION is designed to support potential Biologics License Application (BLA) submission, with top-line data planned later in Q3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i/>
          <w:color w:val="000000"/>
          <w:sz w:val="22"/>
        </w:rPr>
        <w:t>LIBERTY:</w:t>
      </w:r>
      <w:r>
        <w:rPr>
          <w:color w:val="000000"/>
        </w:rPr>
        <w:t xml:space="preserve"> </w:t>
      </w:r>
      <w:r>
        <w:rPr>
          <w:rFonts w:ascii="Aptos;sans-serif" w:hAnsi="Aptos;sans-serif"/>
          <w:color w:val="000000"/>
          <w:sz w:val="22"/>
        </w:rPr>
        <w:t>In June 2026, Invivyd announced first participants dosed and completion of enrollment in LIBERTY, a Phase 3 clinical trial to evaluate the safety and tolerability of VYD2311 antibody versus mRNA COVID vaccine and to characterize the safety and immunology of antibody and mRNA vaccine co-administration. The LIBERTY study is now fully dosed, with top-line data anticipated in late Q3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i/>
          <w:color w:val="000000"/>
          <w:sz w:val="22"/>
        </w:rPr>
        <w:t xml:space="preserve">DRUMMER: </w:t>
      </w:r>
      <w:r>
        <w:rPr>
          <w:rFonts w:ascii="Aptos;sans-serif" w:hAnsi="Aptos;sans-serif"/>
          <w:color w:val="000000"/>
          <w:sz w:val="22"/>
        </w:rPr>
        <w:t>Invivyd agreed with the FDA on an initial pediatric study plan to support potential BLA submission for VYD2311 in children aged 0-11 years</w:t>
      </w:r>
      <w:r>
        <w:rPr>
          <w:rFonts w:ascii="Aptos;sans-serif" w:hAnsi="Aptos;sans-serif"/>
          <w:i/>
          <w:color w:val="000000"/>
          <w:sz w:val="22"/>
        </w:rPr>
        <w:t xml:space="preserve">; </w:t>
      </w:r>
      <w:r>
        <w:rPr>
          <w:rFonts w:ascii="Aptos;sans-serif" w:hAnsi="Aptos;sans-serif"/>
          <w:color w:val="000000"/>
          <w:sz w:val="22"/>
        </w:rPr>
        <w:t>the DRUMMER pediatric clinical trial will be actioned only if the pivotal DECLARATION clinical trial is successful.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i/>
          <w:color w:val="000000"/>
          <w:sz w:val="22"/>
        </w:rPr>
        <w:t xml:space="preserve">Long COVID: </w:t>
      </w:r>
      <w:r>
        <w:rPr>
          <w:rFonts w:ascii="Aptos;sans-serif" w:hAnsi="Aptos;sans-serif"/>
          <w:color w:val="000000"/>
          <w:sz w:val="22"/>
        </w:rPr>
        <w:t>In January 2026, Invivyd and the SPEAR (Spike Protein Elimination and Recovery) Study Group announced the plan to initiate a Phase 2 clinical trial evaluating VYD2311 in individuals with Long COVID or COVID vaccine injury. The Phase 2 clinical trial is expected to be initiated mid-2026.</w:t>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Measles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In April 2026, Invivyd announced advancement of a measles monoclonal antibody candidate, VMS063. VMS063 is a novel, highly potent, broadly in vitro neutralizing, high resistance barrier, half-life-extended, potentially first- and best-in-class monoclonal antibody candidate for the treatment and prevention of measles. Invivyd has begun Investigational New Drug (IND)-enablement and regulatory outreach to advance VMS063 toward IND readiness in 2H 2026.</w:t>
      </w:r>
    </w:p>
    <w:p>
      <w:pPr>
        <w:pStyle w:val="TextBody"/>
        <w:bidi w:val="0"/>
        <w:jc w:val="left"/>
        <w:rPr/>
      </w:pPr>
      <w:r>
        <w:rPr/>
        <w:t> </w:t>
      </w:r>
    </w:p>
    <w:p>
      <w:pPr>
        <w:pStyle w:val="TextBody"/>
        <w:bidi w:val="0"/>
        <w:spacing w:before="0" w:after="120"/>
        <w:jc w:val="left"/>
        <w:rPr>
          <w:rFonts w:ascii="Aptos;sans-serif" w:hAnsi="Aptos;sans-serif"/>
          <w:b/>
          <w:color w:val="000000"/>
          <w:sz w:val="22"/>
        </w:rPr>
      </w:pPr>
      <w:r>
        <w:rPr>
          <w:rFonts w:ascii="Aptos;sans-serif" w:hAnsi="Aptos;sans-serif"/>
          <w:b/>
          <w:color w:val="000000"/>
          <w:sz w:val="22"/>
        </w:rPr>
        <w:t>Respiratory Syncytial Virus (RSV)</w:t>
      </w:r>
    </w:p>
    <w:p>
      <w:pPr>
        <w:pStyle w:val="TextBody"/>
        <w:bidi w:val="0"/>
        <w:spacing w:before="0" w:after="0"/>
        <w:jc w:val="left"/>
        <w:rPr>
          <w:color w:val="000000"/>
        </w:rPr>
      </w:pPr>
      <w:r>
        <w:rPr>
          <w:color w:val="000000"/>
        </w:rPr>
        <w:t>•</w:t>
      </w:r>
    </w:p>
    <w:p>
      <w:pPr>
        <w:pStyle w:val="TextBody"/>
        <w:bidi w:val="0"/>
        <w:spacing w:before="0" w:after="0"/>
        <w:jc w:val="left"/>
        <w:rPr>
          <w:rFonts w:ascii="Aptos;sans-serif" w:hAnsi="Aptos;sans-serif"/>
          <w:color w:val="000000"/>
          <w:sz w:val="22"/>
        </w:rPr>
      </w:pPr>
      <w:r>
        <w:rPr>
          <w:rFonts w:ascii="Aptos;sans-serif" w:hAnsi="Aptos;sans-serif"/>
          <w:color w:val="000000"/>
          <w:sz w:val="22"/>
        </w:rPr>
        <w:t xml:space="preserve">Invivyd expects to advance VBY329, a novel, potential best-in-class monoclonal antibody candidate being developed to prevent RSV among neonates, infants, and children, for development in pediatric RSV prophylaxis, a blockbuster pharmaceutical market in 2024,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ptos;sans-serif" w:hAnsi="Aptos;sans-serif"/>
          <w:color w:val="000000"/>
          <w:sz w:val="22"/>
        </w:rPr>
      </w:pPr>
      <w:r>
        <w:rPr>
          <w:rFonts w:ascii="Aptos;sans-serif" w:hAnsi="Aptos;sans-serif"/>
          <w:color w:val="000000"/>
          <w:sz w:val="22"/>
        </w:rPr>
        <w:t>expected to grow to $3-$4 billion in annual revenues globally by 2030. Invivyd expects to advance VBY329 toward IND readiness in 2H 2026.</w:t>
      </w:r>
    </w:p>
    <w:p>
      <w:pPr>
        <w:pStyle w:val="TextBody"/>
        <w:bidi w:val="0"/>
        <w:jc w:val="left"/>
        <w:rPr/>
      </w:pPr>
      <w:r>
        <w:rPr/>
        <w:t> </w:t>
      </w:r>
    </w:p>
    <w:p>
      <w:pPr>
        <w:pStyle w:val="TextBody"/>
        <w:bidi w:val="0"/>
        <w:spacing w:before="0" w:after="120"/>
        <w:jc w:val="left"/>
        <w:rPr>
          <w:rFonts w:ascii="Aptos;sans-serif" w:hAnsi="Aptos;sans-serif"/>
          <w:b/>
          <w:i/>
          <w:color w:val="000000"/>
          <w:sz w:val="22"/>
        </w:rPr>
      </w:pPr>
      <w:r>
        <w:rPr>
          <w:rFonts w:ascii="Aptos;sans-serif" w:hAnsi="Aptos;sans-serif"/>
          <w:b/>
          <w:i/>
          <w:color w:val="000000"/>
          <w:sz w:val="22"/>
        </w:rPr>
        <w:t>Corporate Updates</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In April 2026, Marc Elia spoke at the POLITICO Health Care Summit. During the session, Mr. Elia framed the evolving landscape of viral disease prevention, including the role of monoclonal antibodies in keeping Americans healthy moving forward.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In April 2026, Invivyd launched “Antibodies for Any Body” in partnership with world ski champion Lindsey Vonn to inspire actions that support immune health.</w:t>
      </w:r>
    </w:p>
    <w:p>
      <w:pPr>
        <w:pStyle w:val="TextBody"/>
        <w:bidi w:val="0"/>
        <w:jc w:val="left"/>
        <w:rPr/>
      </w:pPr>
      <w:r>
        <w:rPr/>
        <w:t> </w:t>
      </w:r>
    </w:p>
    <w:p>
      <w:pPr>
        <w:pStyle w:val="TextBody"/>
        <w:bidi w:val="0"/>
        <w:spacing w:before="0" w:after="120"/>
        <w:jc w:val="left"/>
        <w:rPr>
          <w:rFonts w:ascii="Aptos;sans-serif" w:hAnsi="Aptos;sans-serif"/>
          <w:b/>
          <w:i/>
          <w:color w:val="000000"/>
          <w:sz w:val="22"/>
        </w:rPr>
      </w:pPr>
      <w:r>
        <w:rPr>
          <w:rFonts w:ascii="Aptos;sans-serif" w:hAnsi="Aptos;sans-serif"/>
          <w:b/>
          <w:i/>
          <w:color w:val="000000"/>
          <w:sz w:val="22"/>
        </w:rPr>
        <w:t>Publications &amp; Other R&amp;D Updates</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color w:val="000000"/>
          <w:sz w:val="22"/>
        </w:rPr>
        <w:t xml:space="preserve">In May 2026, Invivyd published a preprint “Safety first: should the high tolerability of intramuscular anti-spike COVID-19 monoclonal antibody change our expectations of vaccine safety?” Linked </w:t>
      </w:r>
      <w:r>
        <w:rPr>
          <w:rFonts w:ascii="Aptos;sans-serif" w:hAnsi="Aptos;sans-serif"/>
          <w:sz w:val="22"/>
        </w:rPr>
        <w:t>here</w:t>
      </w:r>
      <w:r>
        <w:rPr>
          <w:rFonts w:ascii="Aptos;sans-serif" w:hAnsi="Aptos;sans-serif"/>
          <w:color w:val="000000"/>
          <w:sz w:val="22"/>
        </w:rPr>
        <w:t xml:space="preserve">. The analysis supports the strong early tolerability profile of intramuscular-administered adintrevimab, a low-dose investigational monoclonal antibody for the prevention of COVID-19 that is the parent antibody to pemivibart and VYD2311.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ptos;sans-serif" w:hAnsi="Aptos;sans-serif"/>
          <w:color w:val="000000"/>
          <w:sz w:val="22"/>
        </w:rPr>
      </w:pPr>
      <w:r>
        <w:rPr>
          <w:rFonts w:ascii="Aptos;sans-serif" w:hAnsi="Aptos;sans-serif"/>
          <w:color w:val="000000"/>
          <w:sz w:val="22"/>
        </w:rPr>
        <w:t>In May 2026, Invivyd reported positive, continued, in vitro neutralization data for PEMGARDA (pemivibart) and for VYD2311, the company’s vaccine alternative monoclonal antibody candidate for the prevention of COVID-19, against SARS-CoV-2 variant BA.3.2.2 (“Cicada”). Positive in vitro neutralization data for pemivibart against SARS-CoV-2 virus circulating in the U.S. over the past four years affirm Invivyd’s unique technology and reflect consistently stable target epitopes.</w:t>
      </w:r>
    </w:p>
    <w:p>
      <w:pPr>
        <w:pStyle w:val="TextBody"/>
        <w:bidi w:val="0"/>
        <w:jc w:val="left"/>
        <w:rPr/>
      </w:pPr>
      <w:r>
        <w:rPr/>
        <w:t> </w:t>
      </w:r>
    </w:p>
    <w:p>
      <w:pPr>
        <w:pStyle w:val="TextBody"/>
        <w:bidi w:val="0"/>
        <w:spacing w:before="0" w:after="120"/>
        <w:jc w:val="left"/>
        <w:rPr>
          <w:rFonts w:ascii="Aptos;sans-serif" w:hAnsi="Aptos;sans-serif"/>
          <w:b/>
          <w:i/>
          <w:color w:val="000000"/>
          <w:sz w:val="22"/>
        </w:rPr>
      </w:pPr>
      <w:r>
        <w:rPr>
          <w:rFonts w:ascii="Aptos;sans-serif" w:hAnsi="Aptos;sans-serif"/>
          <w:b/>
          <w:i/>
          <w:color w:val="000000"/>
          <w:sz w:val="22"/>
        </w:rPr>
        <w:t>Second Quarter 2026 Financial Results</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b/>
          <w:color w:val="000000"/>
          <w:sz w:val="22"/>
        </w:rPr>
        <w:t>Revenue:</w:t>
      </w:r>
      <w:r>
        <w:rPr>
          <w:color w:val="000000"/>
        </w:rPr>
        <w:t xml:space="preserve"> </w:t>
      </w:r>
      <w:r>
        <w:rPr>
          <w:rFonts w:ascii="Aptos;sans-serif" w:hAnsi="Aptos;sans-serif"/>
          <w:color w:val="000000"/>
          <w:sz w:val="22"/>
        </w:rPr>
        <w:t>Reported Q2 2026 PEMGARDA net product revenue of $14.3 million, compared to $11.8 million in Q2 2025, representing a 21% increase.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b/>
          <w:color w:val="000000"/>
          <w:sz w:val="22"/>
        </w:rPr>
        <w:t>Cash Position:</w:t>
      </w:r>
      <w:r>
        <w:rPr>
          <w:color w:val="000000"/>
        </w:rPr>
        <w:t xml:space="preserve"> </w:t>
      </w:r>
      <w:r>
        <w:rPr>
          <w:rFonts w:ascii="Aptos;sans-serif" w:hAnsi="Aptos;sans-serif"/>
          <w:color w:val="000000"/>
          <w:sz w:val="22"/>
        </w:rPr>
        <w:t>Cash and cash equivalents were $160.1 million as of June 30, 2026. Cash and cash equivalents are anticipated to provide runway through DECLARATION pivotal data readout and support potential commercial launch</w:t>
      </w:r>
      <w:r>
        <w:rPr>
          <w:color w:val="000000"/>
        </w:rPr>
        <w:t xml:space="preserve"> </w:t>
      </w:r>
      <w:r>
        <w:rPr>
          <w:rFonts w:ascii="Aptos;sans-serif" w:hAnsi="Aptos;sans-serif"/>
          <w:color w:val="000000"/>
          <w:sz w:val="22"/>
        </w:rPr>
        <w:t>readiness</w:t>
      </w:r>
      <w:r>
        <w:rPr>
          <w:color w:val="000000"/>
        </w:rPr>
        <w:t xml:space="preserve"> </w:t>
      </w:r>
      <w:r>
        <w:rPr>
          <w:rFonts w:ascii="Aptos;sans-serif" w:hAnsi="Aptos;sans-serif"/>
          <w:color w:val="000000"/>
          <w:sz w:val="22"/>
        </w:rPr>
        <w:t>for VYD2311.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b/>
          <w:color w:val="000000"/>
          <w:sz w:val="22"/>
        </w:rPr>
        <w:t>R&amp;D Expenses:</w:t>
      </w:r>
      <w:r>
        <w:rPr>
          <w:color w:val="000000"/>
        </w:rPr>
        <w:t xml:space="preserve"> </w:t>
      </w:r>
      <w:r>
        <w:rPr>
          <w:rFonts w:ascii="Aptos;sans-serif" w:hAnsi="Aptos;sans-serif"/>
          <w:color w:val="000000"/>
          <w:sz w:val="22"/>
        </w:rPr>
        <w:t>R&amp;D expenses were $29.4 million for the quarter ended June 30, 2026, compared to $9.6 million for the comparable period in 2025. This increase is primarily attributable to higher contract research costs associated with the DECLARATION and LIBERTY clinical trials for VYD2311.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ptos;sans-serif" w:hAnsi="Aptos;sans-serif"/>
          <w:b/>
          <w:color w:val="000000"/>
          <w:sz w:val="22"/>
        </w:rPr>
        <w:t>Selling, General &amp; Administrative (SG&amp;A) Expenses:</w:t>
      </w:r>
      <w:r>
        <w:rPr>
          <w:color w:val="000000"/>
        </w:rPr>
        <w:t xml:space="preserve"> </w:t>
      </w:r>
      <w:r>
        <w:rPr>
          <w:rFonts w:ascii="Aptos;sans-serif" w:hAnsi="Aptos;sans-serif"/>
          <w:color w:val="000000"/>
          <w:sz w:val="22"/>
        </w:rPr>
        <w:t>SG&amp;A expenses were $29.5 million for the quarter ended June 30, 2026, compared to $16.6 million for the comparable period in 2025. This increase is primarily attributable to an increase in personnel, communications and commercial-related costs.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ptos;sans-serif" w:hAnsi="Aptos;sans-serif"/>
          <w:b/>
          <w:color w:val="000000"/>
          <w:sz w:val="22"/>
        </w:rPr>
        <w:t>Net Loss and Net Loss per Share:</w:t>
      </w:r>
      <w:r>
        <w:rPr>
          <w:color w:val="000000"/>
        </w:rPr>
        <w:t xml:space="preserve"> </w:t>
      </w:r>
      <w:r>
        <w:rPr>
          <w:rFonts w:ascii="Aptos;sans-serif" w:hAnsi="Aptos;sans-serif"/>
          <w:color w:val="000000"/>
          <w:sz w:val="22"/>
        </w:rPr>
        <w:t xml:space="preserve">Net loss was $44.4 million for the quarter ended June 30, 2026, compared to $14.7 million for the comparable period in 2025. Basic and diluted net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ptos;sans-serif" w:hAnsi="Aptos;sans-serif"/>
          <w:color w:val="000000"/>
          <w:sz w:val="22"/>
        </w:rPr>
      </w:pPr>
      <w:r>
        <w:rPr>
          <w:rFonts w:ascii="Aptos;sans-serif" w:hAnsi="Aptos;sans-serif"/>
          <w:color w:val="000000"/>
          <w:sz w:val="22"/>
        </w:rPr>
        <w:t>loss per share was $0.14 for the quarter ended June 30, 2026, compared to $0.12 for the comparable period in 2025.</w:t>
      </w:r>
    </w:p>
    <w:p>
      <w:pPr>
        <w:pStyle w:val="TextBody"/>
        <w:bidi w:val="0"/>
        <w:jc w:val="lef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About PEMGARDA</w:t>
      </w:r>
      <w:r>
        <w:rPr>
          <w:rFonts w:ascii="Aptos;sans-serif" w:hAnsi="Aptos;sans-serif"/>
          <w:color w:val="000000"/>
          <w:sz w:val="22"/>
        </w:rPr>
        <w:b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pStyle w:val="TextBody"/>
        <w:bidi w:val="0"/>
        <w:spacing w:before="0" w:after="160"/>
        <w:jc w:val="left"/>
        <w:rPr>
          <w:rFonts w:ascii="Aptos;sans-serif" w:hAnsi="Aptos;sans-serif"/>
          <w:color w:val="000000"/>
          <w:sz w:val="22"/>
        </w:rPr>
      </w:pPr>
      <w:r>
        <w:rPr>
          <w:rFonts w:ascii="Aptos;sans-serif" w:hAnsi="Aptos;sans-serif"/>
          <w:color w:val="000000"/>
          <w:sz w:val="22"/>
        </w:rPr>
        <w:t>PEMGARDA is not authorized for use for the treatment of COVID-19, Long COVID, or COVID-19 Post-Vaccination Syndrome, or for post-exposure prophylaxis of COVID-19.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pStyle w:val="TextBody"/>
        <w:bidi w:val="0"/>
        <w:spacing w:before="0" w:after="160"/>
        <w:jc w:val="left"/>
        <w:rPr>
          <w:rFonts w:ascii="Aptos;sans-serif" w:hAnsi="Aptos;sans-serif"/>
          <w:color w:val="000000"/>
          <w:sz w:val="22"/>
        </w:rPr>
      </w:pPr>
      <w:r>
        <w:rPr>
          <w:rFonts w:ascii="Aptos;sans-serif" w:hAnsi="Aptos;sans-serif"/>
          <w:color w:val="000000"/>
          <w:sz w:val="22"/>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pStyle w:val="TextBody"/>
        <w:bidi w:val="0"/>
        <w:spacing w:before="0" w:after="160"/>
        <w:jc w:val="left"/>
        <w:rPr>
          <w:rFonts w:ascii="Times New Roman" w:hAnsi="Times New Roman"/>
          <w:sz w:val="20"/>
        </w:rPr>
      </w:pPr>
      <w:r>
        <w:rPr>
          <w:rFonts w:ascii="Aptos;sans-serif" w:hAnsi="Aptos;sans-serif"/>
          <w:color w:val="000000"/>
          <w:sz w:val="22"/>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authorization revoked sooner. On June 30, 2026, the U.S. Department of Health and Human Services (HHS) announced notice of the termination of the declaration, effective June 29, 2027.</w:t>
      </w:r>
    </w:p>
    <w:p>
      <w:pPr>
        <w:pStyle w:val="TextBody"/>
        <w:bidi w:val="0"/>
        <w:spacing w:before="0" w:after="160"/>
        <w:jc w:val="left"/>
        <w:rPr>
          <w:rFonts w:ascii="Times New Roman" w:hAnsi="Times New Roman"/>
          <w:sz w:val="20"/>
        </w:rPr>
      </w:pPr>
      <w:r>
        <w:rPr>
          <w:rFonts w:ascii="Aptos;sans-serif" w:hAnsi="Aptos;sans-serif"/>
          <w:b/>
          <w:color w:val="000000"/>
          <w:sz w:val="22"/>
        </w:rPr>
        <w:t>About VYD2311</w:t>
      </w:r>
      <w:r>
        <w:rPr>
          <w:rFonts w:ascii="Aptos;sans-serif" w:hAnsi="Aptos;sans-serif"/>
          <w:color w:val="000000"/>
          <w:sz w:val="22"/>
        </w:rPr>
        <w:br/>
        <w:t>VYD2311 is a novel monoclonal antibody (mAb) candidate being developed for COVID-19 to continue to address the urgent need for new prophylactic and therapeutic options. The pharmacokinetic profile and antiviral potency of VYD2311 may offer the ability to deliver clinically meaningful titer levels through more patient-friendly means such as an intramuscular route of administration.</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color w:val="000000"/>
          <w:sz w:val="22"/>
        </w:rPr>
        <w:t>VYD2311 was engineered using Invivyd’s proprietary integrated technology platform and is the product of serial molecular evolution designed to generate an antibody optimized for neutralizing contemporary virus lineages. VYD2311 leverages the same antibody backbone as pemivibart, Invivyd’s investigational mAb granted emergency use authorization in the U.S. for the pre-exposure prophylaxis (PrEP) of symptomatic COVID-19 in certain immunocompromised patients, and adintrevimab, Invivyd’s investigational mAb that has a robust safety data package and demonstrated clinically meaningful results in global Phase 2/3 clinical trials for the prevention and treatment of COVID-19.</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ptos;sans-serif" w:hAnsi="Aptos;sans-serif"/>
          <w:b/>
          <w:color w:val="000000"/>
          <w:sz w:val="22"/>
        </w:rPr>
        <w:t>About DECLARATION</w:t>
      </w:r>
      <w:r>
        <w:rPr>
          <w:rFonts w:ascii="Aptos;sans-serif" w:hAnsi="Aptos;sans-serif"/>
          <w:color w:val="000000"/>
          <w:sz w:val="22"/>
        </w:rPr>
        <w:br/>
        <w:t>DECLARATION is a Phase 3, randomized, triple-blind, placebo-controlled trial to evaluate VYD2311 efficacy and safety in prevention of symptomatic COVID in a broad population of participants including adults and adolescents both with and without risk factors for progression to severe COVID-19 at three months. Participants will receive either a single dose or monthly doses of VYD2311, each administered via intramuscular (IM) injection, compared to placebo. Total enrollment of the trial is approximately 2,400 participants.</w:t>
      </w:r>
    </w:p>
    <w:p>
      <w:pPr>
        <w:pStyle w:val="TextBody"/>
        <w:bidi w:val="0"/>
        <w:spacing w:before="80" w:after="283"/>
        <w:jc w:val="left"/>
        <w:rPr>
          <w:rFonts w:ascii="Aptos;sans-serif" w:hAnsi="Aptos;sans-serif"/>
          <w:b/>
          <w:color w:val="000000"/>
          <w:sz w:val="22"/>
        </w:rPr>
      </w:pPr>
      <w:r>
        <w:rPr>
          <w:rFonts w:ascii="Aptos;sans-serif" w:hAnsi="Aptos;sans-serif"/>
          <w:b/>
          <w:color w:val="000000"/>
          <w:sz w:val="22"/>
        </w:rPr>
        <w:t>About LIBERTY</w:t>
      </w:r>
    </w:p>
    <w:p>
      <w:pPr>
        <w:pStyle w:val="TextBody"/>
        <w:bidi w:val="0"/>
        <w:jc w:val="left"/>
        <w:rPr>
          <w:rFonts w:ascii="Aptos;sans-serif" w:hAnsi="Aptos;sans-serif"/>
          <w:color w:val="000000"/>
          <w:sz w:val="22"/>
        </w:rPr>
      </w:pPr>
      <w:r>
        <w:rPr>
          <w:rFonts w:ascii="Aptos;sans-serif" w:hAnsi="Aptos;sans-serif"/>
          <w:color w:val="000000"/>
          <w:sz w:val="22"/>
        </w:rPr>
        <w:t>LIBERTY is a Phase 3, randomized, double-blind clinical trial to evaluate the safety, serum virus neutralizing antibody responses, and pharmacokinetics of VYD2311, an mRNA COVID vaccine, and co-administered VYD2311 with an mRNA COVID vaccine. Total enrollment of the trial is approximately 210 participants.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sz w:val="20"/>
        </w:rPr>
      </w:pPr>
      <w:r>
        <w:rPr>
          <w:rFonts w:ascii="Aptos;sans-serif" w:hAnsi="Aptos;sans-serif"/>
          <w:b/>
          <w:color w:val="000000"/>
          <w:sz w:val="22"/>
        </w:rPr>
        <w:t xml:space="preserve">About </w:t>
      </w:r>
      <w:r>
        <w:rPr>
          <w:rFonts w:ascii="Aptos;sans-serif" w:hAnsi="Aptos;sans-serif"/>
          <w:b/>
          <w:i/>
          <w:color w:val="000000"/>
          <w:sz w:val="22"/>
        </w:rPr>
        <w:t>Antibodies for Any Body</w:t>
      </w:r>
      <w:r>
        <w:rPr>
          <w:rFonts w:ascii="Aptos;sans-serif" w:hAnsi="Aptos;sans-serif"/>
          <w:color w:val="000000"/>
          <w:sz w:val="22"/>
        </w:rPr>
        <w:br/>
        <w:t>Antibodies for Any Body is a national education campaign designed to elevate public understanding of the immune system and explain the role antibodies play in keeping the body healthy. Visit AntibodiesforAnyBody.com to access information and resources and take the Antibodies for Any Body Wellness Assessment to learn more about your health.</w:t>
      </w:r>
    </w:p>
    <w:p>
      <w:pPr>
        <w:pStyle w:val="TextBody"/>
        <w:bidi w:val="0"/>
        <w:spacing w:before="0" w:after="160"/>
        <w:jc w:val="left"/>
        <w:rPr>
          <w:rFonts w:ascii="Times New Roman" w:hAnsi="Times New Roman"/>
          <w:sz w:val="20"/>
        </w:rPr>
      </w:pPr>
      <w:r>
        <w:rPr>
          <w:rFonts w:ascii="Aptos;sans-serif" w:hAnsi="Aptos;sans-serif"/>
          <w:b/>
          <w:color w:val="000000"/>
          <w:sz w:val="22"/>
        </w:rPr>
        <w:t>About VMS063</w:t>
      </w:r>
      <w:r>
        <w:rPr>
          <w:rFonts w:ascii="Aptos;sans-serif" w:hAnsi="Aptos;sans-serif"/>
          <w:color w:val="000000"/>
          <w:sz w:val="22"/>
        </w:rPr>
        <w:br/>
        <w:t>VMS063 is a monoclonal antibody candidate engineered via Invivyd’s proprietary antibody discovery platform to target a highly conserved protein of a measles virus. The antibody has shown sub-nanomolar potencies across all variants tested in vitro to date.</w:t>
      </w:r>
    </w:p>
    <w:p>
      <w:pPr>
        <w:pStyle w:val="TextBody"/>
        <w:bidi w:val="0"/>
        <w:jc w:val="left"/>
        <w:rPr>
          <w:rFonts w:ascii="Aptos;sans-serif" w:hAnsi="Aptos;sans-serif"/>
          <w:b/>
          <w:color w:val="000000"/>
          <w:sz w:val="22"/>
        </w:rPr>
      </w:pPr>
      <w:r>
        <w:rPr>
          <w:rFonts w:ascii="Aptos;sans-serif" w:hAnsi="Aptos;sans-serif"/>
          <w:b/>
          <w:color w:val="000000"/>
          <w:sz w:val="22"/>
        </w:rPr>
        <w:t>About VBY329</w:t>
      </w:r>
    </w:p>
    <w:p>
      <w:pPr>
        <w:pStyle w:val="TextBody"/>
        <w:bidi w:val="0"/>
        <w:jc w:val="left"/>
        <w:rPr>
          <w:rFonts w:ascii="Aptos;sans-serif" w:hAnsi="Aptos;sans-serif"/>
          <w:color w:val="000000"/>
          <w:sz w:val="22"/>
        </w:rPr>
      </w:pPr>
      <w:r>
        <w:rPr>
          <w:rFonts w:ascii="Aptos;sans-serif" w:hAnsi="Aptos;sans-serif"/>
          <w:color w:val="000000"/>
          <w:sz w:val="22"/>
        </w:rPr>
        <w:t>VBY329 is a novel, potential best-in-class monoclonal antibody (mAb) candidate being developed to prevent Respiratory Syncytial Virus (RSV) among neonates, infants, and children.</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About SPEAR Study Group</w:t>
      </w:r>
      <w:r>
        <w:rPr>
          <w:rFonts w:ascii="Aptos;sans-serif" w:hAnsi="Aptos;sans-serif"/>
          <w:color w:val="000000"/>
          <w:sz w:val="22"/>
        </w:rPr>
        <w:br/>
        <w:t>Invivyd and leading researchers formed the SPEAR (Spike Protein Elimination and Recovery) Study Group to assess the effects of monoclonal antibody (mAb) therapy for Long COVID and COVID-19 Post-Vaccination Syndrome.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2"/>
        </w:rPr>
        <w:t>About Invivyd</w:t>
      </w:r>
      <w:r>
        <w:rPr>
          <w:rFonts w:ascii="Times New Roman" w:hAnsi="Times New Roman"/>
          <w:color w:val="000000"/>
          <w:sz w:val="20"/>
        </w:rPr>
        <w:t xml:space="preserve">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Trademarks are the property of their respective owners.</w:t>
      </w:r>
    </w:p>
    <w:p>
      <w:pPr>
        <w:pStyle w:val="TextBody"/>
        <w:bidi w:val="0"/>
        <w:jc w:val="left"/>
        <w:rPr>
          <w:rFonts w:ascii="Aptos;sans-serif" w:hAnsi="Aptos;sans-serif"/>
          <w:b/>
          <w:color w:val="000000"/>
          <w:sz w:val="22"/>
        </w:rPr>
      </w:pPr>
      <w:r>
        <w:rPr>
          <w:rFonts w:ascii="Aptos;sans-serif" w:hAnsi="Aptos;sans-serif"/>
          <w:b/>
          <w:color w:val="000000"/>
          <w:sz w:val="22"/>
        </w:rPr>
        <w:t>Cautionary Note Regarding Forward-Looking Statements</w:t>
      </w:r>
    </w:p>
    <w:p>
      <w:pPr>
        <w:pStyle w:val="TextBody"/>
        <w:bidi w:val="0"/>
        <w:spacing w:before="0" w:after="160"/>
        <w:jc w:val="left"/>
        <w:rPr>
          <w:rFonts w:ascii="Times New Roman" w:hAnsi="Times New Roman"/>
          <w:sz w:val="20"/>
        </w:rPr>
      </w:pPr>
      <w:r>
        <w:rPr>
          <w:rFonts w:ascii="Aptos;sans-serif" w:hAnsi="Aptos;sans-serif"/>
          <w:color w:val="000000"/>
          <w:sz w:val="22"/>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plans related to the company’s research and development activities, and the timing and potential results thereof; expectations regarding the company’s clinical trial designs, event accumulation and progress, regulatory pathway, product profile, indication, and administration paradigm for VYD2311, including the company’s REVOLUTION clinical program and the timing of expenditures and results related thereto, as well as preparations for the potential commercial launch of VYD2311, if approved; the company’s plans to hold a future investor call; expectations regarding the public health landscape and potential advantages of mAbs; the potential of VYD2311 as a novel mAb candidate that may be able to deliver clinically meaningful titer levels through more patient-friendly means; expectations regarding the future termination of the EUA granted by the FDA for PEMGARDA and the transition period; the company’s plans and expectations with respect to its other product candidates, including VMS063 and VBY329; the company’s business strategies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Aptos;sans-serif" w:hAnsi="Aptos;sans-serif"/>
          <w:color w:val="000000"/>
          <w:sz w:val="22"/>
        </w:rPr>
      </w:pPr>
      <w:r>
        <w:rPr>
          <w:rFonts w:ascii="Aptos;sans-serif" w:hAnsi="Aptos;sans-serif"/>
          <w:color w:val="000000"/>
          <w:sz w:val="22"/>
        </w:rPr>
        <w:t>objectives; the company’s expectations regarding the sufficiency of its current cash and cash equivalents; the potential market size and opportunity for the company’s product candidates;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company’s expectations, projections, and estimates regarding future costs and expenses, future revenue, capital requirements, and the availability of and the need for additional financing; uncertainties regarding market acceptance, payor coverage, and reimbursement, or future revenue generated by any authorized or approved product; uncertainties regarding the impact of the future termination of the EUA granted by the FDA for PEMGARDA on the business of the company; uncertainties related to the transition period for PEMGARDA; the ability to maintain a continued acceptable safety, tolerability, and efficacy profile of any product candidate following regulatory authorization or approval; the success of the company’s in-house sales force, and the company’s ability to maintain and expand sales, marketing, and distribution capabilities to successfully commercialize any authorized or approved product; changes in expected or existing competition; changes in the regulatory environment; the outcome of the company’s engagement with regulators; uncertainties related to the regulatory authorization or approval process, and available development and regulatory pathways; whether or not any preclinical candidate identified by the company is determined to be suitable for clinical development; the timing, progress, and results of the company’s discovery, preclinical, and clinical development activities; clinical trial event accumulation rates; unexpected safety or efficacy data observed during preclinical studies or clinical trials; the risk that results of nonclinical studies or clinical trials may not be predictive of future results, and interim data are subject to further analysis; the company’s ability to generate the data needed to support a potential BLA submission for VYD2311; potential variability in neutralizing activity of product candidates tested in different assays, such as pseudovirus assays and authentic assays; variability of results in models and methods used to predict activity against SARS-CoV-2 variants; whether the epitopes that pemivibart and VYD2311 target remain structurally intact and the company’s product candidates are able to demonstrate and sustain neutralizing activity against major SARS-CoV-2 variants, particularly in the face of viral evolution; the risk that a lack of awareness of mAb therapies and regulatory scrutiny of mAb therapies may adversely impact the development or commercial success of the company’s product candidates; the company’s reliance on third parties;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spacing w:before="0" w:after="160"/>
        <w:jc w:val="left"/>
        <w:rPr>
          <w:rFonts w:ascii="Aptos;sans-serif" w:hAnsi="Aptos;sans-serif"/>
          <w:color w:val="000000"/>
          <w:sz w:val="22"/>
        </w:rPr>
      </w:pPr>
      <w:r>
        <w:rPr>
          <w:rFonts w:ascii="Aptos;sans-serif" w:hAnsi="Aptos;sans-serif"/>
          <w:color w:val="000000"/>
          <w:sz w:val="22"/>
        </w:rPr>
        <w:t>This press release contains hyperlinks to information that is not deemed to be incorporated by reference in this press release.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Aptos;sans-serif" w:hAnsi="Aptos;sans-serif"/>
          <w:b/>
          <w:color w:val="000000"/>
          <w:sz w:val="22"/>
        </w:rPr>
      </w:pPr>
      <w:r>
        <w:rPr>
          <w:rFonts w:ascii="Aptos;sans-serif" w:hAnsi="Aptos;sans-serif"/>
          <w:b/>
          <w:color w:val="000000"/>
          <w:sz w:val="22"/>
        </w:rPr>
        <w:t>Contacts:</w:t>
      </w:r>
    </w:p>
    <w:p>
      <w:pPr>
        <w:pStyle w:val="TextBody"/>
        <w:bidi w:val="0"/>
        <w:spacing w:before="0" w:after="160"/>
        <w:jc w:val="left"/>
        <w:rPr>
          <w:rFonts w:ascii="Times New Roman" w:hAnsi="Times New Roman"/>
          <w:sz w:val="20"/>
        </w:rPr>
      </w:pPr>
      <w:r>
        <w:rPr>
          <w:rFonts w:ascii="Aptos;sans-serif" w:hAnsi="Aptos;sans-serif"/>
          <w:b/>
          <w:color w:val="000000"/>
          <w:sz w:val="22"/>
        </w:rPr>
        <w:t>Media Relations</w:t>
        <w:br/>
      </w:r>
      <w:r>
        <w:rPr>
          <w:rFonts w:ascii="Aptos;sans-serif" w:hAnsi="Aptos;sans-serif"/>
          <w:color w:val="000000"/>
          <w:sz w:val="22"/>
        </w:rPr>
        <w:t>(781) 208-0160</w:t>
        <w:br/>
        <w:t>media@invivyd.com</w:t>
      </w:r>
    </w:p>
    <w:p>
      <w:pPr>
        <w:pStyle w:val="TextBody"/>
        <w:bidi w:val="0"/>
        <w:spacing w:before="0" w:after="160"/>
        <w:jc w:val="left"/>
        <w:rPr>
          <w:rFonts w:ascii="Times New Roman" w:hAnsi="Times New Roman"/>
          <w:sz w:val="20"/>
        </w:rPr>
      </w:pPr>
      <w:r>
        <w:rPr>
          <w:rFonts w:ascii="Aptos;sans-serif" w:hAnsi="Aptos;sans-serif"/>
          <w:b/>
          <w:color w:val="000000"/>
          <w:sz w:val="22"/>
        </w:rPr>
        <w:t>Investor Relations</w:t>
        <w:br/>
      </w:r>
      <w:r>
        <w:rPr>
          <w:rFonts w:ascii="Aptos;sans-serif" w:hAnsi="Aptos;sans-serif"/>
          <w:color w:val="000000"/>
          <w:sz w:val="22"/>
        </w:rPr>
        <w:t>(781) 208-1747</w:t>
        <w:br/>
        <w:t>investors@invivyd.com</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sans-serif" w:hAnsi="sans-serif"/>
          <w:b/>
          <w:color w:val="000000"/>
          <w:sz w:val="21"/>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sans-serif" w:hAnsi="sans-serif"/>
          <w:b/>
          <w:caps/>
          <w:color w:val="000000"/>
          <w:sz w:val="21"/>
        </w:rPr>
        <w:t>Condensed Consolidated Balance Sheets</w:t>
      </w:r>
      <w:r>
        <w:rPr>
          <w:rFonts w:ascii="Times New Roman" w:hAnsi="Times New Roman"/>
          <w:caps/>
          <w:color w:val="000000"/>
          <w:sz w:val="20"/>
        </w:rPr>
        <w:t xml:space="preserve"> </w:t>
      </w:r>
    </w:p>
    <w:p>
      <w:pPr>
        <w:pStyle w:val="TextBody"/>
        <w:bidi w:val="0"/>
        <w:spacing w:before="120" w:after="283"/>
        <w:jc w:val="center"/>
        <w:rPr>
          <w:rFonts w:ascii="sans-serif" w:hAnsi="sans-serif"/>
          <w:b/>
          <w:caps/>
          <w:color w:val="000000"/>
          <w:sz w:val="21"/>
        </w:rPr>
      </w:pPr>
      <w:r>
        <w:rPr>
          <w:rFonts w:ascii="sans-serif" w:hAnsi="sans-serif"/>
          <w:b/>
          <w:caps/>
          <w:color w:val="000000"/>
          <w:sz w:val="21"/>
        </w:rPr>
        <w:t>(UNaudited)</w:t>
      </w:r>
    </w:p>
    <w:p>
      <w:pPr>
        <w:pStyle w:val="TextBody"/>
        <w:bidi w:val="0"/>
        <w:spacing w:before="120" w:after="80"/>
        <w:jc w:val="center"/>
        <w:rPr>
          <w:rFonts w:ascii="Times New Roman" w:hAnsi="Times New Roman"/>
          <w:sz w:val="20"/>
        </w:rPr>
      </w:pPr>
      <w:r>
        <w:rPr>
          <w:rFonts w:ascii="sans-serif" w:hAnsi="sans-serif"/>
          <w:b/>
          <w:color w:val="000000"/>
          <w:sz w:val="21"/>
        </w:rPr>
        <w:t>(In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386"/>
        <w:gridCol w:w="146"/>
        <w:gridCol w:w="226"/>
        <w:gridCol w:w="1141"/>
        <w:gridCol w:w="181"/>
        <w:gridCol w:w="146"/>
        <w:gridCol w:w="236"/>
        <w:gridCol w:w="1115"/>
        <w:gridCol w:w="628"/>
      </w:tblGrid>
      <w:tr>
        <w:trPr/>
        <w:tc>
          <w:tcPr>
            <w:tcW w:w="6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December 31,</w:t>
              <w:br/>
              <w:t>2025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160,080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226,689</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Accounts receivable, net</w:t>
            </w:r>
            <w:r>
              <w:rPr>
                <w:rFonts w:ascii="sans-serif" w:hAnsi="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13,919</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10,810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6,859</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182,112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247,467</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25,345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25,499</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1,365</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8,067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2,442</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110</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218,883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276,883</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9,486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13,744</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 xml:space="preserve">Accrued expenses </w:t>
            </w:r>
            <w:r>
              <w:rPr>
                <w:rFonts w:ascii="sans-serif" w:hAnsi="sans-serif"/>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19,053</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1,314</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current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31,028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34,163</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6,775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1,180</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37,803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35,343</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rFonts w:ascii="sans-serif" w:hAnsi="sans-serif"/>
                <w:color w:val="000000"/>
                <w:sz w:val="18"/>
              </w:rPr>
            </w:pPr>
            <w:r>
              <w:rPr>
                <w:rFonts w:ascii="sans-serif" w:hAnsi="sans-serif"/>
                <w:color w:val="000000"/>
                <w:sz w:val="18"/>
              </w:rPr>
              <w:t>Preferred stock (undesignated), $0.0001 par value; 10,000,000 shares authorized and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88"/>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88"/>
              <w:jc w:val="left"/>
              <w:rPr>
                <w:rFonts w:ascii="sans-serif" w:hAnsi="sans-serif"/>
                <w:color w:val="000000"/>
                <w:sz w:val="18"/>
              </w:rPr>
            </w:pPr>
            <w:r>
              <w:rPr>
                <w:rFonts w:ascii="sans-serif" w:hAnsi="sans-serif"/>
                <w:color w:val="000000"/>
                <w:sz w:val="18"/>
              </w:rPr>
              <w:t>Common stock, $0.0001 par value; 1,000,000,000 shares authorized, 294,755,090 shares issued and outstanding at June 30, 2026; 281,987,033 shares issued and 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1,221,362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1,196,036</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(1,040,276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(954,483</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181,080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241,540</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218,883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1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276,883</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sans-serif" w:hAnsi="sans-serif"/>
          <w:color w:val="000000"/>
          <w:sz w:val="20"/>
        </w:rPr>
      </w:pPr>
      <w:r>
        <w:rPr>
          <w:rFonts w:ascii="sans-serif" w:hAnsi="sans-serif"/>
          <w:color w:val="000000"/>
          <w:sz w:val="20"/>
        </w:rPr>
        <w:t>(1)</w:t>
      </w:r>
    </w:p>
    <w:p>
      <w:pPr>
        <w:pStyle w:val="TextBody"/>
        <w:bidi w:val="0"/>
        <w:spacing w:before="0" w:after="0"/>
        <w:jc w:val="both"/>
        <w:rPr>
          <w:rFonts w:ascii="sans-serif" w:hAnsi="sans-serif"/>
          <w:color w:val="000000"/>
          <w:sz w:val="20"/>
        </w:rPr>
      </w:pPr>
      <w:r>
        <w:rPr>
          <w:rFonts w:ascii="sans-serif" w:hAnsi="sans-serif"/>
          <w:color w:val="000000"/>
          <w:sz w:val="20"/>
        </w:rPr>
        <w:t xml:space="preserve">Includes an allowance for doubtful accounts of $199 and $323 as of June 30, 2026 and December 31, 2025, respectively. </w:t>
      </w:r>
    </w:p>
    <w:p>
      <w:pPr>
        <w:pStyle w:val="TextBody"/>
        <w:bidi w:val="0"/>
        <w:spacing w:before="0" w:after="0"/>
        <w:jc w:val="both"/>
        <w:rPr>
          <w:rFonts w:ascii="sans-serif" w:hAnsi="sans-serif"/>
          <w:color w:val="000000"/>
          <w:sz w:val="20"/>
        </w:rPr>
      </w:pPr>
      <w:r>
        <w:rPr>
          <w:rFonts w:ascii="sans-serif" w:hAnsi="sans-serif"/>
          <w:color w:val="000000"/>
          <w:sz w:val="20"/>
        </w:rPr>
        <w:t>(2)</w:t>
      </w:r>
    </w:p>
    <w:p>
      <w:pPr>
        <w:pStyle w:val="TextBody"/>
        <w:bidi w:val="0"/>
        <w:spacing w:before="0" w:after="0"/>
        <w:jc w:val="both"/>
        <w:rPr>
          <w:rFonts w:ascii="sans-serif" w:hAnsi="sans-serif"/>
          <w:color w:val="000000"/>
          <w:sz w:val="20"/>
        </w:rPr>
      </w:pPr>
      <w:r>
        <w:rPr>
          <w:rFonts w:ascii="sans-serif" w:hAnsi="sans-serif"/>
          <w:color w:val="000000"/>
          <w:sz w:val="20"/>
        </w:rPr>
        <w:t>Includes related-party amounts of $576 and $703 as of June 30, 2026 and December 31, 2025, respectively.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sans-serif" w:hAnsi="sans-serif"/>
          <w:b/>
          <w:color w:val="000000"/>
          <w:sz w:val="21"/>
        </w:rPr>
        <w:t>INVIVYD,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sans-serif" w:hAnsi="sans-serif"/>
          <w:b/>
          <w:caps/>
          <w:color w:val="000000"/>
          <w:sz w:val="21"/>
        </w:rPr>
        <w:t>Condensed Consolidated Statements of Operations and Comprehensive Loss</w:t>
      </w:r>
      <w:r>
        <w:rPr>
          <w:rFonts w:ascii="Times New Roman" w:hAnsi="Times New Roman"/>
          <w:caps/>
          <w:color w:val="000000"/>
          <w:sz w:val="20"/>
        </w:rPr>
        <w:t xml:space="preserve"> </w:t>
      </w:r>
    </w:p>
    <w:p>
      <w:pPr>
        <w:pStyle w:val="TextBody"/>
        <w:bidi w:val="0"/>
        <w:spacing w:before="120" w:after="283"/>
        <w:jc w:val="center"/>
        <w:rPr>
          <w:rFonts w:ascii="sans-serif" w:hAnsi="sans-serif"/>
          <w:b/>
          <w:caps/>
          <w:color w:val="000000"/>
          <w:sz w:val="21"/>
        </w:rPr>
      </w:pPr>
      <w:r>
        <w:rPr>
          <w:rFonts w:ascii="sans-serif" w:hAnsi="sans-serif"/>
          <w:b/>
          <w:caps/>
          <w:color w:val="000000"/>
          <w:sz w:val="21"/>
        </w:rPr>
        <w:t>(UNaudited)</w:t>
      </w:r>
    </w:p>
    <w:p>
      <w:pPr>
        <w:pStyle w:val="TextBody"/>
        <w:bidi w:val="0"/>
        <w:spacing w:before="120" w:after="80"/>
        <w:jc w:val="center"/>
        <w:rPr>
          <w:rFonts w:ascii="sans-serif" w:hAnsi="sans-serif"/>
          <w:b/>
          <w:color w:val="000000"/>
          <w:sz w:val="21"/>
        </w:rPr>
      </w:pPr>
      <w:r>
        <w:rPr>
          <w:rFonts w:ascii="sans-serif" w:hAnsi="sans-serif"/>
          <w:b/>
          <w:color w:val="000000"/>
          <w:sz w:val="21"/>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046"/>
        <w:gridCol w:w="146"/>
        <w:gridCol w:w="238"/>
        <w:gridCol w:w="1378"/>
        <w:gridCol w:w="181"/>
        <w:gridCol w:w="146"/>
        <w:gridCol w:w="238"/>
        <w:gridCol w:w="1378"/>
        <w:gridCol w:w="181"/>
        <w:gridCol w:w="146"/>
        <w:gridCol w:w="236"/>
        <w:gridCol w:w="1366"/>
        <w:gridCol w:w="181"/>
        <w:gridCol w:w="146"/>
        <w:gridCol w:w="236"/>
        <w:gridCol w:w="1366"/>
        <w:gridCol w:w="596"/>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Three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 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Six Months Ended June 30,</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28,029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23,090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11,786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28,029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23,090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Cost of product revenue</w:t>
            </w:r>
            <w:r>
              <w:rPr>
                <w:rFonts w:ascii="sans-serif" w:hAnsi="sans-serif"/>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sans-serif" w:hAnsi="sans-serif"/>
                <w:color w:val="000000"/>
                <w:sz w:val="18"/>
              </w:rPr>
              <w:t>Research and development</w:t>
            </w:r>
            <w:r>
              <w:rPr>
                <w:rFonts w:ascii="sans-serif" w:hAnsi="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29,367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60,098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20,214</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29,465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16,588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54,582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33,339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60,105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26,846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116,985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55,072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(45,820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(15,060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(88,956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(31,982</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1,033</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(44,393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(85,793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(30,949</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Unrealized gain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(44,391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(14,686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(85,787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(30,983</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(0.12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(0.26</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320,435,078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120,016,132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315,082,327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119,950,172</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sans-serif" w:hAnsi="sans-serif"/>
          <w:color w:val="000000"/>
          <w:sz w:val="20"/>
        </w:rPr>
      </w:pPr>
      <w:r>
        <w:rPr>
          <w:rFonts w:ascii="sans-serif" w:hAnsi="sans-serif"/>
          <w:color w:val="000000"/>
          <w:sz w:val="20"/>
        </w:rPr>
        <w:t>(1)</w:t>
      </w:r>
    </w:p>
    <w:p>
      <w:pPr>
        <w:pStyle w:val="TextBody"/>
        <w:bidi w:val="0"/>
        <w:spacing w:before="0" w:after="0"/>
        <w:jc w:val="both"/>
        <w:rPr>
          <w:rFonts w:ascii="sans-serif" w:hAnsi="sans-serif"/>
          <w:color w:val="000000"/>
          <w:sz w:val="20"/>
        </w:rPr>
      </w:pPr>
      <w:r>
        <w:rPr>
          <w:rFonts w:ascii="sans-serif" w:hAnsi="sans-serif"/>
          <w:color w:val="000000"/>
          <w:sz w:val="20"/>
        </w:rPr>
        <w:t>Includes related-party amounts of $571 and $1,121 for the three and six months ended June 30, 2026, respectively, and $472 and $924 for the three and six months ended June 30, 2025, respectively.</w:t>
      </w:r>
    </w:p>
    <w:p>
      <w:pPr>
        <w:pStyle w:val="TextBody"/>
        <w:bidi w:val="0"/>
        <w:spacing w:before="0" w:after="0"/>
        <w:jc w:val="both"/>
        <w:rPr>
          <w:rFonts w:ascii="sans-serif" w:hAnsi="sans-serif"/>
          <w:color w:val="000000"/>
          <w:sz w:val="20"/>
        </w:rPr>
      </w:pPr>
      <w:r>
        <w:rPr>
          <w:rFonts w:ascii="sans-serif" w:hAnsi="sans-serif"/>
          <w:color w:val="000000"/>
          <w:sz w:val="20"/>
        </w:rPr>
        <w:t>(2)</w:t>
      </w:r>
    </w:p>
    <w:p>
      <w:pPr>
        <w:pStyle w:val="TextBody"/>
        <w:bidi w:val="0"/>
        <w:jc w:val="both"/>
        <w:rPr>
          <w:rFonts w:ascii="sans-serif" w:hAnsi="sans-serif"/>
          <w:color w:val="000000"/>
          <w:sz w:val="20"/>
        </w:rPr>
      </w:pPr>
      <w:r>
        <w:rPr>
          <w:rFonts w:ascii="sans-serif" w:hAnsi="sans-serif"/>
          <w:color w:val="000000"/>
          <w:sz w:val="20"/>
        </w:rPr>
        <w:t>Includes related-party amounts of $1,129 and $2,255 for the three and six months ended June 30, 2026, respectively, and $1,140 and $2,268 for the three and six months ended June 30, 2025, respectively.</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4271</Words>
  <Characters>25160</Characters>
  <CharactersWithSpaces>29527</CharactersWithSpaces>
  <Paragraphs>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