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321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213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073"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Andersen Jill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Invivyd,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IVVD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08/15/2025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76"/>
        <w:spacing w:after="0"/>
        <w:rPr>
          <w:sz w:val="20"/>
          <w:szCs w:val="20"/>
          <w:color w:val="auto"/>
        </w:rPr>
      </w:pPr>
      <w:r>
        <w:rPr>
          <w:rFonts w:ascii="Times New Roman" w:cs="Times New Roman" w:eastAsia="Times New Roman" w:hAnsi="Times New Roman"/>
          <w:sz w:val="17"/>
          <w:szCs w:val="17"/>
          <w:color w:val="0000FF"/>
        </w:rPr>
        <w:t>Chief Legal Officer, Secretary</w:t>
      </w:r>
    </w:p>
    <w:p>
      <w:pPr>
        <w:spacing w:after="0" w:line="386" w:lineRule="exact"/>
        <w:rPr>
          <w:sz w:val="24"/>
          <w:szCs w:val="24"/>
          <w:color w:val="auto"/>
        </w:rPr>
      </w:pPr>
    </w:p>
    <w:p>
      <w:pPr>
        <w:sectPr>
          <w:pgSz w:w="11900" w:h="16838" w:orient="portrait"/>
          <w:cols w:equalWidth="0" w:num="3">
            <w:col w:w="3200" w:space="720"/>
            <w:col w:w="3104" w:space="720"/>
            <w:col w:w="3336"/>
          </w:cols>
          <w:pgMar w:left="460" w:top="216" w:right="359" w:bottom="1073"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6"/>
          </w:tcPr>
          <w:p>
            <w:pPr>
              <w:jc w:val="center"/>
              <w:ind w:right="36"/>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02451</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jc w:val="center"/>
              <w:ind w:left="69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w w:val="98"/>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70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08/15/2025</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center"/>
              <w:ind w:left="35"/>
              <w:spacing w:after="0"/>
              <w:rPr>
                <w:sz w:val="20"/>
                <w:szCs w:val="20"/>
                <w:color w:val="auto"/>
              </w:rPr>
            </w:pPr>
            <w:r>
              <w:rPr>
                <w:rFonts w:ascii="Times New Roman" w:cs="Times New Roman" w:eastAsia="Times New Roman" w:hAnsi="Times New Roman"/>
                <w:sz w:val="17"/>
                <w:szCs w:val="17"/>
                <w:color w:val="0000FF"/>
                <w:w w:val="97"/>
              </w:rPr>
              <w:t>165,000</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15"/>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7"/>
              </w:rPr>
              <w:t>167,200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08/18/2025</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1"/>
              </w:rPr>
              <w:t>33,352</w:t>
            </w:r>
            <w:r>
              <w:rPr>
                <w:rFonts w:ascii="Times New Roman" w:cs="Times New Roman" w:eastAsia="Times New Roman" w:hAnsi="Times New Roman"/>
                <w:sz w:val="21"/>
                <w:szCs w:val="21"/>
                <w:color w:val="008000"/>
                <w:w w:val="91"/>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0.6502</w:t>
            </w:r>
            <w:r>
              <w:rPr>
                <w:rFonts w:ascii="Times New Roman" w:cs="Times New Roman" w:eastAsia="Times New Roman" w:hAnsi="Times New Roman"/>
                <w:sz w:val="21"/>
                <w:szCs w:val="21"/>
                <w:color w:val="008000"/>
                <w:w w:val="90"/>
                <w:vertAlign w:val="superscript"/>
              </w:rPr>
              <w:t>(3)</w:t>
            </w:r>
          </w:p>
        </w:tc>
        <w:tc>
          <w:tcPr>
            <w:tcW w:w="116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7"/>
              </w:rPr>
              <w:t>133,848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08/19/2025</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17"/>
                <w:szCs w:val="17"/>
                <w:color w:val="0000FF"/>
                <w:w w:val="91"/>
              </w:rPr>
              <w:t>49,402</w:t>
            </w:r>
            <w:r>
              <w:rPr>
                <w:rFonts w:ascii="Times New Roman" w:cs="Times New Roman" w:eastAsia="Times New Roman" w:hAnsi="Times New Roman"/>
                <w:sz w:val="21"/>
                <w:szCs w:val="21"/>
                <w:color w:val="008000"/>
                <w:w w:val="91"/>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ind w:right="3"/>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0.5666</w:t>
            </w:r>
            <w:r>
              <w:rPr>
                <w:rFonts w:ascii="Times New Roman" w:cs="Times New Roman" w:eastAsia="Times New Roman" w:hAnsi="Times New Roman"/>
                <w:sz w:val="21"/>
                <w:szCs w:val="21"/>
                <w:color w:val="008000"/>
                <w:w w:val="90"/>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4"/>
              </w:rPr>
              <w:t>84,446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500</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9"/>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center"/>
              <w:ind w:left="431"/>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165,000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jc w:val="right"/>
              <w:ind w:right="156"/>
              <w:spacing w:after="0" w:line="128" w:lineRule="exact"/>
              <w:rPr>
                <w:sz w:val="20"/>
                <w:szCs w:val="20"/>
                <w:color w:val="auto"/>
              </w:rPr>
            </w:pPr>
            <w:r>
              <w:rPr>
                <w:rFonts w:ascii="Times New Roman" w:cs="Times New Roman" w:eastAsia="Times New Roman" w:hAnsi="Times New Roman"/>
                <w:sz w:val="13"/>
                <w:szCs w:val="13"/>
                <w:color w:val="0000FF"/>
              </w:rPr>
              <w:t>08/15/2025</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8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165,000</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6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335,000</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ind w:left="1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 of Invivyd, Inc. (the "Company").</w:t>
      </w:r>
    </w:p>
    <w:p>
      <w:pPr>
        <w:spacing w:after="0" w:line="41"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to satisfy the Reporting Person's tax withholding obligations upon vesting of an RSU award in non-discretionary "sell-to-cover" transactions pursuant to a Rule 10b5-1 plan adopted by the Reporting Person on February 20, 2025.</w:t>
      </w:r>
    </w:p>
    <w:p>
      <w:pPr>
        <w:spacing w:after="0" w:line="19"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$0.5801 to $0.7134, inclusive. The Reporting Person undertakes to provide to the Company, any security holder of the Company, or the staff of the U.S. Securities and Exchange Commission (the "SEC"), upon request, full information regarding the number of shares sold at each separate price within the ranges set forth in this footnote (3) to this Form 4.</w:t>
      </w:r>
    </w:p>
    <w:p>
      <w:pPr>
        <w:spacing w:after="0" w:line="26" w:lineRule="exact"/>
        <w:rPr>
          <w:rFonts w:ascii="Times New Roman" w:cs="Times New Roman" w:eastAsia="Times New Roman" w:hAnsi="Times New Roman"/>
          <w:sz w:val="13"/>
          <w:szCs w:val="13"/>
          <w:color w:val="008000"/>
        </w:rPr>
      </w:pPr>
    </w:p>
    <w:p>
      <w:pPr>
        <w:jc w:val="both"/>
        <w:ind w:left="40" w:right="1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$0.5524 to $0.6040, inclusive. The Reporting Person undertakes to provide to the Company, any security holder of the Company, or the staff of the SEC, upon request, full information regarding the number of shares sold at each separate price within the ranges set forth in this footnote (4) to this Form 4.</w:t>
      </w:r>
    </w:p>
    <w:p>
      <w:pPr>
        <w:spacing w:after="0" w:line="26" w:lineRule="exact"/>
        <w:rPr>
          <w:rFonts w:ascii="Times New Roman" w:cs="Times New Roman" w:eastAsia="Times New Roman" w:hAnsi="Times New Roman"/>
          <w:sz w:val="13"/>
          <w:szCs w:val="13"/>
          <w:color w:val="008000"/>
        </w:rPr>
      </w:pPr>
    </w:p>
    <w:p>
      <w:pPr>
        <w:ind w:left="40" w:right="22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vests over an eighteen-month period, with one-third of the RSUs vesting every six months following the grant date of February 15, 2025, subject to the Reporting Person's continuous service as of each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Jill Andersen</w:t>
            </w:r>
          </w:p>
        </w:tc>
        <w:tc>
          <w:tcPr>
            <w:tcW w:w="11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08/19/2025</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073"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jc w:val="center"/>
        <w:spacing w:after="0"/>
        <w:rPr>
          <w:sz w:val="20"/>
          <w:szCs w:val="20"/>
          <w:color w:val="auto"/>
        </w:rPr>
      </w:pPr>
      <w:r>
        <w:rPr>
          <w:rFonts w:ascii="Times New Roman" w:cs="Times New Roman" w:eastAsia="Times New Roman" w:hAnsi="Times New Roman"/>
          <w:sz w:val="20"/>
          <w:szCs w:val="20"/>
          <w:b w:val="1"/>
          <w:bCs w:val="1"/>
          <w:color w:val="auto"/>
        </w:rPr>
        <w:t>FOR SECTION 16 AND RULE 144 REPORTING OBLIGATIONS</w:t>
      </w:r>
    </w:p>
    <w:p>
      <w:pPr>
        <w:spacing w:after="0" w:line="198" w:lineRule="exact"/>
        <w:rPr>
          <w:sz w:val="20"/>
          <w:szCs w:val="20"/>
          <w:color w:val="auto"/>
        </w:rPr>
      </w:pPr>
    </w:p>
    <w:p>
      <w:pPr>
        <w:ind w:right="240" w:firstLine="732"/>
        <w:spacing w:after="0" w:line="239" w:lineRule="exact"/>
        <w:rPr>
          <w:sz w:val="20"/>
          <w:szCs w:val="20"/>
          <w:color w:val="auto"/>
        </w:rPr>
      </w:pPr>
      <w:r>
        <w:rPr>
          <w:rFonts w:ascii="Times New Roman" w:cs="Times New Roman" w:eastAsia="Times New Roman" w:hAnsi="Times New Roman"/>
          <w:sz w:val="19"/>
          <w:szCs w:val="19"/>
          <w:color w:val="auto"/>
        </w:rPr>
        <w:t>Know all by these presents, that the undersigned hereby makes, constitutes and appoints each of William E. Duke, Katherine Fisher, Kiernan Decker, Stephen Nicolai, Steve Abrams and Amanda Brown, signing singly and each acting individually, as the undersigned’s true and lawful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with full power and authority as hereinafter described to:</w:t>
      </w:r>
    </w:p>
    <w:p>
      <w:pPr>
        <w:spacing w:after="0" w:line="87" w:lineRule="exact"/>
        <w:rPr>
          <w:sz w:val="20"/>
          <w:szCs w:val="20"/>
          <w:color w:val="auto"/>
        </w:rPr>
      </w:pPr>
    </w:p>
    <w:p>
      <w:pPr>
        <w:ind w:left="360" w:right="60" w:hanging="358"/>
        <w:spacing w:after="0" w:line="250"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spacing w:after="0" w:line="94" w:lineRule="exact"/>
        <w:rPr>
          <w:rFonts w:ascii="Times New Roman" w:cs="Times New Roman" w:eastAsia="Times New Roman" w:hAnsi="Times New Roman"/>
          <w:sz w:val="19"/>
          <w:szCs w:val="19"/>
          <w:color w:val="auto"/>
        </w:rPr>
      </w:pPr>
    </w:p>
    <w:p>
      <w:pPr>
        <w:ind w:left="360" w:right="240" w:hanging="358"/>
        <w:spacing w:after="0" w:line="250"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the Company, Forms 144 (including any amendments thereto) in accordance with Rule 144 (“Rule 144”) under the Securities Act of 1933, as amended, and the rules thereunder;</w:t>
      </w:r>
    </w:p>
    <w:p>
      <w:pPr>
        <w:spacing w:after="0" w:line="106" w:lineRule="exact"/>
        <w:rPr>
          <w:rFonts w:ascii="Times New Roman" w:cs="Times New Roman" w:eastAsia="Times New Roman" w:hAnsi="Times New Roman"/>
          <w:sz w:val="19"/>
          <w:szCs w:val="19"/>
          <w:color w:val="auto"/>
        </w:rPr>
      </w:pPr>
    </w:p>
    <w:p>
      <w:pPr>
        <w:ind w:left="360" w:hanging="358"/>
        <w:spacing w:after="0" w:line="243"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prepare, complete and execute any such Form 3, 4, or 5 or Form 144, prepare, complete and execute any amendment or amendments thereto, and timely deliver and file such form with the United States Securities and Exchange Commission (the “SEC”) and any stock exchange or similar authority, including without limitation (i) the filing of a Form ID, Update Passphrase, or any other application materials to enable the undersigned to gain or maintain access to the Electronic Data Gathering, Analysis and Retrieval system of the SEC (“EDGAR”) and (ii) enrolling the undersigned in EDGAR Next;</w:t>
      </w:r>
    </w:p>
    <w:p>
      <w:pPr>
        <w:spacing w:after="0" w:line="111" w:lineRule="exact"/>
        <w:rPr>
          <w:rFonts w:ascii="Times New Roman" w:cs="Times New Roman" w:eastAsia="Times New Roman" w:hAnsi="Times New Roman"/>
          <w:sz w:val="19"/>
          <w:szCs w:val="19"/>
          <w:color w:val="auto"/>
        </w:rPr>
      </w:pPr>
    </w:p>
    <w:p>
      <w:pPr>
        <w:ind w:left="360" w:hanging="358"/>
        <w:spacing w:after="0" w:line="244"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 as an account administrator for the undersigned’s EDGAR account, including to: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99" w:lineRule="exact"/>
        <w:rPr>
          <w:rFonts w:ascii="Times New Roman" w:cs="Times New Roman" w:eastAsia="Times New Roman" w:hAnsi="Times New Roman"/>
          <w:sz w:val="19"/>
          <w:szCs w:val="19"/>
          <w:color w:val="auto"/>
        </w:rPr>
      </w:pPr>
    </w:p>
    <w:p>
      <w:pPr>
        <w:ind w:left="360" w:right="260" w:hanging="358"/>
        <w:spacing w:after="0" w:line="250" w:lineRule="auto"/>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106" w:lineRule="exact"/>
        <w:rPr>
          <w:rFonts w:ascii="Times New Roman" w:cs="Times New Roman" w:eastAsia="Times New Roman" w:hAnsi="Times New Roman"/>
          <w:sz w:val="19"/>
          <w:szCs w:val="19"/>
          <w:color w:val="auto"/>
        </w:rPr>
      </w:pPr>
    </w:p>
    <w:p>
      <w:pPr>
        <w:ind w:left="360" w:right="180" w:hanging="358"/>
        <w:spacing w:after="0" w:line="239" w:lineRule="exact"/>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and approves and ratifies any such release of information; and</w:t>
      </w:r>
    </w:p>
    <w:p>
      <w:pPr>
        <w:spacing w:after="0" w:line="55" w:lineRule="exact"/>
        <w:rPr>
          <w:rFonts w:ascii="Times New Roman" w:cs="Times New Roman" w:eastAsia="Times New Roman" w:hAnsi="Times New Roman"/>
          <w:sz w:val="18"/>
          <w:szCs w:val="18"/>
          <w:color w:val="auto"/>
        </w:rPr>
      </w:pPr>
    </w:p>
    <w:p>
      <w:pPr>
        <w:ind w:left="360" w:right="520" w:hanging="358"/>
        <w:spacing w:after="0" w:line="247" w:lineRule="exact"/>
        <w:tabs>
          <w:tab w:leader="none" w:pos="36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may be of benefit to, in the best interest of, or legally required by, the undersigned, it being understood that the documents executed by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on behalf of the undersigned pursuant to this Power of Attorney shall be in such form and shall contain such terms and conditions as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may approve in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fact’s discretion.</w:t>
      </w:r>
    </w:p>
    <w:p>
      <w:pPr>
        <w:spacing w:after="0" w:line="45" w:lineRule="exact"/>
        <w:rPr>
          <w:sz w:val="20"/>
          <w:szCs w:val="20"/>
          <w:color w:val="auto"/>
        </w:rPr>
      </w:pPr>
    </w:p>
    <w:p>
      <w:pPr>
        <w:ind w:right="40" w:firstLine="732"/>
        <w:spacing w:after="0" w:line="233" w:lineRule="exact"/>
        <w:rPr>
          <w:sz w:val="20"/>
          <w:szCs w:val="20"/>
          <w:color w:val="auto"/>
        </w:rPr>
      </w:pPr>
      <w:r>
        <w:rPr>
          <w:rFonts w:ascii="Times New Roman" w:cs="Times New Roman" w:eastAsia="Times New Roman" w:hAnsi="Times New Roman"/>
          <w:sz w:val="19"/>
          <w:szCs w:val="19"/>
          <w:color w:val="auto"/>
        </w:rPr>
        <w:t>The undersigned hereby grants to each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or such attorney</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in serving in such capacity at the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607060</wp:posOffset>
            </wp:positionV>
            <wp:extent cx="699516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5160" cy="41275"/>
                    </a:xfrm>
                    <a:prstGeom prst="rect">
                      <a:avLst/>
                    </a:prstGeom>
                    <a:noFill/>
                  </pic:spPr>
                </pic:pic>
              </a:graphicData>
            </a:graphic>
          </wp:anchor>
        </w:drawing>
      </w:r>
    </w:p>
    <w:p>
      <w:pPr>
        <w:sectPr>
          <w:pgSz w:w="11900" w:h="16838" w:orient="portrait"/>
          <w:cols w:equalWidth="0" w:num="1">
            <w:col w:w="10980"/>
          </w:cols>
          <w:pgMar w:left="460" w:top="721" w:right="459" w:bottom="1440" w:gutter="0" w:footer="0" w:header="0"/>
        </w:sectPr>
      </w:pPr>
    </w:p>
    <w:bookmarkStart w:id="2" w:name="page3"/>
    <w:bookmarkEnd w:id="2"/>
    <w:p>
      <w:pPr>
        <w:ind w:right="540"/>
        <w:spacing w:after="0" w:line="224" w:lineRule="exact"/>
        <w:rPr>
          <w:sz w:val="20"/>
          <w:szCs w:val="20"/>
          <w:color w:val="auto"/>
        </w:rPr>
      </w:pPr>
      <w:r>
        <w:rPr>
          <w:rFonts w:ascii="Times New Roman" w:cs="Times New Roman" w:eastAsia="Times New Roman" w:hAnsi="Times New Roman"/>
          <w:sz w:val="19"/>
          <w:szCs w:val="19"/>
          <w:color w:val="auto"/>
        </w:rPr>
        <w:t>of the undersigned, are not assuming nor relieving, nor is the Company assuming nor relieving, any of the undersigned’s responsibilities to comply with Section 16 of the Exchange Act or Rule 144. The undersigned acknowledges that neither the Company nor the foregoing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spacing w:after="0" w:line="115" w:lineRule="exact"/>
        <w:rPr>
          <w:sz w:val="20"/>
          <w:szCs w:val="20"/>
          <w:color w:val="auto"/>
        </w:rPr>
      </w:pPr>
    </w:p>
    <w:p>
      <w:pPr>
        <w:ind w:firstLine="732"/>
        <w:spacing w:after="0" w:line="223" w:lineRule="exact"/>
        <w:rPr>
          <w:sz w:val="20"/>
          <w:szCs w:val="20"/>
          <w:color w:val="auto"/>
        </w:rPr>
      </w:pPr>
      <w:r>
        <w:rPr>
          <w:rFonts w:ascii="Times New Roman" w:cs="Times New Roman" w:eastAsia="Times New Roman" w:hAnsi="Times New Roman"/>
          <w:sz w:val="19"/>
          <w:szCs w:val="19"/>
          <w:color w:val="auto"/>
        </w:rPr>
        <w:t>This Power of Attorney shall remain in full force and effect until the earliest to occur of (a) the undersigned is no longer required to file Forms 3, 4, and 5 or Forms 144 with respect to the undersigned’s holdings of and transactions in securities issued by the Company, (b) revocation by the undersigned in a signed writing filed with the SEC or delivered to the foregoing attorneys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in</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fact or the Company, or (c) as to any attorney-in-fact individually, until such attorney-in-fact is (x) no longer employed by the Company or (y) no longer an attorney representing the Company with respect to matters related to this Power of Attorney.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965200</wp:posOffset>
            </wp:positionV>
            <wp:extent cx="699516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95160" cy="41275"/>
                    </a:xfrm>
                    <a:prstGeom prst="rect">
                      <a:avLst/>
                    </a:prstGeom>
                    <a:noFill/>
                  </pic:spPr>
                </pic:pic>
              </a:graphicData>
            </a:graphic>
          </wp:anchor>
        </w:drawing>
      </w:r>
    </w:p>
    <w:p>
      <w:pPr>
        <w:sectPr>
          <w:pgSz w:w="11900" w:h="16838" w:orient="portrait"/>
          <w:cols w:equalWidth="0" w:num="1">
            <w:col w:w="10940"/>
          </w:cols>
          <w:pgMar w:left="460" w:top="1341"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 xml:space="preserve">IN WITNESS WHEREOF, the undersigned has caused this Power of Attorney to be executed as of this </w:t>
      </w:r>
      <w:r>
        <w:rPr>
          <w:rFonts w:ascii="Times New Roman" w:cs="Times New Roman" w:eastAsia="Times New Roman" w:hAnsi="Times New Roman"/>
          <w:sz w:val="18"/>
          <w:szCs w:val="18"/>
          <w:u w:val="single" w:color="auto"/>
          <w:color w:val="auto"/>
        </w:rPr>
        <w:t>13th</w:t>
      </w:r>
      <w:r>
        <w:rPr>
          <w:rFonts w:ascii="Times New Roman" w:cs="Times New Roman" w:eastAsia="Times New Roman" w:hAnsi="Times New Roman"/>
          <w:sz w:val="18"/>
          <w:szCs w:val="18"/>
          <w:color w:val="auto"/>
        </w:rPr>
        <w:t xml:space="preserve"> day of August, 2025.</w:t>
      </w:r>
    </w:p>
    <w:p>
      <w:pPr>
        <w:sectPr>
          <w:pgSz w:w="11900" w:h="16838" w:orient="portrait"/>
          <w:cols w:equalWidth="0" w:num="1">
            <w:col w:w="9720"/>
          </w:cols>
          <w:pgMar w:left="1200" w:top="1341" w:right="97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2741295</wp:posOffset>
            </wp:positionH>
            <wp:positionV relativeFrom="paragraph">
              <wp:posOffset>19050</wp:posOffset>
            </wp:positionV>
            <wp:extent cx="2442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42210" cy="8255"/>
                    </a:xfrm>
                    <a:prstGeom prst="rect">
                      <a:avLst/>
                    </a:prstGeom>
                    <a:noFill/>
                  </pic:spPr>
                </pic:pic>
              </a:graphicData>
            </a:graphic>
          </wp:anchor>
        </w:drawing>
      </w:r>
    </w:p>
    <w:p>
      <w:pPr>
        <w:spacing w:after="0" w:line="1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b w:val="1"/>
          <w:bCs w:val="1"/>
          <w:color w:val="auto"/>
        </w:rPr>
        <w:t>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572770</wp:posOffset>
            </wp:positionV>
            <wp:extent cx="699516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95160" cy="41275"/>
                    </a:xfrm>
                    <a:prstGeom prst="rect">
                      <a:avLst/>
                    </a:prstGeom>
                    <a:noFill/>
                  </pic:spPr>
                </pic:pic>
              </a:graphicData>
            </a:graphic>
          </wp:anchor>
        </w:drawing>
      </w:r>
    </w:p>
    <w:sectPr>
      <w:pgSz w:w="11900" w:h="16838" w:orient="portrait"/>
      <w:cols w:equalWidth="0" w:num="1">
        <w:col w:w="9720"/>
      </w:cols>
      <w:pgMar w:left="1200" w:top="1341" w:right="9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91047" TargetMode="External"/><Relationship Id="rId14"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2025-08-19T20:26:14Z</dcterms:created>
  <dcterms:modified xsi:type="dcterms:W3CDTF">2025-08-19T20:26:14Z</dcterms:modified>
</cp:coreProperties>
</file>