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333-267643</w:t>
      </w:r>
    </w:p>
    <w:p>
      <w:pPr>
        <w:spacing w:after="0" w:line="284" w:lineRule="exact"/>
        <w:rPr>
          <w:sz w:val="24"/>
          <w:szCs w:val="24"/>
          <w:color w:val="auto"/>
        </w:rPr>
      </w:pPr>
    </w:p>
    <w:tbl>
      <w:tblPr>
        <w:tblLayout w:type="fixed"/>
        <w:tblInd w:w="120" w:type="dxa"/>
        <w:tblCellMar>
          <w:top w:w="0" w:type="dxa"/>
          <w:left w:w="0" w:type="dxa"/>
          <w:bottom w:w="0" w:type="dxa"/>
          <w:right w:w="0" w:type="dxa"/>
        </w:tblCellMar>
      </w:tblPr>
      <w:tr>
        <w:trPr>
          <w:trHeight w:val="184"/>
        </w:trPr>
        <w:tc>
          <w:tcPr>
            <w:tcW w:w="720" w:type="dxa"/>
            <w:vAlign w:val="bottom"/>
            <w:textDirection w:val="btLr"/>
          </w:tcPr>
          <w:p>
            <w:pPr>
              <w:ind w:left="618"/>
              <w:spacing w:after="0"/>
              <w:rPr>
                <w:sz w:val="20"/>
                <w:szCs w:val="20"/>
                <w:color w:val="auto"/>
              </w:rPr>
            </w:pPr>
            <w:r>
              <w:rPr>
                <w:rFonts w:ascii="Arial" w:cs="Arial" w:eastAsia="Arial" w:hAnsi="Arial"/>
                <w:sz w:val="1"/>
                <w:szCs w:val="1"/>
                <w:b w:val="1"/>
                <w:bCs w:val="1"/>
                <w:color w:val="FF4338"/>
                <w:w w:val="52"/>
              </w:rPr>
              <w:t>statementrelatingtoprospectussupplementbuythesesecuritiesin</w:t>
            </w:r>
          </w:p>
        </w:tc>
        <w:tc>
          <w:tcPr>
            <w:tcW w:w="7080" w:type="dxa"/>
            <w:vAlign w:val="bottom"/>
            <w:vMerge w:val="restart"/>
          </w:tcPr>
          <w:p>
            <w:pPr>
              <w:ind w:left="2500"/>
              <w:spacing w:after="0"/>
              <w:rPr>
                <w:sz w:val="20"/>
                <w:szCs w:val="20"/>
                <w:color w:val="auto"/>
              </w:rPr>
            </w:pPr>
            <w:r>
              <w:rPr>
                <w:rFonts w:ascii="Times New Roman" w:cs="Times New Roman" w:eastAsia="Times New Roman" w:hAnsi="Times New Roman"/>
                <w:sz w:val="18"/>
                <w:szCs w:val="18"/>
                <w:b w:val="1"/>
                <w:bCs w:val="1"/>
                <w:color w:val="FF4338"/>
                <w:w w:val="99"/>
              </w:rPr>
              <w:t>SUBJECT TO COMPLETION, DATED AUGUST 20, 2025</w:t>
            </w:r>
          </w:p>
        </w:tc>
        <w:tc>
          <w:tcPr>
            <w:tcW w:w="0" w:type="dxa"/>
            <w:vAlign w:val="bottom"/>
          </w:tcPr>
          <w:p>
            <w:pPr>
              <w:spacing w:after="0"/>
              <w:rPr>
                <w:sz w:val="1"/>
                <w:szCs w:val="1"/>
                <w:color w:val="auto"/>
              </w:rPr>
            </w:pPr>
          </w:p>
        </w:tc>
      </w:tr>
      <w:tr>
        <w:trPr>
          <w:trHeight w:val="54"/>
        </w:trPr>
        <w:tc>
          <w:tcPr>
            <w:tcW w:w="720" w:type="dxa"/>
            <w:vAlign w:val="bottom"/>
          </w:tcPr>
          <w:p>
            <w:pPr>
              <w:spacing w:after="0"/>
              <w:rPr>
                <w:sz w:val="4"/>
                <w:szCs w:val="4"/>
                <w:color w:val="auto"/>
              </w:rPr>
            </w:pPr>
          </w:p>
        </w:tc>
        <w:tc>
          <w:tcPr>
            <w:tcW w:w="7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2"/>
        </w:trPr>
        <w:tc>
          <w:tcPr>
            <w:tcW w:w="720" w:type="dxa"/>
            <w:vAlign w:val="bottom"/>
          </w:tcPr>
          <w:p>
            <w:pPr>
              <w:spacing w:after="0"/>
              <w:rPr>
                <w:sz w:val="24"/>
                <w:szCs w:val="24"/>
                <w:color w:val="auto"/>
              </w:rPr>
            </w:pP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0" w:type="dxa"/>
            <w:vAlign w:val="bottom"/>
          </w:tcPr>
          <w:p>
            <w:pPr>
              <w:spacing w:after="0"/>
              <w:rPr>
                <w:sz w:val="1"/>
                <w:szCs w:val="1"/>
                <w:color w:val="auto"/>
              </w:rPr>
            </w:pPr>
          </w:p>
        </w:tc>
      </w:tr>
      <w:tr>
        <w:trPr>
          <w:trHeight w:val="238"/>
        </w:trPr>
        <w:tc>
          <w:tcPr>
            <w:tcW w:w="720" w:type="dxa"/>
            <w:vAlign w:val="bottom"/>
          </w:tcPr>
          <w:p>
            <w:pPr>
              <w:spacing w:after="0"/>
              <w:rPr>
                <w:sz w:val="20"/>
                <w:szCs w:val="20"/>
                <w:color w:val="auto"/>
              </w:rPr>
            </w:pP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 Prospectus dated October 5, 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154305</wp:posOffset>
            </wp:positionV>
            <wp:extent cx="2588895"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8889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tbl>
      <w:tblPr>
        <w:tblLayout w:type="fixed"/>
        <w:tblInd w:w="120" w:type="dxa"/>
        <w:tblCellMar>
          <w:top w:w="0" w:type="dxa"/>
          <w:left w:w="0" w:type="dxa"/>
          <w:bottom w:w="0" w:type="dxa"/>
          <w:right w:w="0" w:type="dxa"/>
        </w:tblCellMar>
      </w:tblPr>
      <w:tr>
        <w:trPr>
          <w:trHeight w:val="340"/>
        </w:trPr>
        <w:tc>
          <w:tcPr>
            <w:tcW w:w="380" w:type="dxa"/>
            <w:vAlign w:val="bottom"/>
            <w:vMerge w:val="restart"/>
            <w:textDirection w:val="btLr"/>
          </w:tcPr>
          <w:p>
            <w:pPr>
              <w:ind w:left="369"/>
              <w:spacing w:after="0"/>
              <w:rPr>
                <w:sz w:val="20"/>
                <w:szCs w:val="20"/>
                <w:color w:val="auto"/>
              </w:rPr>
            </w:pPr>
            <w:r>
              <w:rPr>
                <w:rFonts w:ascii="Arial" w:cs="Arial" w:eastAsia="Arial" w:hAnsi="Arial"/>
                <w:sz w:val="1"/>
                <w:szCs w:val="1"/>
                <w:b w:val="1"/>
                <w:bCs w:val="1"/>
                <w:color w:val="FF4338"/>
                <w:w w:val="94"/>
              </w:rPr>
              <w:t>Theinformationinthispreliminaryprospectussupplementisnotcompleteandmaybechanged.AregistrationthesesecuritieshasbeenfiledwiththeSecuritiesandExchangeCommissionandiseffective.Thispreliminary</w:t>
            </w:r>
          </w:p>
        </w:tc>
        <w:tc>
          <w:tcPr>
            <w:tcW w:w="200" w:type="dxa"/>
            <w:vAlign w:val="bottom"/>
            <w:vMerge w:val="restart"/>
            <w:textDirection w:val="btLr"/>
          </w:tcPr>
          <w:p>
            <w:pPr>
              <w:ind w:left="177"/>
              <w:spacing w:after="0"/>
              <w:rPr>
                <w:sz w:val="20"/>
                <w:szCs w:val="20"/>
                <w:color w:val="auto"/>
              </w:rPr>
            </w:pPr>
            <w:r>
              <w:rPr>
                <w:rFonts w:ascii="Arial" w:cs="Arial" w:eastAsia="Arial" w:hAnsi="Arial"/>
                <w:sz w:val="2"/>
                <w:szCs w:val="2"/>
                <w:b w:val="1"/>
                <w:bCs w:val="1"/>
                <w:color w:val="FF4338"/>
                <w:w w:val="96"/>
              </w:rPr>
              <w:t>andtheaccompanyingprospectusarenotanoffertosellthesesecuritiesandtheyarenotsolicitinganofferto</w:t>
            </w:r>
          </w:p>
        </w:tc>
        <w:tc>
          <w:tcPr>
            <w:tcW w:w="1400" w:type="dxa"/>
            <w:vAlign w:val="bottom"/>
          </w:tcPr>
          <w:p>
            <w:pPr>
              <w:spacing w:after="0"/>
              <w:rPr>
                <w:sz w:val="24"/>
                <w:szCs w:val="24"/>
                <w:color w:val="auto"/>
              </w:rPr>
            </w:pPr>
          </w:p>
        </w:tc>
        <w:tc>
          <w:tcPr>
            <w:tcW w:w="5020" w:type="dxa"/>
            <w:vAlign w:val="bottom"/>
            <w:gridSpan w:val="3"/>
          </w:tcPr>
          <w:p>
            <w:pPr>
              <w:ind w:left="2160"/>
              <w:spacing w:after="0"/>
              <w:rPr>
                <w:sz w:val="20"/>
                <w:szCs w:val="20"/>
                <w:color w:val="auto"/>
              </w:rPr>
            </w:pPr>
            <w:r>
              <w:rPr>
                <w:rFonts w:ascii="Times New Roman" w:cs="Times New Roman" w:eastAsia="Times New Roman" w:hAnsi="Times New Roman"/>
                <w:sz w:val="25"/>
                <w:szCs w:val="25"/>
                <w:b w:val="1"/>
                <w:bCs w:val="1"/>
                <w:color w:val="auto"/>
              </w:rPr>
              <w:t>Shares of Common Stock</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380" w:type="dxa"/>
            <w:vAlign w:val="bottom"/>
            <w:vMerge w:val="continue"/>
          </w:tcPr>
          <w:p>
            <w:pPr>
              <w:spacing w:after="0"/>
              <w:rPr>
                <w:sz w:val="24"/>
                <w:szCs w:val="24"/>
                <w:color w:val="auto"/>
              </w:rPr>
            </w:pPr>
          </w:p>
        </w:tc>
        <w:tc>
          <w:tcPr>
            <w:tcW w:w="20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8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6420" w:type="dxa"/>
            <w:vAlign w:val="bottom"/>
            <w:gridSpan w:val="4"/>
            <w:textDirection w:val="btLr"/>
          </w:tcPr>
          <w:p>
            <w:pPr>
              <w:ind w:left="240"/>
              <w:spacing w:after="0"/>
              <w:rPr>
                <w:sz w:val="20"/>
                <w:szCs w:val="20"/>
                <w:color w:val="auto"/>
              </w:rPr>
            </w:pPr>
            <w:r>
              <w:rPr>
                <w:rFonts w:ascii="Arial" w:cs="Arial" w:eastAsia="Arial" w:hAnsi="Arial"/>
                <w:sz w:val="1"/>
                <w:szCs w:val="1"/>
                <w:b w:val="1"/>
                <w:bCs w:val="1"/>
                <w:color w:val="FF4338"/>
                <w:w w:val="83"/>
              </w:rPr>
              <w:t>anyjurisdictionwheretheofferorsaleisnotpermitted.</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560" w:type="dxa"/>
            <w:vAlign w:val="bottom"/>
            <w:gridSpan w:val="9"/>
          </w:tcPr>
          <w:p>
            <w:pPr>
              <w:ind w:left="280"/>
              <w:spacing w:after="0" w:line="196" w:lineRule="exact"/>
              <w:rPr>
                <w:sz w:val="20"/>
                <w:szCs w:val="20"/>
                <w:color w:val="auto"/>
              </w:rPr>
            </w:pPr>
            <w:r>
              <w:rPr>
                <w:rFonts w:ascii="Times New Roman" w:cs="Times New Roman" w:eastAsia="Times New Roman" w:hAnsi="Times New Roman"/>
                <w:sz w:val="18"/>
                <w:szCs w:val="18"/>
                <w:color w:val="auto"/>
              </w:rPr>
              <w:t>We are offering            shares of our common stock, par value $0.0001 per share, at a public offering price of $            per</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share of common stock.</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60" w:type="dxa"/>
            <w:vAlign w:val="bottom"/>
            <w:gridSpan w:val="9"/>
          </w:tcPr>
          <w:p>
            <w:pPr>
              <w:ind w:left="280"/>
              <w:spacing w:after="0"/>
              <w:rPr>
                <w:sz w:val="20"/>
                <w:szCs w:val="20"/>
                <w:color w:val="auto"/>
              </w:rPr>
            </w:pPr>
            <w:r>
              <w:rPr>
                <w:rFonts w:ascii="Times New Roman" w:cs="Times New Roman" w:eastAsia="Times New Roman" w:hAnsi="Times New Roman"/>
                <w:sz w:val="18"/>
                <w:szCs w:val="18"/>
                <w:color w:val="auto"/>
                <w:w w:val="99"/>
              </w:rPr>
              <w:t>Our common stock is listed on The Nasdaq Global Market under the symbol “IVVD.” On August 19, 2025, the last reported sale</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price of our common stock on The Nasdaq Global Market was $0.571 per share.</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425"/>
        </w:trPr>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18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 xml:space="preserve">Underwriting discounts and commissions </w:t>
            </w:r>
            <w:r>
              <w:rPr>
                <w:rFonts w:ascii="Times New Roman" w:cs="Times New Roman" w:eastAsia="Times New Roman" w:hAnsi="Times New Roman"/>
                <w:sz w:val="25"/>
                <w:szCs w:val="25"/>
                <w:color w:val="auto"/>
                <w:vertAlign w:val="superscript"/>
              </w:rPr>
              <w:t>(1)</w:t>
            </w: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Invivyd, Inc., before expenses</w:t>
            </w:r>
          </w:p>
        </w:tc>
        <w:tc>
          <w:tcPr>
            <w:tcW w:w="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622300</wp:posOffset>
            </wp:positionH>
            <wp:positionV relativeFrom="paragraph">
              <wp:posOffset>85725</wp:posOffset>
            </wp:positionV>
            <wp:extent cx="6515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151" w:lineRule="exact"/>
        <w:rPr>
          <w:sz w:val="24"/>
          <w:szCs w:val="24"/>
          <w:color w:val="auto"/>
        </w:rPr>
      </w:pPr>
    </w:p>
    <w:p>
      <w:pPr>
        <w:ind w:left="1340" w:right="1100" w:hanging="359"/>
        <w:spacing w:after="0" w:line="208" w:lineRule="auto"/>
        <w:tabs>
          <w:tab w:leader="none" w:pos="1320" w:val="left"/>
        </w:tabs>
        <w:rPr>
          <w:sz w:val="20"/>
          <w:szCs w:val="20"/>
          <w:color w:val="auto"/>
        </w:rPr>
      </w:pPr>
      <w:r>
        <w:rPr>
          <w:rFonts w:ascii="Times New Roman" w:cs="Times New Roman" w:eastAsia="Times New Roman" w:hAnsi="Times New Roman"/>
          <w:sz w:val="27"/>
          <w:szCs w:val="27"/>
          <w:color w:val="auto"/>
          <w:vertAlign w:val="superscript"/>
        </w:rPr>
        <w:t>(1)</w:t>
      </w:r>
      <w:r>
        <w:rPr>
          <w:sz w:val="20"/>
          <w:szCs w:val="20"/>
          <w:color w:val="auto"/>
        </w:rPr>
        <w:tab/>
      </w:r>
      <w:r>
        <w:rPr>
          <w:rFonts w:ascii="Times New Roman" w:cs="Times New Roman" w:eastAsia="Times New Roman" w:hAnsi="Times New Roman"/>
          <w:sz w:val="18"/>
          <w:szCs w:val="18"/>
          <w:color w:val="auto"/>
        </w:rPr>
        <w:t>See the section entitled “Underwriting” beginning on page S-21 of this prospectus supplement for additional information regarding total underwriting compensation.</w:t>
      </w:r>
    </w:p>
    <w:p>
      <w:pPr>
        <w:spacing w:after="0" w:line="200" w:lineRule="exact"/>
        <w:rPr>
          <w:sz w:val="24"/>
          <w:szCs w:val="24"/>
          <w:color w:val="auto"/>
        </w:rPr>
      </w:pPr>
    </w:p>
    <w:p>
      <w:pPr>
        <w:ind w:left="980" w:right="1340"/>
        <w:spacing w:after="0" w:line="261" w:lineRule="auto"/>
        <w:rPr>
          <w:sz w:val="20"/>
          <w:szCs w:val="20"/>
          <w:color w:val="auto"/>
        </w:rPr>
      </w:pPr>
      <w:r>
        <w:rPr>
          <w:rFonts w:ascii="Times New Roman" w:cs="Times New Roman" w:eastAsia="Times New Roman" w:hAnsi="Times New Roman"/>
          <w:sz w:val="18"/>
          <w:szCs w:val="18"/>
          <w:color w:val="auto"/>
        </w:rPr>
        <w:t>We have granted the underwriters an option for a period of 30 days to purchase up to an additional         shares of our common stock from us at the public offering price set forth above, less underwriting discounts and commissions. If the underwriters exercise the option in full, the net proceeds to us, before deducting offering expenses, will be approximately $        .</w:t>
      </w:r>
    </w:p>
    <w:p>
      <w:pPr>
        <w:spacing w:after="0" w:line="180" w:lineRule="exact"/>
        <w:rPr>
          <w:sz w:val="24"/>
          <w:szCs w:val="24"/>
          <w:color w:val="auto"/>
        </w:rPr>
      </w:pPr>
    </w:p>
    <w:p>
      <w:pPr>
        <w:ind w:left="980" w:right="960"/>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by the Jumpstart Our Business Startups Act of 2012 and a “smaller reporting company” as defined in Rule 12b-2 promulgated under the Securities Exchange Act of 1934, as amended, and, as such, we are subject to reduced public company reporting requirements. Refer to the section entitled “Prospectus Supplement Summary— Implications of Being an Emerging Growth Company and a Smaller Reporting Company” beginning on page S-4 of this prospectus supplement for more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213995</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ind w:left="980" w:right="94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common stock involves a high degree of risk. See the section entitled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S-8 of this prospectus supplement, the accompanying base prospectus and the documents that are incorporated by reference in this prospectus supplement and the accompanying prospectus.</w:t>
      </w:r>
    </w:p>
    <w:p>
      <w:pPr>
        <w:spacing w:after="0" w:line="181" w:lineRule="exact"/>
        <w:rPr>
          <w:sz w:val="24"/>
          <w:szCs w:val="24"/>
          <w:color w:val="auto"/>
        </w:rPr>
      </w:pPr>
    </w:p>
    <w:p>
      <w:pPr>
        <w:ind w:left="980" w:right="88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67"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The underwriters expect to deliver the shares of common stock against payment on or about             , 2025.</w:t>
      </w:r>
    </w:p>
    <w:p>
      <w:pPr>
        <w:spacing w:after="0" w:line="22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i w:val="1"/>
          <w:iCs w:val="1"/>
          <w:color w:val="auto"/>
        </w:rPr>
        <w:t>Sole Book-Running Manager</w:t>
      </w:r>
    </w:p>
    <w:p>
      <w:pPr>
        <w:spacing w:after="0" w:line="20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Cantor</w:t>
      </w:r>
    </w:p>
    <w:p>
      <w:pPr>
        <w:sectPr>
          <w:pgSz w:w="11900" w:h="16838" w:orient="portrait"/>
          <w:cols w:equalWidth="0" w:num="1">
            <w:col w:w="11140"/>
          </w:cols>
          <w:pgMar w:left="320" w:top="225" w:right="439" w:bottom="1440" w:gutter="0" w:footer="0" w:header="0"/>
        </w:sectPr>
      </w:pPr>
    </w:p>
    <w:p>
      <w:pPr>
        <w:spacing w:after="0" w:line="236" w:lineRule="exact"/>
        <w:rPr>
          <w:sz w:val="24"/>
          <w:szCs w:val="24"/>
          <w:color w:val="auto"/>
        </w:rPr>
      </w:pPr>
    </w:p>
    <w:p>
      <w:pPr>
        <w:jc w:val="center"/>
        <w:ind w:right="-11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 xml:space="preserve">The date of this prospectus supplement is           </w:t>
        <w:tab/>
        <w:t>, 2025</w:t>
      </w:r>
    </w:p>
    <w:p>
      <w:pPr>
        <w:sectPr>
          <w:pgSz w:w="11900" w:h="16838" w:orient="portrait"/>
          <w:cols w:equalWidth="0" w:num="1">
            <w:col w:w="11140"/>
          </w:cols>
          <w:pgMar w:left="320" w:top="225"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40" w:type="dxa"/>
            <w:vAlign w:val="bottom"/>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56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44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7120" w:type="dxa"/>
            <w:vAlign w:val="bottom"/>
            <w:gridSpan w:val="7"/>
            <w:vMerge w:val="restart"/>
          </w:tcPr>
          <w:p>
            <w:pPr>
              <w:spacing w:after="0"/>
              <w:rPr>
                <w:sz w:val="24"/>
                <w:szCs w:val="24"/>
                <w:color w:val="auto"/>
              </w:rPr>
            </w:pPr>
          </w:p>
        </w:tc>
        <w:tc>
          <w:tcPr>
            <w:tcW w:w="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3440" w:type="dxa"/>
            <w:vAlign w:val="bottom"/>
            <w:tcBorders>
              <w:bottom w:val="single" w:sz="8" w:color="0000EE"/>
            </w:tcBorders>
            <w:gridSpan w:val="17"/>
            <w:vMerge w:val="continue"/>
          </w:tcPr>
          <w:p>
            <w:pPr>
              <w:spacing w:after="0"/>
              <w:rPr>
                <w:sz w:val="14"/>
                <w:szCs w:val="14"/>
                <w:color w:val="auto"/>
              </w:rPr>
            </w:pPr>
          </w:p>
        </w:tc>
        <w:tc>
          <w:tcPr>
            <w:tcW w:w="7120" w:type="dxa"/>
            <w:vAlign w:val="bottom"/>
            <w:gridSpan w:val="7"/>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S-1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2000" w:type="dxa"/>
            <w:vAlign w:val="bottom"/>
            <w:tcBorders>
              <w:top w:val="single" w:sz="8" w:color="0000EE"/>
            </w:tcBorders>
            <w:gridSpan w:val="9"/>
          </w:tcPr>
          <w:p>
            <w:pPr>
              <w:spacing w:after="0"/>
              <w:rPr>
                <w:sz w:val="17"/>
                <w:szCs w:val="17"/>
                <w:color w:val="auto"/>
              </w:rPr>
            </w:pPr>
          </w:p>
        </w:tc>
        <w:tc>
          <w:tcPr>
            <w:tcW w:w="7280" w:type="dxa"/>
            <w:vAlign w:val="bottom"/>
            <w:gridSpan w:val="10"/>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S-6</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6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NOTE REGARDING FORWARD-LOOKING STATEMENTS</w:t>
            </w:r>
          </w:p>
        </w:tc>
        <w:tc>
          <w:tcPr>
            <w:tcW w:w="6000" w:type="dxa"/>
            <w:vAlign w:val="bottom"/>
            <w:gridSpan w:val="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980" w:type="dxa"/>
            <w:vAlign w:val="bottom"/>
            <w:gridSpan w:val="1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S-13</w:t>
            </w:r>
          </w:p>
        </w:tc>
        <w:tc>
          <w:tcPr>
            <w:tcW w:w="0" w:type="dxa"/>
            <w:vAlign w:val="bottom"/>
          </w:tcPr>
          <w:p>
            <w:pPr>
              <w:spacing w:after="0"/>
              <w:rPr>
                <w:sz w:val="1"/>
                <w:szCs w:val="1"/>
                <w:color w:val="auto"/>
              </w:rPr>
            </w:pPr>
          </w:p>
        </w:tc>
      </w:tr>
      <w:tr>
        <w:trPr>
          <w:trHeight w:val="196"/>
        </w:trPr>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9700" w:type="dxa"/>
            <w:vAlign w:val="bottom"/>
            <w:gridSpan w:val="2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S-14</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CONSEQUENCES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S-16</w:t>
            </w:r>
          </w:p>
        </w:tc>
        <w:tc>
          <w:tcPr>
            <w:tcW w:w="0" w:type="dxa"/>
            <w:vAlign w:val="bottom"/>
          </w:tcPr>
          <w:p>
            <w:pPr>
              <w:spacing w:after="0"/>
              <w:rPr>
                <w:sz w:val="1"/>
                <w:szCs w:val="1"/>
                <w:color w:val="auto"/>
              </w:rPr>
            </w:pPr>
          </w:p>
        </w:tc>
      </w:tr>
      <w:tr>
        <w:trPr>
          <w:trHeight w:val="196"/>
        </w:trPr>
        <w:tc>
          <w:tcPr>
            <w:tcW w:w="474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5820" w:type="dxa"/>
            <w:vAlign w:val="bottom"/>
            <w:gridSpan w:val="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9100" w:type="dxa"/>
            <w:vAlign w:val="bottom"/>
            <w:gridSpan w:val="1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S-32</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S-32</w:t>
            </w:r>
          </w:p>
        </w:tc>
        <w:tc>
          <w:tcPr>
            <w:tcW w:w="0" w:type="dxa"/>
            <w:vAlign w:val="bottom"/>
          </w:tcPr>
          <w:p>
            <w:pPr>
              <w:spacing w:after="0"/>
              <w:rPr>
                <w:sz w:val="1"/>
                <w:szCs w:val="1"/>
                <w:color w:val="auto"/>
              </w:rPr>
            </w:pPr>
          </w:p>
        </w:tc>
      </w:tr>
      <w:tr>
        <w:trPr>
          <w:trHeight w:val="20"/>
        </w:trPr>
        <w:tc>
          <w:tcPr>
            <w:tcW w:w="920" w:type="dxa"/>
            <w:vAlign w:val="bottom"/>
            <w:gridSpan w:val="3"/>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538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S-32</w:t>
            </w:r>
          </w:p>
        </w:tc>
        <w:tc>
          <w:tcPr>
            <w:tcW w:w="0" w:type="dxa"/>
            <w:vAlign w:val="bottom"/>
          </w:tcPr>
          <w:p>
            <w:pPr>
              <w:spacing w:after="0"/>
              <w:rPr>
                <w:sz w:val="1"/>
                <w:szCs w:val="1"/>
                <w:color w:val="auto"/>
              </w:rPr>
            </w:pPr>
          </w:p>
        </w:tc>
      </w:tr>
      <w:tr>
        <w:trPr>
          <w:trHeight w:val="561"/>
        </w:trPr>
        <w:tc>
          <w:tcPr>
            <w:tcW w:w="1056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56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0560" w:type="dxa"/>
            <w:vAlign w:val="bottom"/>
            <w:gridSpan w:val="24"/>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gridSpan w:val="3"/>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74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920" w:type="dxa"/>
            <w:vAlign w:val="bottom"/>
            <w:gridSpan w:val="3"/>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74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MARKET, INDUSTRY AND OTHER DATA</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9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2400" w:type="dxa"/>
            <w:vAlign w:val="bottom"/>
            <w:tcBorders>
              <w:top w:val="single" w:sz="8" w:color="0000EE"/>
            </w:tcBorders>
            <w:gridSpan w:val="12"/>
          </w:tcPr>
          <w:p>
            <w:pPr>
              <w:spacing w:after="0"/>
              <w:rPr>
                <w:sz w:val="17"/>
                <w:szCs w:val="17"/>
                <w:color w:val="auto"/>
              </w:rPr>
            </w:pPr>
          </w:p>
        </w:tc>
        <w:tc>
          <w:tcPr>
            <w:tcW w:w="7240" w:type="dxa"/>
            <w:vAlign w:val="bottom"/>
            <w:gridSpan w:val="9"/>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240" w:type="dxa"/>
            <w:vAlign w:val="bottom"/>
            <w:gridSpan w:val="4"/>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74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980" w:type="dxa"/>
            <w:vAlign w:val="bottom"/>
            <w:gridSpan w:val="1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40" w:type="dxa"/>
            <w:vAlign w:val="bottom"/>
            <w:gridSpan w:val="9"/>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74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GENERAL DESCRIPTION OF OUR SECURITIES</w:t>
            </w:r>
          </w:p>
        </w:tc>
        <w:tc>
          <w:tcPr>
            <w:tcW w:w="6740" w:type="dxa"/>
            <w:vAlign w:val="bottom"/>
            <w:gridSpan w:val="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33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OUR COMMON STOCK</w:t>
            </w:r>
          </w:p>
        </w:tc>
        <w:tc>
          <w:tcPr>
            <w:tcW w:w="7180" w:type="dxa"/>
            <w:vAlign w:val="bottom"/>
            <w:gridSpan w:val="8"/>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PREFERRED STOCK</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356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WARRANTS</w:t>
            </w:r>
          </w:p>
        </w:tc>
        <w:tc>
          <w:tcPr>
            <w:tcW w:w="7000" w:type="dxa"/>
            <w:vAlign w:val="bottom"/>
            <w:gridSpan w:val="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2440" w:type="dxa"/>
            <w:vAlign w:val="bottom"/>
            <w:gridSpan w:val="11"/>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120" w:type="dxa"/>
            <w:vAlign w:val="bottom"/>
            <w:gridSpan w:val="7"/>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DEBT SECURITIES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UNITS</w:t>
            </w:r>
          </w:p>
        </w:tc>
        <w:tc>
          <w:tcPr>
            <w:tcW w:w="7120" w:type="dxa"/>
            <w:vAlign w:val="bottom"/>
            <w:gridSpan w:val="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2440" w:type="dxa"/>
            <w:vAlign w:val="bottom"/>
            <w:gridSpan w:val="11"/>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740" w:type="dxa"/>
            <w:vAlign w:val="bottom"/>
            <w:gridSpan w:val="1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282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980" w:type="dxa"/>
            <w:vAlign w:val="bottom"/>
            <w:tcBorders>
              <w:top w:val="single" w:sz="8" w:color="0000EE"/>
            </w:tcBorders>
            <w:gridSpan w:val="7"/>
          </w:tcPr>
          <w:p>
            <w:pPr>
              <w:spacing w:after="0"/>
              <w:rPr>
                <w:sz w:val="17"/>
                <w:szCs w:val="17"/>
                <w:color w:val="auto"/>
              </w:rPr>
            </w:pPr>
          </w:p>
        </w:tc>
        <w:tc>
          <w:tcPr>
            <w:tcW w:w="6760" w:type="dxa"/>
            <w:vAlign w:val="bottom"/>
            <w:gridSpan w:val="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9100" w:type="dxa"/>
            <w:vAlign w:val="bottom"/>
            <w:gridSpan w:val="1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“shelf” registration statement on Form S-3 (File No. 333-267643) that we filed with the Securities and Exchange Commission (the “SEC”), on September 28, 2022, and which was declared effective by the SEC on October 5, 2022. Under the shelf registration process, we may from time to time offer and sell any combination of the securities described in the accompanying prospectus up to a total dollar amount of $400 million under the registration statement.</w:t>
      </w:r>
    </w:p>
    <w:p>
      <w:pPr>
        <w:spacing w:after="0" w:line="180"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terms of this offering of our common stock and adds to and updates the information contained in the accompanying prospectus and the documents incorporated by reference herein or therein. The second part, the accompanying prospectus, including the documents incorporated by reference into the accompanying prospectus, provides more general information, some of which may not apply to this offering. Generally, when we refer to this prospectus supplement, we are referring to both parts of this document combined. To the extent there is a conflict between the information contained in this prospectus supplement and the information contained in the accompanying prospectus or any document incorporated by reference herein or therein filed prior to the date of this prospectus supplement, you should rely on the information in this prospectus supplement; provided, however, that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w:t>
      </w:r>
    </w:p>
    <w:p>
      <w:pPr>
        <w:spacing w:after="0" w:line="18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relate to the offering of shares of our common stock. Before buying any of the shares of common stock offered hereby, we urge you to read carefully this prospectus supplement and the accompanying prospectus, together with the information incorporated herein by reference as described below under the heading “Incorporation of Certain Information by Reference.” This prospectus supplement contains information about the common stock offered hereby and may add to, update or change information in the accompanying prospectus. You should assume that the information in this prospectus supplement and the accompanying prospectus is accurate only as of the date on the front of the respective document and that any information that we have incorporated by reference is accurate only as of the date of the document incorporated by reference, regardless of the time of delivery of this prospectus supplement or the accompanying prospectus or the time of any sale of our common stock.</w:t>
      </w:r>
    </w:p>
    <w:p>
      <w:pPr>
        <w:spacing w:after="0" w:line="19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supplement and the accompanying prospectus. We have not, and the underwriters have not, authorized anyone to provide you with different or additional information. Neither we nor the underwriters take any responsibility for, and can provide no assurance as to the reliability of, any other information that others may give you. Neither the delivery of this prospectus supplement, the accompanying prospectus and any free writing prospectus that we have authorized for use in this offering, nor the sale of our common stock means that information contained in this prospectus supplement, the accompanying prospectus and any free writing prospectus that we have authorized for use in this offering, is correct after their respective dates.</w:t>
      </w:r>
    </w:p>
    <w:p>
      <w:pPr>
        <w:spacing w:after="0" w:line="187"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We are offering to sell, and seeking offers to buy, and the underwriters are soliciting offers to buy, our common stock only in jurisdictions in which an offer or solicitation is authorized or in which the person making that offer or solicitation is qualified to do so. The distribution of this prospectus supplement and the accompanying prospectus and the offering of the securities in certain jurisdictions may be restricted by law. Persons outside the U.S. who come into possession of this prospectus supplement and the accompanying prospectus must inform themselves about, and observe any restrictions relating to, the offering of the securities and the distribution of this prospectus supplement and the accompanying prospectus outside the U.S.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40"/>
          </w:cols>
          <w:pgMar w:left="320" w:top="455"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herein by reference as exhibits to the registration statement, and you may obtain copies of those documents as described below under the section entitled “Where You Can Find More Information.”</w:t>
      </w:r>
    </w:p>
    <w:p>
      <w:pPr>
        <w:spacing w:after="0" w:line="183" w:lineRule="exact"/>
        <w:rPr>
          <w:sz w:val="20"/>
          <w:szCs w:val="20"/>
          <w:color w:val="auto"/>
        </w:rPr>
      </w:pPr>
    </w:p>
    <w:p>
      <w:pPr>
        <w:ind w:left="120" w:right="300"/>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and incorporate by reference market data and industry statistics and forecasts that are based on independent industry publications and other publicly-available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supplement, the accompanying prospectus or the documents incorporated herein by reference, these estimates involve risks and uncertainties and are subject to change based on various factors, including those discussed under the headings “Risk Factors” in this prospectus supplement and the accompanying prospectus, and under similar headings in the documents that are incorporated herein by reference. Accordingly, investors should not place undue reliance on this information.</w:t>
      </w:r>
    </w:p>
    <w:p>
      <w:pPr>
        <w:spacing w:after="0" w:line="18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References in this prospectus supplement to the terms “the Company,” “Invivyd,” “we,” “our” and “us” or other similar terms mean Invivyd, Inc. and our wholly-owned subsidiaries, unless we state otherwise or the context indicates otherwise.</w:t>
      </w:r>
    </w:p>
    <w:p>
      <w:pPr>
        <w:spacing w:after="0" w:line="162"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“Invivyd,” “PEMGARDA,” “INVYMAB” as well as logos and certain stylized versions of these word marks are registered trademarks of Invivyd, Inc. This prospectus supplement and the accompanying prospectus and the documents incorporated by reference herein and therein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about us and this offering and does not contain all of the information that you should consider in making your investment decision. You should carefully read this entire prospectus supplement and the accompanying prospectus, including the risks and uncertainties discussed under the heading “Risk Factors” beginning on page S-8 of this prospectus supplement, and the information incorporated by reference in this prospectus supplement and the accompanying prospectus, including our financial statements, before making an investment decision. If you invest in our securities, you are assuming a high degree of risk.</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400"/>
        <w:spacing w:after="0" w:line="224" w:lineRule="auto"/>
        <w:rPr>
          <w:sz w:val="20"/>
          <w:szCs w:val="20"/>
          <w:color w:val="auto"/>
        </w:rPr>
      </w:pPr>
      <w:r>
        <w:rPr>
          <w:rFonts w:ascii="Times New Roman" w:cs="Times New Roman" w:eastAsia="Times New Roman" w:hAnsi="Times New Roman"/>
          <w:sz w:val="18"/>
          <w:szCs w:val="18"/>
          <w:color w:val="auto"/>
        </w:rPr>
        <w:t>We are a biopharmaceutical company devoted to delivering protection from serious viral infectious diseases, beginning with SARS-CoV-2. PEMGARDA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(pemivibart) is our first monoclonal antibody (“mAb”) to receive regulatory authorization and was designed to keep pace with SARS-CoV-2 viral evolution.</w:t>
      </w:r>
    </w:p>
    <w:p>
      <w:pPr>
        <w:spacing w:after="0" w:line="199" w:lineRule="exact"/>
        <w:rPr>
          <w:sz w:val="20"/>
          <w:szCs w:val="20"/>
          <w:color w:val="auto"/>
        </w:rPr>
      </w:pPr>
    </w:p>
    <w:p>
      <w:pPr>
        <w:ind w:left="300" w:right="160"/>
        <w:spacing w:after="0" w:line="256" w:lineRule="auto"/>
        <w:rPr>
          <w:sz w:val="20"/>
          <w:szCs w:val="20"/>
          <w:color w:val="auto"/>
        </w:rPr>
      </w:pPr>
      <w:r>
        <w:rPr>
          <w:rFonts w:ascii="Times New Roman" w:cs="Times New Roman" w:eastAsia="Times New Roman" w:hAnsi="Times New Roman"/>
          <w:sz w:val="18"/>
          <w:szCs w:val="18"/>
          <w:color w:val="auto"/>
        </w:rPr>
        <w:t>On March 22, 2024, we received emergency use authorization (“EUA”) from the U.S. Food and Drug Administration (“FDA”) for PEMGARDA injection, for intravenous use, a half-life extended investigational mAb,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187" w:lineRule="exact"/>
        <w:rPr>
          <w:sz w:val="20"/>
          <w:szCs w:val="20"/>
          <w:color w:val="auto"/>
        </w:rPr>
      </w:pPr>
    </w:p>
    <w:p>
      <w:pPr>
        <w:ind w:left="300"/>
        <w:spacing w:after="0" w:line="252" w:lineRule="auto"/>
        <w:rPr>
          <w:sz w:val="20"/>
          <w:szCs w:val="20"/>
          <w:color w:val="auto"/>
        </w:rPr>
      </w:pPr>
      <w:r>
        <w:rPr>
          <w:rFonts w:ascii="Times New Roman" w:cs="Times New Roman" w:eastAsia="Times New Roman" w:hAnsi="Times New Roman"/>
          <w:sz w:val="18"/>
          <w:szCs w:val="18"/>
          <w:color w:val="auto"/>
        </w:rPr>
        <w:t>In January 2024, we nominated VYD2311, a next generation mAb candidate for COVID-19, as a drug candidate, and in September 2024, we announced dosing of the first participants in a Phase 1/2 clinical trial of VYD2311. VYD2311 is a mAb with high in vitro neutralization potency shown against prominent SARS-CoV-2 variants tested to date. The Phase 1/2 randomized, blinded, placebo-controlled clinical trial evaluated escalating dosing as well as safety, tolerability, pharmacokinetics and immunogenicity of VYD2311 in healthy trial participants. The Phase 1/2 clinical trial was conducted in Australia and evaluated multiple dose levels of VYD2311 through various routes of administration, including exploration of intramuscular administration and subcutaneous administration, which are designed to be more system- and patient-friendly than intravenous administration. In June 2025, we announced positive full Phase 1/2 clinical data for VYD2311 for both safety and pharmacokinetics. In August 2025, we announced alignment with advice from the FDA on a compact and, therefore, rapid pathway to potential Biologics License Application (“BLA”) approval for VYD2311 for the prevention of COVID-19. As part of a recent Type C meeting, the FDA advised us that a single, Phase 2/3 randomized, double-blind, placebo-controlled trial evaluating mAb efficacy from a relatively modest number of RT-PCR-confirmed symptomatic COVID-19 disease events could support a BLA submission for VYD2311 for the prevention of COVID-19 in a broad population of Americans (12 years of age and older, weighing at least 40kg), including immunocompromised people, subject to agreement on safety database size and pending full protocol review. Like pemivibart, VYD2311 was engineered from adintrevimab, our investigational mAb that has a robust safety data package and demonstrated clinically meaningful results in global Phase 2/3 clinical trials for both the prevention and treatment of COVID-19.</w:t>
      </w:r>
    </w:p>
    <w:p>
      <w:pPr>
        <w:spacing w:after="0" w:line="196" w:lineRule="exact"/>
        <w:rPr>
          <w:sz w:val="20"/>
          <w:szCs w:val="20"/>
          <w:color w:val="auto"/>
        </w:rPr>
      </w:pPr>
    </w:p>
    <w:p>
      <w:pPr>
        <w:jc w:val="both"/>
        <w:ind w:left="300" w:right="140"/>
        <w:spacing w:after="0" w:line="261" w:lineRule="auto"/>
        <w:rPr>
          <w:sz w:val="20"/>
          <w:szCs w:val="20"/>
          <w:color w:val="auto"/>
        </w:rPr>
      </w:pPr>
      <w:r>
        <w:rPr>
          <w:rFonts w:ascii="Times New Roman" w:cs="Times New Roman" w:eastAsia="Times New Roman" w:hAnsi="Times New Roman"/>
          <w:sz w:val="18"/>
          <w:szCs w:val="18"/>
          <w:color w:val="auto"/>
        </w:rPr>
        <w:t>In July 2025, we announced that we had formed the SPEAR (Spike Protein Elimination and Recovery) Study Group with leading investigators to structure and guide anticipated clinical trials evaluating the effects of broadly neutralizing anti-SARS-CoV-2 spike protein mAb therapy in people suffering from Long COVID or Post-Vaccination Syndrome (PVS). The SPEAR Study Group intends to launch multi-center translational clinical research on Long COVID and PVS using next-generation antibodies like our investigational mAb candidate VYD2311.</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60"/>
        <w:spacing w:after="0" w:line="255" w:lineRule="auto"/>
        <w:rPr>
          <w:sz w:val="20"/>
          <w:szCs w:val="20"/>
          <w:color w:val="auto"/>
        </w:rPr>
      </w:pPr>
      <w:r>
        <w:rPr>
          <w:rFonts w:ascii="Times New Roman" w:cs="Times New Roman" w:eastAsia="Times New Roman" w:hAnsi="Times New Roman"/>
          <w:sz w:val="18"/>
          <w:szCs w:val="18"/>
          <w:color w:val="auto"/>
        </w:rPr>
        <w:t>Globally, COVID-19 has caused millions of deaths and lasting health problems in many survivors and remains a significant global health concern, particularly for immunocompromised individuals. Isolation and mental health impacts, absenteeism from work, and educational losses for children have been profound consequences of this crisis. COVID-19 persists and continues to impact patients, notably those who are immunocompromised, and combating this disease will require a variety of effective and safe prevention and treatment options for years to come. By leveraging our capabilities, which we have developed through our experience with adintrevimab and pemivibart and over five years in the COVID-19 space, we aim to develop mAbs that could be used in prevention or treatment of serious viral diseases, starting with COVID-19 and potentially expanding into other high-need indications.</w:t>
      </w:r>
    </w:p>
    <w:p>
      <w:pPr>
        <w:spacing w:after="0" w:line="189"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PEMGARDA has not been approved, but has been authorized for emergency use by the FDA under an EUA, for pre-exposure prophylaxis of COVID-19 in certain adults and adolescent individuals (12 years of age and older weighing at least 40 kg). 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21 U.S.C. § 360bbb-3(b)(1), unless the declaration is terminated or authorization revoked sooner. PEMGARDA is authorized for use only when the combined national frequency of variants with substantially reduced susceptibility to PEMGARDA is less than or equal to 90%, based on available information including variant susceptibility to PEMGARDA and national variant frequencies.</w:t>
      </w:r>
    </w:p>
    <w:p>
      <w:pPr>
        <w:spacing w:after="0" w:line="189" w:lineRule="exact"/>
        <w:rPr>
          <w:sz w:val="20"/>
          <w:szCs w:val="20"/>
          <w:color w:val="auto"/>
        </w:rPr>
      </w:pPr>
    </w:p>
    <w:p>
      <w:pPr>
        <w:ind w:left="300" w:right="60"/>
        <w:spacing w:after="0" w:line="255" w:lineRule="auto"/>
        <w:rPr>
          <w:sz w:val="20"/>
          <w:szCs w:val="20"/>
          <w:color w:val="auto"/>
        </w:rPr>
      </w:pPr>
      <w:r>
        <w:rPr>
          <w:rFonts w:ascii="Times New Roman" w:cs="Times New Roman" w:eastAsia="Times New Roman" w:hAnsi="Times New Roman"/>
          <w:sz w:val="18"/>
          <w:szCs w:val="18"/>
          <w:color w:val="auto"/>
        </w:rPr>
        <w:t>We engage in active SARS-CoV-2 variant monitoring of antiviral activity as part of our ongoing industrial virology effort, which leverages a consistent, high-quality, independent, third-party pseudoviral system that routinely tests authentic Invivyd-produced molecules and is supported by structure-based analytics. In September 2024, we announced continued neutralizing activity of PEMGARDA against SARS-CoV-2 variants KP.3.1.1 and LB.1, and attractive neutralization potency of VYD2311 against the same contemporary viruses, and also provided an update to ongoing structural analysis showing no meaningful mutational change in the pemivibart binding site since the Omicron shift late in 2021. In January 2025, March 2025 and August 2025, we announced continued neutralizing activity of PEMGARDA and VYD2311 against dominant SARS-CoV-2 variants XEC, LP.8.1 and XFG, respectively.</w:t>
      </w:r>
    </w:p>
    <w:p>
      <w:pPr>
        <w:spacing w:after="0" w:line="189" w:lineRule="exact"/>
        <w:rPr>
          <w:sz w:val="20"/>
          <w:szCs w:val="20"/>
          <w:color w:val="auto"/>
        </w:rPr>
      </w:pPr>
    </w:p>
    <w:p>
      <w:pPr>
        <w:ind w:left="300" w:right="20"/>
        <w:spacing w:after="0" w:line="282" w:lineRule="auto"/>
        <w:rPr>
          <w:sz w:val="20"/>
          <w:szCs w:val="20"/>
          <w:color w:val="auto"/>
        </w:rPr>
      </w:pPr>
      <w:r>
        <w:rPr>
          <w:rFonts w:ascii="Times New Roman" w:cs="Times New Roman" w:eastAsia="Times New Roman" w:hAnsi="Times New Roman"/>
          <w:sz w:val="18"/>
          <w:szCs w:val="18"/>
          <w:color w:val="auto"/>
        </w:rPr>
        <w:t>For more information about our company, please refer to other documents that we have filed with the SEC and that are incorporated by reference in this prospectus supplement, as listed under the heading “Incorporation of Certain Information by Reference.”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180"/>
        <w:spacing w:after="0" w:line="261"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June 2020. We operate as a hybrid company. Our principal executive offices are located at 1601 Trapelo Road, Suite 178, Waltham, MA 02451, and our telephone number is (781) 819-0080. Our website address is www.invivyd.com. We do not incorporate the information on, or accessible through, our website into this prospectus supplement, and you should not consider any information on, or accessible through, our website as part of this prospectus supplement.</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21" w:lineRule="exact"/>
        <w:rPr>
          <w:sz w:val="20"/>
          <w:szCs w:val="20"/>
          <w:color w:val="auto"/>
        </w:rPr>
      </w:pPr>
    </w:p>
    <w:p>
      <w:pPr>
        <w:ind w:left="300" w:right="100"/>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and may remain an emerging growth company until the last day of the fiscal year following the fifth anniversary of the completion of our initial public offering. However, if certain events occur prior to the end of such five-year period, including if we become a “large accelerated filer,” our annual gross revenues exceed $1.235 billion or we issue more than $1.0 billion of non-convertible debt in the previous three-year period, we will cease to be an emerging growth company prior to the end of such five-year period. For so long as we remain an emerging growth company, we are permitted and intend to rely on exemptions from certain disclosure</w:t>
      </w:r>
    </w:p>
    <w:p>
      <w:pPr>
        <w:spacing w:after="0" w:line="3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83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38360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requirements that are applicable to other public companies that are not emerging growth companies. These exemptions include:</w:t>
      </w:r>
    </w:p>
    <w:p>
      <w:pPr>
        <w:spacing w:after="0" w:line="131" w:lineRule="exact"/>
        <w:rPr>
          <w:sz w:val="20"/>
          <w:szCs w:val="20"/>
          <w:color w:val="auto"/>
        </w:rPr>
      </w:pPr>
    </w:p>
    <w:p>
      <w:pPr>
        <w:ind w:left="1240" w:right="600" w:hanging="415"/>
        <w:spacing w:after="0" w:line="282"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auditor attestation requirement in the assessment of our internal control over financial reporting;</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w:t>
      </w:r>
    </w:p>
    <w:p>
      <w:pPr>
        <w:spacing w:after="0" w:line="130"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 and</w:t>
      </w:r>
    </w:p>
    <w:p>
      <w:pPr>
        <w:spacing w:after="0" w:line="67" w:lineRule="exact"/>
        <w:rPr>
          <w:rFonts w:ascii="Times New Roman" w:cs="Times New Roman" w:eastAsia="Times New Roman" w:hAnsi="Times New Roman"/>
          <w:sz w:val="18"/>
          <w:szCs w:val="18"/>
          <w:color w:val="auto"/>
        </w:rPr>
      </w:pPr>
    </w:p>
    <w:p>
      <w:pPr>
        <w:ind w:left="1240" w:right="1000" w:hanging="415"/>
        <w:spacing w:after="0" w:line="282"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the financial statements.</w:t>
      </w:r>
    </w:p>
    <w:p>
      <w:pPr>
        <w:spacing w:after="0" w:line="162" w:lineRule="exact"/>
        <w:rPr>
          <w:sz w:val="20"/>
          <w:szCs w:val="20"/>
          <w:color w:val="auto"/>
        </w:rPr>
      </w:pPr>
    </w:p>
    <w:p>
      <w:pPr>
        <w:ind w:left="300" w:right="60"/>
        <w:spacing w:after="0" w:line="256"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elected to avail ourselves of this exemption from new or revised accounting standards and, therefore, may not be subject to the same new or revised accounting standards as other public companies that are not emerging growth companies. As a result, our financial statements may not be comparable to companies that comply with the new or revised accounting pronouncements as of public company effective dates.</w:t>
      </w:r>
    </w:p>
    <w:p>
      <w:pPr>
        <w:spacing w:after="0" w:line="187"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as defined in the Securities Exchange Act of 1934, as amended (the “Exchange Act”). We may continue to be a smaller reporting company even after we are no longer an emerging growth company, which would allow us to take advantage of many of the same exemptions available to emerging growth companies. We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In addition, if we are a smaller reporting company with less than $100.0 million in annual revenue, we would not be required to comply with the auditor attestation requirements of Section 404 of the Sarbanes-Oxley Act of 2002.</w:t>
      </w:r>
    </w:p>
    <w:p>
      <w:pPr>
        <w:spacing w:after="0" w:line="3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20"/>
          </w:cols>
          <w:pgMar w:left="320" w:top="455" w:right="6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35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63563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2" w:lineRule="exact"/>
        <w:rPr>
          <w:sz w:val="20"/>
          <w:szCs w:val="20"/>
          <w:color w:val="auto"/>
        </w:rPr>
      </w:pPr>
    </w:p>
    <w:p>
      <w:pPr>
        <w:ind w:left="300"/>
        <w:spacing w:after="0"/>
        <w:tabs>
          <w:tab w:leader="none" w:pos="4320" w:val="left"/>
          <w:tab w:leader="none" w:pos="5080" w:val="left"/>
          <w:tab w:leader="none" w:pos="8180" w:val="left"/>
        </w:tabs>
        <w:rPr>
          <w:sz w:val="20"/>
          <w:szCs w:val="20"/>
          <w:color w:val="auto"/>
        </w:rPr>
      </w:pPr>
      <w:r>
        <w:rPr>
          <w:rFonts w:ascii="Times New Roman" w:cs="Times New Roman" w:eastAsia="Times New Roman" w:hAnsi="Times New Roman"/>
          <w:sz w:val="18"/>
          <w:szCs w:val="18"/>
          <w:b w:val="1"/>
          <w:bCs w:val="1"/>
          <w:color w:val="auto"/>
        </w:rPr>
        <w:t>Common stock offered by us pursuant to this</w:t>
      </w:r>
      <w:r>
        <w:rPr>
          <w:sz w:val="20"/>
          <w:szCs w:val="20"/>
          <w:color w:val="auto"/>
        </w:rPr>
        <w:tab/>
      </w:r>
      <w:r>
        <w:rPr>
          <w:rFonts w:ascii="Times New Roman" w:cs="Times New Roman" w:eastAsia="Times New Roman" w:hAnsi="Times New Roman"/>
          <w:sz w:val="18"/>
          <w:szCs w:val="18"/>
          <w:color w:val="auto"/>
        </w:rPr>
        <w:t xml:space="preserve">          </w:t>
        <w:tab/>
        <w:t xml:space="preserve">shares of our common stock (or           </w:t>
      </w:r>
      <w:r>
        <w:rPr>
          <w:sz w:val="20"/>
          <w:szCs w:val="20"/>
          <w:color w:val="auto"/>
        </w:rPr>
        <w:tab/>
      </w:r>
      <w:r>
        <w:rPr>
          <w:rFonts w:ascii="Times New Roman" w:cs="Times New Roman" w:eastAsia="Times New Roman" w:hAnsi="Times New Roman"/>
          <w:sz w:val="17"/>
          <w:szCs w:val="17"/>
          <w:color w:val="auto"/>
        </w:rPr>
        <w:t>shares of our common stock if the</w:t>
      </w:r>
    </w:p>
    <w:p>
      <w:pPr>
        <w:spacing w:after="0" w:line="31"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prospectus supplement</w:t>
      </w:r>
      <w:r>
        <w:rPr>
          <w:sz w:val="20"/>
          <w:szCs w:val="20"/>
          <w:color w:val="auto"/>
        </w:rPr>
        <w:tab/>
      </w:r>
      <w:r>
        <w:rPr>
          <w:rFonts w:ascii="Times New Roman" w:cs="Times New Roman" w:eastAsia="Times New Roman" w:hAnsi="Times New Roman"/>
          <w:sz w:val="18"/>
          <w:szCs w:val="18"/>
          <w:color w:val="auto"/>
        </w:rPr>
        <w:t>underwriters exercise their option to purchase additional shares in full).</w:t>
      </w:r>
    </w:p>
    <w:p>
      <w:pPr>
        <w:spacing w:after="0" w:line="243"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Option to purchase additional shares</w:t>
      </w:r>
      <w:r>
        <w:rPr>
          <w:sz w:val="20"/>
          <w:szCs w:val="20"/>
          <w:color w:val="auto"/>
        </w:rPr>
        <w:tab/>
      </w:r>
      <w:r>
        <w:rPr>
          <w:rFonts w:ascii="Times New Roman" w:cs="Times New Roman" w:eastAsia="Times New Roman" w:hAnsi="Times New Roman"/>
          <w:sz w:val="17"/>
          <w:szCs w:val="17"/>
          <w:color w:val="auto"/>
        </w:rPr>
        <w:t>We have granted the underwriters an option for a period of up to 30 days from the date of</w:t>
      </w:r>
    </w:p>
    <w:p>
      <w:pPr>
        <w:spacing w:after="0" w:line="31" w:lineRule="exact"/>
        <w:rPr>
          <w:sz w:val="20"/>
          <w:szCs w:val="20"/>
          <w:color w:val="auto"/>
        </w:rPr>
      </w:pPr>
    </w:p>
    <w:p>
      <w:pPr>
        <w:ind w:left="4340"/>
        <w:spacing w:after="0"/>
        <w:tabs>
          <w:tab w:leader="none" w:pos="9340" w:val="left"/>
        </w:tabs>
        <w:rPr>
          <w:sz w:val="20"/>
          <w:szCs w:val="20"/>
          <w:color w:val="auto"/>
        </w:rPr>
      </w:pPr>
      <w:r>
        <w:rPr>
          <w:rFonts w:ascii="Times New Roman" w:cs="Times New Roman" w:eastAsia="Times New Roman" w:hAnsi="Times New Roman"/>
          <w:sz w:val="18"/>
          <w:szCs w:val="18"/>
          <w:color w:val="auto"/>
        </w:rPr>
        <w:t xml:space="preserve">this prospectus supplement to purchase up to an additional           </w:t>
      </w:r>
      <w:r>
        <w:rPr>
          <w:sz w:val="20"/>
          <w:szCs w:val="20"/>
          <w:color w:val="auto"/>
        </w:rPr>
        <w:tab/>
      </w:r>
      <w:r>
        <w:rPr>
          <w:rFonts w:ascii="Times New Roman" w:cs="Times New Roman" w:eastAsia="Times New Roman" w:hAnsi="Times New Roman"/>
          <w:sz w:val="17"/>
          <w:szCs w:val="17"/>
          <w:color w:val="auto"/>
        </w:rPr>
        <w:t>shares of our</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common stock from us at the public offering price, less underwriting discounts and</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commissions.</w:t>
      </w:r>
    </w:p>
    <w:p>
      <w:pPr>
        <w:sectPr>
          <w:pgSz w:w="11900" w:h="16838" w:orient="portrait"/>
          <w:cols w:equalWidth="0" w:num="1">
            <w:col w:w="10900"/>
          </w:cols>
          <w:pgMar w:left="320" w:top="455" w:right="679" w:bottom="1440" w:gutter="0" w:footer="0" w:header="0"/>
        </w:sectPr>
      </w:pPr>
    </w:p>
    <w:p>
      <w:pPr>
        <w:spacing w:after="0" w:line="230" w:lineRule="exact"/>
        <w:rPr>
          <w:sz w:val="20"/>
          <w:szCs w:val="20"/>
          <w:color w:val="auto"/>
        </w:rPr>
      </w:pPr>
    </w:p>
    <w:p>
      <w:pPr>
        <w:ind w:left="300"/>
        <w:spacing w:after="0" w:line="286" w:lineRule="auto"/>
        <w:rPr>
          <w:sz w:val="20"/>
          <w:szCs w:val="20"/>
          <w:color w:val="auto"/>
        </w:rPr>
      </w:pPr>
      <w:r>
        <w:rPr>
          <w:rFonts w:ascii="Times New Roman" w:cs="Times New Roman" w:eastAsia="Times New Roman" w:hAnsi="Times New Roman"/>
          <w:sz w:val="18"/>
          <w:szCs w:val="18"/>
          <w:b w:val="1"/>
          <w:bCs w:val="1"/>
          <w:color w:val="auto"/>
        </w:rPr>
        <w:t>Common stock to be outstanding immediately after this offering</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        shares (or         shares if the underwriters exercise in full their option to purchase additional shares).</w:t>
      </w:r>
    </w:p>
    <w:p>
      <w:pPr>
        <w:spacing w:after="0" w:line="197" w:lineRule="exact"/>
        <w:rPr>
          <w:sz w:val="20"/>
          <w:szCs w:val="20"/>
          <w:color w:val="auto"/>
        </w:rPr>
      </w:pPr>
    </w:p>
    <w:p>
      <w:pPr>
        <w:sectPr>
          <w:pgSz w:w="11900" w:h="16838" w:orient="portrait"/>
          <w:cols w:equalWidth="0" w:num="2">
            <w:col w:w="4240" w:space="100"/>
            <w:col w:w="6560"/>
          </w:cols>
          <w:pgMar w:left="320" w:top="455" w:right="679" w:bottom="1440" w:gutter="0" w:footer="0" w:header="0"/>
          <w:type w:val="continuous"/>
        </w:sect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Use of Proceeds</w:t>
      </w:r>
      <w:r>
        <w:rPr>
          <w:sz w:val="20"/>
          <w:szCs w:val="20"/>
          <w:color w:val="auto"/>
        </w:rPr>
        <w:tab/>
      </w:r>
      <w:r>
        <w:rPr>
          <w:rFonts w:ascii="Times New Roman" w:cs="Times New Roman" w:eastAsia="Times New Roman" w:hAnsi="Times New Roman"/>
          <w:sz w:val="18"/>
          <w:szCs w:val="18"/>
          <w:color w:val="auto"/>
        </w:rPr>
        <w:t xml:space="preserve">We estimate that our net proceeds from this offering will be approximately $          </w:t>
      </w:r>
    </w:p>
    <w:p>
      <w:pPr>
        <w:spacing w:after="0" w:line="31" w:lineRule="exact"/>
        <w:rPr>
          <w:sz w:val="20"/>
          <w:szCs w:val="20"/>
          <w:color w:val="auto"/>
        </w:rPr>
      </w:pPr>
    </w:p>
    <w:p>
      <w:pPr>
        <w:ind w:left="4340" w:right="220" w:firstLine="45"/>
        <w:spacing w:after="0" w:line="255" w:lineRule="auto"/>
        <w:rPr>
          <w:sz w:val="20"/>
          <w:szCs w:val="20"/>
          <w:color w:val="auto"/>
        </w:rPr>
      </w:pPr>
      <w:r>
        <w:rPr>
          <w:rFonts w:ascii="Times New Roman" w:cs="Times New Roman" w:eastAsia="Times New Roman" w:hAnsi="Times New Roman"/>
          <w:sz w:val="18"/>
          <w:szCs w:val="18"/>
          <w:color w:val="auto"/>
        </w:rPr>
        <w:t>million, or $        million if the option to purchase additional shares is exercised in full by the underwriters, after deducting underwriting discounts and commissions and estimated offering expenses payable by us.</w:t>
      </w:r>
    </w:p>
    <w:p>
      <w:pPr>
        <w:spacing w:after="0" w:line="213" w:lineRule="exact"/>
        <w:rPr>
          <w:sz w:val="20"/>
          <w:szCs w:val="20"/>
          <w:color w:val="auto"/>
        </w:rPr>
      </w:pPr>
    </w:p>
    <w:p>
      <w:pPr>
        <w:ind w:left="4340" w:right="180"/>
        <w:spacing w:after="0" w:line="255" w:lineRule="auto"/>
        <w:rPr>
          <w:sz w:val="20"/>
          <w:szCs w:val="20"/>
          <w:color w:val="auto"/>
        </w:rPr>
      </w:pPr>
      <w:r>
        <w:rPr>
          <w:rFonts w:ascii="Times New Roman" w:cs="Times New Roman" w:eastAsia="Times New Roman" w:hAnsi="Times New Roman"/>
          <w:sz w:val="18"/>
          <w:szCs w:val="18"/>
          <w:color w:val="auto"/>
        </w:rPr>
        <w:t>We intend to use the net proceeds from this offering, together with our existing cash and cash equivalents, for trial protocol development, planning, and advancement of the VYD2311 clinical program, research and development related to our pipeline programs such as RSV and measles, advancement of the SPEAR Study Group efforts related to assessing the effects of mAb therapy for Long COVID and COVID-19 Post-Vaccination Syndrome, and for working capital and other general corporate purposes. See the section entitled “Use of Proceeds” on page S-13 of this prospectus supplement.</w:t>
      </w:r>
    </w:p>
    <w:p>
      <w:pPr>
        <w:spacing w:after="0" w:line="212"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Risk Factors</w:t>
      </w:r>
      <w:r>
        <w:rPr>
          <w:sz w:val="20"/>
          <w:szCs w:val="20"/>
          <w:color w:val="auto"/>
        </w:rPr>
        <w:tab/>
      </w:r>
      <w:r>
        <w:rPr>
          <w:rFonts w:ascii="Times New Roman" w:cs="Times New Roman" w:eastAsia="Times New Roman" w:hAnsi="Times New Roman"/>
          <w:sz w:val="17"/>
          <w:szCs w:val="17"/>
          <w:color w:val="auto"/>
        </w:rPr>
        <w:t>An investment in our common stock involves a high degree of risk. Before making an</w:t>
      </w:r>
    </w:p>
    <w:p>
      <w:pPr>
        <w:spacing w:after="0" w:line="31" w:lineRule="exact"/>
        <w:rPr>
          <w:sz w:val="20"/>
          <w:szCs w:val="20"/>
          <w:color w:val="auto"/>
        </w:rPr>
      </w:pPr>
    </w:p>
    <w:p>
      <w:pPr>
        <w:ind w:left="4340"/>
        <w:spacing w:after="0" w:line="252" w:lineRule="auto"/>
        <w:rPr>
          <w:sz w:val="20"/>
          <w:szCs w:val="20"/>
          <w:color w:val="auto"/>
        </w:rPr>
      </w:pPr>
      <w:r>
        <w:rPr>
          <w:rFonts w:ascii="Times New Roman" w:cs="Times New Roman" w:eastAsia="Times New Roman" w:hAnsi="Times New Roman"/>
          <w:sz w:val="18"/>
          <w:szCs w:val="18"/>
          <w:color w:val="auto"/>
        </w:rPr>
        <w:t>investment decision, please read the information contained in or incorporated by reference in the section entitled “Risk Factors” beginning on page S-8 of this prospectus supplement, page 34 of our Annual Report on Form 10-K for the fiscal year ended December 31, 2024, page 39 of our Quarterly Report on Form 10-Q for the quarter ended June 30, 2025, and under similar headings in the documents that are incorporated by reference herein, as well as the other information included in or incorporated by reference in this prospectus supplement and the accompanying prospectus.</w:t>
      </w:r>
    </w:p>
    <w:p>
      <w:pPr>
        <w:spacing w:after="0" w:line="211"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The Nasdaq Global Market symbol</w:t>
      </w:r>
      <w:r>
        <w:rPr>
          <w:sz w:val="20"/>
          <w:szCs w:val="20"/>
          <w:color w:val="auto"/>
        </w:rPr>
        <w:tab/>
      </w:r>
      <w:r>
        <w:rPr>
          <w:rFonts w:ascii="Times New Roman" w:cs="Times New Roman" w:eastAsia="Times New Roman" w:hAnsi="Times New Roman"/>
          <w:sz w:val="17"/>
          <w:szCs w:val="17"/>
          <w:color w:val="auto"/>
        </w:rPr>
        <w:t>“IVVD”</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Outstanding Shares</w:t>
      </w:r>
    </w:p>
    <w:p>
      <w:pPr>
        <w:spacing w:after="0" w:line="121" w:lineRule="exact"/>
        <w:rPr>
          <w:sz w:val="20"/>
          <w:szCs w:val="20"/>
          <w:color w:val="auto"/>
        </w:rPr>
      </w:pPr>
    </w:p>
    <w:p>
      <w:pPr>
        <w:ind w:left="300" w:right="140"/>
        <w:spacing w:after="0" w:line="312" w:lineRule="auto"/>
        <w:rPr>
          <w:sz w:val="20"/>
          <w:szCs w:val="20"/>
          <w:color w:val="auto"/>
        </w:rPr>
      </w:pPr>
      <w:r>
        <w:rPr>
          <w:rFonts w:ascii="Times New Roman" w:cs="Times New Roman" w:eastAsia="Times New Roman" w:hAnsi="Times New Roman"/>
          <w:sz w:val="17"/>
          <w:szCs w:val="17"/>
          <w:color w:val="auto"/>
        </w:rPr>
        <w:t>The number of shares of our common stock to be outstanding after this offering is based on 120,142,811 shares of our common stock outstanding as of June 30, 2025. Unless specifically stated otherwise, the information in this prospectus supplement is as of June 30, 2025, and excludes:</w:t>
      </w:r>
    </w:p>
    <w:p>
      <w:pPr>
        <w:spacing w:after="0" w:line="45" w:lineRule="exact"/>
        <w:rPr>
          <w:sz w:val="20"/>
          <w:szCs w:val="20"/>
          <w:color w:val="auto"/>
        </w:rPr>
      </w:pPr>
    </w:p>
    <w:p>
      <w:pPr>
        <w:ind w:left="1240" w:right="28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21,215,534 shares of our common stock issuable upon the exercise of stock options outstanding as of June 30, 2025 at a weighted-average exercise price of $3.21 per share;</w:t>
      </w:r>
    </w:p>
    <w:p>
      <w:pPr>
        <w:spacing w:after="0" w:line="28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900"/>
          </w:cols>
          <w:pgMar w:left="320" w:top="455" w:right="67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6556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36556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28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1,700,000 shares of our common stock issuable upon the vesting and settlement of restricted stock units outstanding as of June 30, 2025, of which 561,000 shares of our common stock underlying such restricted stock units vested on August 15, 2025;</w:t>
      </w:r>
    </w:p>
    <w:p>
      <w:pPr>
        <w:spacing w:after="0" w:line="67" w:lineRule="exact"/>
        <w:rPr>
          <w:rFonts w:ascii="Times New Roman" w:cs="Times New Roman" w:eastAsia="Times New Roman" w:hAnsi="Times New Roman"/>
          <w:sz w:val="18"/>
          <w:szCs w:val="18"/>
          <w:color w:val="auto"/>
        </w:rPr>
      </w:pPr>
    </w:p>
    <w:p>
      <w:pPr>
        <w:ind w:left="1240" w:right="30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13,765,525 shares of our common stock reserved for future issuance under our 2021 Equity Incentive Plan (the “2021 Plan”) as of June 30, 2025;</w:t>
      </w:r>
    </w:p>
    <w:p>
      <w:pPr>
        <w:spacing w:after="0" w:line="67" w:lineRule="exact"/>
        <w:rPr>
          <w:rFonts w:ascii="Times New Roman" w:cs="Times New Roman" w:eastAsia="Times New Roman" w:hAnsi="Times New Roman"/>
          <w:sz w:val="18"/>
          <w:szCs w:val="18"/>
          <w:color w:val="auto"/>
        </w:rPr>
      </w:pPr>
    </w:p>
    <w:p>
      <w:pPr>
        <w:ind w:left="1240" w:right="36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6,824,712 shares of our common stock issuable upon exercise of warrants outstanding as of June 30, 2025, which had a weighted average exercise price of $3.48 per share at that date; and</w:t>
      </w:r>
    </w:p>
    <w:p>
      <w:pPr>
        <w:spacing w:after="0" w:line="67" w:lineRule="exact"/>
        <w:rPr>
          <w:rFonts w:ascii="Times New Roman" w:cs="Times New Roman" w:eastAsia="Times New Roman" w:hAnsi="Times New Roman"/>
          <w:sz w:val="18"/>
          <w:szCs w:val="18"/>
          <w:color w:val="auto"/>
        </w:rPr>
      </w:pPr>
    </w:p>
    <w:p>
      <w:pPr>
        <w:ind w:left="1240" w:right="12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661,116 shares of our common stock reserved for future issuance under our 2021 Employee Stock Purchase Plan (the “ESPP”), as of June 30, 2025.</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Unless otherwise indicated, all information in this prospectus supplement reflects or assumes the following:</w:t>
      </w:r>
    </w:p>
    <w:p>
      <w:pPr>
        <w:spacing w:after="0" w:line="131" w:lineRule="exact"/>
        <w:rPr>
          <w:sz w:val="20"/>
          <w:szCs w:val="20"/>
          <w:color w:val="auto"/>
        </w:rPr>
      </w:pPr>
    </w:p>
    <w:p>
      <w:pPr>
        <w:ind w:left="1240" w:right="42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of the forfeiture of stock options to acquire 332,990 shares of our common stock subsequent to June 30, 2025 through August 1, 2025;</w:t>
      </w:r>
    </w:p>
    <w:p>
      <w:pPr>
        <w:spacing w:after="0" w:line="67"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of 509,500 shares of our common stock underlying equity awards granted subsequent to June 30, 2025 through August 1, 2025;</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stock options to acquire shares of our common stock subsequent to June 30, 2025 through August 1, 2025;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by the underwriters of their option to purchase additional shares of our common stock.</w:t>
      </w:r>
    </w:p>
    <w:p>
      <w:pPr>
        <w:spacing w:after="0" w:line="225" w:lineRule="exact"/>
        <w:rPr>
          <w:sz w:val="20"/>
          <w:szCs w:val="20"/>
          <w:color w:val="auto"/>
        </w:rPr>
      </w:pPr>
    </w:p>
    <w:p>
      <w:pPr>
        <w:ind w:left="300"/>
        <w:spacing w:after="0" w:line="230" w:lineRule="auto"/>
        <w:rPr>
          <w:sz w:val="20"/>
          <w:szCs w:val="20"/>
          <w:color w:val="auto"/>
        </w:rPr>
      </w:pPr>
      <w:r>
        <w:rPr>
          <w:rFonts w:ascii="Times New Roman" w:cs="Times New Roman" w:eastAsia="Times New Roman" w:hAnsi="Times New Roman"/>
          <w:sz w:val="18"/>
          <w:szCs w:val="18"/>
          <w:color w:val="auto"/>
        </w:rPr>
        <w:t>Up to $75.0 million of shares of our common stock may be sold from time to time under our Controlled Equity Offering</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with Cantor Fitzgerald &amp; Co., as sales agent, that we entered into on December 22, 2023 (the “Sales Agreement”). As of the date of this prospectus supplement, we have sold 9,000,000 shares of our common stock under the Sales Agreement at an average price of $4.50, which has resulted in net proceeds of approximately $39.3 million, and $34.5 million remains available for sale under the Sales Agreement.</w:t>
      </w: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900"/>
          </w:cols>
          <w:pgMar w:left="320" w:top="455" w:right="6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investing in our common stock, you should carefully consider the risks described below, together with all of the other information contained in this prospectus supplement and the accompanying prospectus and incorporated by reference herein and therein, including from our most recent Annual Report on Form 10-K and Quarterly Reports on Form 10-Q and from our Current Reports on Form 8-K, as well as any amendments or updates to our risk factors thereto reflected in subsequent filings with the SEC. Some of these factors relate principally to our business and the industry in which we operate. Other factors relate principally to your investment in our securities. The risks and uncertainties described therein and below are not the only risks facing us. Additional risks and uncertainties not presently known to us or that we currently deem immaterial may also materially and adversely affect our business and operations.</w:t>
      </w:r>
    </w:p>
    <w:p>
      <w:pPr>
        <w:spacing w:after="0" w:line="183" w:lineRule="exact"/>
        <w:rPr>
          <w:sz w:val="20"/>
          <w:szCs w:val="20"/>
          <w:color w:val="auto"/>
        </w:rPr>
      </w:pPr>
    </w:p>
    <w:p>
      <w:pPr>
        <w:ind w:left="120" w:right="80"/>
        <w:spacing w:after="0" w:line="284" w:lineRule="auto"/>
        <w:rPr>
          <w:sz w:val="20"/>
          <w:szCs w:val="20"/>
          <w:color w:val="auto"/>
        </w:rPr>
      </w:pPr>
      <w:r>
        <w:rPr>
          <w:rFonts w:ascii="Times New Roman" w:cs="Times New Roman" w:eastAsia="Times New Roman" w:hAnsi="Times New Roman"/>
          <w:sz w:val="18"/>
          <w:szCs w:val="18"/>
          <w:i w:val="1"/>
          <w:iCs w:val="1"/>
          <w:color w:val="auto"/>
        </w:rPr>
        <w:t>If any of the matters included in the following risks were to occur, our business, financial condition, results of operations, cash flows or prospects could be materially and adversely affected. In such case, you may lose all or part of your investment.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will experience immediate and substantial dilution if you purchase shares of common stock in this offering.</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indicative offering price per share in this offering is higher than the as-adjusted net tangible book value per share of our common stock outstanding prior to this offering. Therefore, if you purchase shares of our common stock in this offering at the indicative offering price of $        per share, you will experience immediate dilution of $        per share, the difference between the price per share you pay for our common stock in this offering and our as-adjusted net tangible book value per share as of June 30, 2025, after giving effect to the issuance of        shares of our common stock in this offering. As a result of the dilution to investors purchasing shares in this offering, investors may receive significantly less than the purchase price paid in this offering, if anything, in the event of our liquidation. See the section entitled “Dilution” on page S-14 of this prospectus supplement for a more detailed discussion of the dilution you will incur if you purchase shares of our common stock in this offering.</w:t>
      </w:r>
    </w:p>
    <w:p>
      <w:pPr>
        <w:spacing w:after="0" w:line="189" w:lineRule="exact"/>
        <w:rPr>
          <w:sz w:val="20"/>
          <w:szCs w:val="20"/>
          <w:color w:val="auto"/>
        </w:rPr>
      </w:pPr>
    </w:p>
    <w:p>
      <w:pPr>
        <w:ind w:left="120"/>
        <w:spacing w:after="0" w:line="271" w:lineRule="auto"/>
        <w:rPr>
          <w:sz w:val="20"/>
          <w:szCs w:val="20"/>
          <w:color w:val="auto"/>
        </w:rPr>
      </w:pPr>
      <w:r>
        <w:rPr>
          <w:rFonts w:ascii="Times New Roman" w:cs="Times New Roman" w:eastAsia="Times New Roman" w:hAnsi="Times New Roman"/>
          <w:sz w:val="17"/>
          <w:szCs w:val="17"/>
          <w:color w:val="auto"/>
        </w:rPr>
        <w:t>In addition, as of June 30, 2025, we had outstanding (i) options to purchase 21,215,534 shares of our common stock at a weighted-average exercise price of $3.21 per share pursuant to our 2020 Equity Incentive Plan (the “2020 Plan”) and the 2021 Plan, (ii) warrants to purchase 6,824,712 shares of our common stock at a weighted-average exercise price of $3.48 per share, and (iii) 1,700,000 shares of common stock underlying restricted stock units, of which 561,000 shares of our common stock underlying such restricted stock units vested on August 15, 2025. As of June 30, 2025, there were no shares of our common stock reserved for future issuance under the 2020 Plan, 13,765,525 shares of our common stock reserved for future issuance under the 2021 Plan and 661,116 shares of our common stock reserved for future issuance under the ESPP. The shares of our common stock issuable under the 2020 Plan, the 2021 Plan and the ESPP may be immediately eligible for resale in the open market. Sale of such shares, along with any other market transactions, could adversely affect the market price of our common stock. Additional dilution may result from the issuance of shares of our common stock pursuant to such plans, upon vesting and settlement of any stock awards under any such plan, or upon exercise of any such outstanding options.</w:t>
      </w:r>
    </w:p>
    <w:p>
      <w:pPr>
        <w:spacing w:after="0" w:line="277"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or other issuances of our common stock could depress the market for our common stock and you could experience future dilution as a result of such future sales or other issuances.</w:t>
      </w:r>
    </w:p>
    <w:p>
      <w:pPr>
        <w:spacing w:after="0" w:line="5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or the perception by the market that those sales could occur, could cause the market price of our common stock to decline or could make it more difficult for us to raise funds through the sale of equity in the future.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In connection with this offering, we and our directors and executive officers have entered into lock-up agreements for a period of 60 days following this offering. We and our directors and executive officers may be released from such lock-up agreements prior to the expiration of the lock-up period at the sole discretion of Cantor Fitzgerald &amp; Co. For more information, see the section entitled “Underwriting” beginning on page S-21 of this prospectus supplement. Upon expiration or earlier release of the lock-up, we and our directors and executive officers may sell shares into the market, which could adversely affect the market price of shares of our common stock.</w:t>
      </w:r>
    </w:p>
    <w:p>
      <w:pPr>
        <w:spacing w:after="0" w:line="183"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We have previously entered into the Sales Agreement, pursuant to which, from time to time, we may offer and sell shares of our common stock with an aggregate offering price of up to $75.0 million under an “at-the-market” offering program. As of the date of this prospectus supplement, we have sold $39.3 million in net proceeds pursuant to the Sales Agreement, and $34.5 million remains available under our at-the-market offering program. To the extent that we sell shares of our common stock pursuant to our at-the-market offering program, investors purchasing shares of common stock in this offering could experience further dilution.</w:t>
      </w:r>
    </w:p>
    <w:p>
      <w:pPr>
        <w:spacing w:after="0" w:line="183"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In addition, certain of our employees, executive officers, and directors have entered or may enter into Rule 10b5-1 trading plans providing for sales of shares of our common stock from time to time. Under a Rule 10b5-1 trading plan, a broker executes trades pursuant to parameters established by the employee, director, or officer when entering into the plan, without further direction from the employee, officer, or director. A Rule 10b5-1 trading plan may be amended or terminated in some circumstances. Our employees, executive officers, and directors also may buy or sell shares without a Rule 10b5-1 trading plan, in accordance with our insider trading prevention policy and procedures, when they are not in possession of material, nonpublic information, subject to the expiration of the lock-up agreements, if applicable, described in “Underwriting” beginning on page S-21 of this prospectus supplement.</w:t>
      </w:r>
    </w:p>
    <w:p>
      <w:pPr>
        <w:spacing w:after="0" w:line="189"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To satisfy our anticipated funding requirements, we may in the future offer and issue additional shares of our common stock or other securities convertible into, exercisable or exchangeable for, or settled in, our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exercisable or exchangeable for, or settled in, our common stock in future transactions may be higher or lower than the price per share in this offering.</w:t>
      </w:r>
    </w:p>
    <w:p>
      <w:pPr>
        <w:spacing w:after="0" w:line="291"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how we use the net proceeds of this offering and, despite our efforts, we may not use these net proceeds effectively or in ways with which you agree.</w:t>
      </w:r>
    </w:p>
    <w:p>
      <w:pPr>
        <w:spacing w:after="0" w:line="5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intend to use the net proceeds from this offering, together with our existing cash and cash equivalents, for trial protocol development, planning, and advancement of the VYD2311 clinical program, research and development related to our pipeline programs such as RSV and measles, advancement of the SPEAR Study Group efforts related to assessing the effects of mAb therapy for Long COVID and COVID-19 Post-Vaccination Syndrome, and for working capital and other general corporate purposes. However, we have not determined the specific allocation of the net proceeds among these potential uses. Our management will have broad discretion over the use and investment of the net proceeds of this offering, and, accordingly, investors in this offering will need to rely upon the judgment of our management with respect to the use of proceeds, with only limited information concerning our specific intentions. Our stockholders may not agree with the manner in which our management chooses to allocate and spend the net proceeds. Moreover, our management may use the net proceeds for corporate purposes that may not increase the market price of our common stock. Please see the section entitled “Use of Proceeds” on page S-13 of this prospectus supplement for further information.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on our capital stock in the foreseeable future; accordingly, capital appreciation, if any, will be your sole source of gain and you may never receive a return on your investment.</w:t>
      </w:r>
    </w:p>
    <w:p>
      <w:pPr>
        <w:spacing w:after="0" w:line="5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and you should not rely on an investment in our common stock to provide dividend income. We currently intend to retain all of our future earnings, if any, to finance the growth and development of our business and do not anticipate declaring or paying any cash dividends for the foreseeable future. In addition, our loan and security agreement with Silicon Valley Bank prohibits us, and the terms of any future debt agreements may also preclude us, from paying cash dividends. As a result, capital appreciation, if any, of our common stock will be your sole source of gain for the foreseeable future. Furthermore, we may in the future become subject to additional contractual restrictions on, or prohibitions against, the payment of dividends.</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040"/>
          </w:cols>
          <w:pgMar w:left="320" w:top="455" w:right="5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Various statements made in this prospectus supplement and in the documents incorporated by reference herein are forward-looking and involve risks and uncertainties. All statements that address activities, events or developments that we intend, expect or believe may occur in the future are forward-looking statements within the meaning of Section 27A of the Securities Act and Section 21E of the Exchange Act. Such statements give our current expectations or forecasts of future events and are not statements of historical or current facts. These statements include, among others, statements about:</w:t>
      </w:r>
    </w:p>
    <w:p>
      <w:pPr>
        <w:spacing w:after="0" w:line="85" w:lineRule="exact"/>
        <w:rPr>
          <w:sz w:val="20"/>
          <w:szCs w:val="20"/>
          <w:color w:val="auto"/>
        </w:rPr>
      </w:pPr>
    </w:p>
    <w:p>
      <w:pPr>
        <w:ind w:left="1080" w:right="60" w:hanging="424"/>
        <w:spacing w:after="0" w:line="213"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related to the commercialization of PEMGARDA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(pemivibart), which received emergency use authorization (“EUA”) from the U.S. Food and Drug Administration (“FDA”) in March 2024, including our expectations about the potential market opportunity;</w:t>
      </w:r>
    </w:p>
    <w:p>
      <w:pPr>
        <w:spacing w:after="0" w:line="10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PEMGARDA to keep pace with SARS-CoV-2 viral evolution;</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VYD2311, our next generation monoclonal antibody (“mAb”) candidate for COVID-19, and the potential of VYD2311 to offer the ability to deliver clinically meaningful titer levels through more system- and patient-friendly means;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availability of a rapid pathway to potential Biologics License Application (“BLA”) approval for VYD2311 for the prevention of COVID-19 and the compact pivotal clinical trial that could support it;</w:t>
      </w:r>
    </w:p>
    <w:p>
      <w:pPr>
        <w:spacing w:after="0" w:line="67" w:lineRule="exact"/>
        <w:rPr>
          <w:rFonts w:ascii="Times New Roman" w:cs="Times New Roman" w:eastAsia="Times New Roman" w:hAnsi="Times New Roman"/>
          <w:sz w:val="18"/>
          <w:szCs w:val="18"/>
          <w:color w:val="auto"/>
        </w:rPr>
      </w:pPr>
    </w:p>
    <w:p>
      <w:pPr>
        <w:jc w:val="both"/>
        <w:ind w:left="1080" w:right="10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timing, design, progress and results of preclinical studies and clinical trials of our product candidates, including statements regarding initiation or completion of studies or trials and related preparatory work, the period during which results of any studies or trials will become available, and potential regulatory submissions;</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devotion to delivering protection from serious viral infectious diseases, and our aim to develop mAbs that could be used in prevention or treatment of serious viral diseases, starting with COVID-19 and potentially expanding into other high-need indications;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discovery efforts to assess pipeline expansion beyond SARS-CoV-2, including potential targets such as respiratory syncytial virus and measles;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 of establishing streamlined development pathways to efficiently introduce new mAb candidates targeting SARS-CoV-2;</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regulatory pathway for our product candidates, including the anticipated timing of any submission of filings for regulatory authorization or approval of, and our ability to obtain and maintain regulatory authorizations or approvals for, our product candidates;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regarding SARS-CoV-2 variant monitoring of antiviral activity as part of our ongoing industrial virology effort;</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of the patient populations, market acceptance and opportunity for and clinical utility of our product candidates, if authorized or approved for commercial use;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and strategy, and our expectations regarding supply and demand of our product candidates;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product candidates, if authorized or approved, including our distribution capabilities and strategy;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develop future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SPEAR Study Group, including its anticipated focus, goals and plans;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future potential revenue, capital requirements and our need for or ability to obtain additional funding;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continue as a going concern;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development of and projections relating to our competitors or our industry;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intended use of proceeds from this offering.</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cannot guarantee that the results and other expectations expressed, anticipated or implied in any forward-looking statement will be realized. The risks set forth under Item 1A of our Annual Report on Form 10-K for the fiscal year ended December 31, 2024 and any supplementary risks set forth under Item 1A of our Quarterly Reports on Form 10-Q and other documents we file with the SEC describe major risks to our business, and you should read and interpret any forward-looking statements together with these risks. A variety of factors, including these risks, could cause our actual results and other expectations to differ materially from the anticipated results or other expectations expressed, anticipated or implied in our forward-looking statements. You should read and interpret any forward-looking statements in light of these risks.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w:t>
      </w:r>
    </w:p>
    <w:p>
      <w:pPr>
        <w:spacing w:after="0" w:line="192"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supplement, the accompanying prospectus and the documents that we incorporate by reference herein and therein completely and with the understanding that our actual future results may be materially different from what we expect. The forward-looking statements contained in this prospectus supplement are made as of the date of this prospectus supplement and we do not assume any obligation to update any forward-looking statements, whether as a result of new information, future events or otherwise, except as required by applicable law.</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when made, and while we believe such information forms a reasonable basis for such statements, such information may be limited or incomplete.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tabs>
          <w:tab w:leader="none" w:pos="5480" w:val="left"/>
        </w:tabs>
        <w:rPr>
          <w:sz w:val="20"/>
          <w:szCs w:val="20"/>
          <w:color w:val="auto"/>
        </w:rPr>
      </w:pPr>
      <w:r>
        <w:rPr>
          <w:rFonts w:ascii="Times New Roman" w:cs="Times New Roman" w:eastAsia="Times New Roman" w:hAnsi="Times New Roman"/>
          <w:sz w:val="18"/>
          <w:szCs w:val="18"/>
          <w:color w:val="auto"/>
        </w:rPr>
        <w:t xml:space="preserve">We estimate that the net proceeds from our issuance and sale of           </w:t>
        <w:tab/>
        <w:t xml:space="preserve">shares of our common stock in this offering will be approximately $          </w:t>
      </w:r>
    </w:p>
    <w:p>
      <w:pPr>
        <w:spacing w:after="0" w:line="27" w:lineRule="exact"/>
        <w:rPr>
          <w:sz w:val="20"/>
          <w:szCs w:val="20"/>
          <w:color w:val="auto"/>
        </w:rPr>
      </w:pPr>
    </w:p>
    <w:p>
      <w:pPr>
        <w:ind w:left="120" w:right="660" w:firstLine="45"/>
        <w:spacing w:after="0" w:line="260" w:lineRule="auto"/>
        <w:rPr>
          <w:sz w:val="20"/>
          <w:szCs w:val="20"/>
          <w:color w:val="auto"/>
        </w:rPr>
      </w:pPr>
      <w:r>
        <w:rPr>
          <w:rFonts w:ascii="Times New Roman" w:cs="Times New Roman" w:eastAsia="Times New Roman" w:hAnsi="Times New Roman"/>
          <w:sz w:val="18"/>
          <w:szCs w:val="18"/>
          <w:color w:val="auto"/>
        </w:rPr>
        <w:t>million, or approximately $        million if the underwriters exercise their option to purchase additional shares in full, after deducting the underwriting discounts and commissions and the estimated offering expenses payable by us.</w:t>
      </w:r>
    </w:p>
    <w:p>
      <w:pPr>
        <w:spacing w:after="0" w:line="18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intend to use the net proceeds from this offering, together with our existing cash and cash equivalents, for trial protocol development, planning, and advancement of the VYD2311 clinical program, research and development related to our pipeline programs such as RSV and measles, advancement of the SPEAR Study Group efforts related to assessing the effects of mAb therapy for Long COVID and COVID-19 Post Vaccination Syndrome, and for working capital and other general corporate purposes. We may also use a portion of the net proceeds from this offering to acquire or invest in complementary businesses, technologies, additional product candidates or other intellectual property, although we have no present commitments or agreements to do so.</w:t>
      </w:r>
    </w:p>
    <w:p>
      <w:pPr>
        <w:spacing w:after="0" w:line="187"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The amounts and timing of our use of the net proceeds from this offering will depend on a number of factors, such as the timing and progress of our commercialization efforts, the timing and progress of our research and development efforts, the timing and progress of any partnering efforts, and the competitive environment for our product and product candidates. As of the date of this prospectus supplement, we cannot specify with certainty all of the particular uses for the net proceeds to us from the sale of the shares of common stock offered by us hereunder. Accordingly, our management will have broad discretion in the timing and application of these proceeds. Pending application of the net proceeds as described above, we intend to temporarily invest the proceeds in short-term, interest-bearing instruments. As the net proceeds from this offering, together with our existing cash and cash equivalents and cash collected on future revenues, may not be sufficient to fund our clinical programs, we expect to raise additional capital to achieve our business objectives.</w:t>
      </w:r>
    </w:p>
    <w:p>
      <w:pPr>
        <w:spacing w:after="0" w:line="1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020"/>
          </w:cols>
          <w:pgMar w:left="320" w:top="455" w:right="5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Purchasers of common stock in this offering will experience immediate dilution to the extent of the difference between the public offering price per share of common stock and the as-adjusted net tangible book value per share of common stock immediately after this offering.</w:t>
      </w:r>
    </w:p>
    <w:p>
      <w:pPr>
        <w:spacing w:after="0" w:line="162"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Our net tangible book value as of June 30, 2025 was approximately $42.8 million, or $0.36 per share of common stock. Net tangible book value per share is determined by dividing total tangible assets less total liabilities, excluding items such as intangibles, by the aggregate number of shares of common stock outstanding as of June 30, 2025. Dilution per share to new investors represents the difference between the amount per share paid by purchasers of our common stock in this offering and the as-adjusted net tangible book value per share of our common stock immediately following the completion of this offering.</w:t>
      </w:r>
    </w:p>
    <w:p>
      <w:pPr>
        <w:spacing w:after="0" w:line="183"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After giving effect to the sale of        shares of common stock in this offering at the public offering price of $        per share, and after deducting the underwriting discounts and commissions and the estimated offering expenses payable by us, our as-adjusted net tangible book value as of</w:t>
      </w:r>
    </w:p>
    <w:p>
      <w:pPr>
        <w:ind w:left="120" w:right="300"/>
        <w:spacing w:after="0" w:line="250" w:lineRule="auto"/>
        <w:rPr>
          <w:sz w:val="20"/>
          <w:szCs w:val="20"/>
          <w:color w:val="auto"/>
        </w:rPr>
      </w:pPr>
      <w:r>
        <w:rPr>
          <w:rFonts w:ascii="Times New Roman" w:cs="Times New Roman" w:eastAsia="Times New Roman" w:hAnsi="Times New Roman"/>
          <w:sz w:val="18"/>
          <w:szCs w:val="18"/>
          <w:color w:val="auto"/>
        </w:rPr>
        <w:t>June 30, 2025 would have been approximately $        million, or approximately $        per share of our common stock. This represents an immediate increase in net tangible book value of $        per share of common stock to our existing stockholders and an immediate dilution in net</w:t>
      </w:r>
    </w:p>
    <w:p>
      <w:pPr>
        <w:spacing w:after="0" w:line="1" w:lineRule="exact"/>
        <w:rPr>
          <w:sz w:val="20"/>
          <w:szCs w:val="20"/>
          <w:color w:val="auto"/>
        </w:rPr>
      </w:pPr>
    </w:p>
    <w:p>
      <w:pPr>
        <w:ind w:left="120" w:right="640"/>
        <w:spacing w:after="0" w:line="260" w:lineRule="auto"/>
        <w:rPr>
          <w:sz w:val="20"/>
          <w:szCs w:val="20"/>
          <w:color w:val="auto"/>
        </w:rPr>
      </w:pPr>
      <w:r>
        <w:rPr>
          <w:rFonts w:ascii="Times New Roman" w:cs="Times New Roman" w:eastAsia="Times New Roman" w:hAnsi="Times New Roman"/>
          <w:sz w:val="18"/>
          <w:szCs w:val="18"/>
          <w:color w:val="auto"/>
        </w:rPr>
        <w:t>tangible book value of $        per share of common stock issued to the new investors purchasing shares of common stock in this offering, as illustrated by the following table:</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 per share of common stock</w:t>
            </w:r>
          </w:p>
        </w:tc>
        <w:tc>
          <w:tcPr>
            <w:tcW w:w="4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16"/>
        </w:trPr>
        <w:tc>
          <w:tcPr>
            <w:tcW w:w="9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tangible book value per share as of June 30, 2025</w:t>
            </w:r>
          </w:p>
        </w:tc>
        <w:tc>
          <w:tcPr>
            <w:tcW w:w="6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98"/>
              </w:rPr>
              <w:t>$0.36</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new investors</w:t>
            </w:r>
          </w:p>
        </w:tc>
        <w:tc>
          <w:tcPr>
            <w:tcW w:w="144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As-adjusted net tangible book value per share immediately after giving effect to this offering</w:t>
            </w:r>
          </w:p>
        </w:tc>
        <w:tc>
          <w:tcPr>
            <w:tcW w:w="4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9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in this offering</w:t>
            </w:r>
          </w:p>
        </w:tc>
        <w:tc>
          <w:tcPr>
            <w:tcW w:w="138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9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the underwriters exercise their option in full to purchase additional shares of our common stock in this offering at the public offering price of</w:t>
      </w:r>
    </w:p>
    <w:p>
      <w:pPr>
        <w:spacing w:after="0" w:line="27" w:lineRule="exact"/>
        <w:rPr>
          <w:sz w:val="20"/>
          <w:szCs w:val="20"/>
          <w:color w:val="auto"/>
        </w:rPr>
      </w:pPr>
    </w:p>
    <w:p>
      <w:pPr>
        <w:jc w:val="both"/>
        <w:ind w:left="120"/>
        <w:spacing w:after="0" w:line="260" w:lineRule="auto"/>
        <w:rPr>
          <w:sz w:val="20"/>
          <w:szCs w:val="20"/>
          <w:color w:val="auto"/>
        </w:rPr>
      </w:pPr>
      <w:r>
        <w:rPr>
          <w:rFonts w:ascii="Times New Roman" w:cs="Times New Roman" w:eastAsia="Times New Roman" w:hAnsi="Times New Roman"/>
          <w:sz w:val="18"/>
          <w:szCs w:val="18"/>
          <w:color w:val="auto"/>
        </w:rPr>
        <w:t>$        per share, the as-adjusted net tangible book value per share after the offering would be $        per share, the increase in the net tangible book value per share to existing stockholders would be $        per share and the dilution to purchasers in this offering would be $        per share.</w:t>
      </w:r>
    </w:p>
    <w:p>
      <w:pPr>
        <w:spacing w:after="0" w:line="181"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The above table is based on 120,142,811 shares of our common stock outstanding as of June 30, 2025. Unless specifically stated otherwise, the information in this prospectus supplement is as of June 30, 2025, and excludes:</w:t>
      </w:r>
    </w:p>
    <w:p>
      <w:pPr>
        <w:spacing w:after="0" w:line="67" w:lineRule="exact"/>
        <w:rPr>
          <w:sz w:val="20"/>
          <w:szCs w:val="20"/>
          <w:color w:val="auto"/>
        </w:rPr>
      </w:pPr>
    </w:p>
    <w:p>
      <w:pPr>
        <w:ind w:left="1080" w:right="10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21,215,534 shares of our common stock issuable upon the exercise of stock options outstanding as of June 30, 2025 at a weighted-average exercise price of $3.21 per share;</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1,700,000 shares of our common stock issuable upon the vesting and settlement of restricted stock units outstanding as of June 30, 2025, of which 561,000 shares of our common stock underlying such restricted stock units vested on August 15, 2025;</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13,765,525 shares of our common stock reserved for future issuance under the 2021 Plan, as of June 30, 2025;</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6,824,712 shares of our common stock issuable upon exercise of warrants outstanding as of June 30, 2025, which had a weighted average exercise price of $3.48 per share at that date;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661,116 shares of our common stock reserved for future issuance under the ESPP as of June 30, 2025.</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Unless otherwise indicated, all information in this prospectus supplement reflects or assumes the following:</w:t>
      </w:r>
    </w:p>
    <w:p>
      <w:pPr>
        <w:spacing w:after="0" w:line="131" w:lineRule="exact"/>
        <w:rPr>
          <w:sz w:val="20"/>
          <w:szCs w:val="20"/>
          <w:color w:val="auto"/>
        </w:rPr>
      </w:pPr>
    </w:p>
    <w:p>
      <w:pPr>
        <w:ind w:left="1080" w:right="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of the forfeiture of stock options to acquire 332,990 shares of our common stock subsequent to June 30, 2025 through August 1, 2025;</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of 509,500 shares of our common stock underlying equity awards granted subsequent to June 30, 2025 through August 1, 2025;</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stock options to acquire shares of our common stock subsequent to June 30, 2025 through August 1, 2025;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by the underwriters of their option to purchase additional shares of our common stock.</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To the extent that options or warrants are exercised or restricted stock units settle, or if we issue additional options, restricted stock units, warrants or other securities to purchase or acquire our common stock in the future and those options, restricted stock units, warrants or other securities are exercised, converted or settled, you may experience further dilution.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the material U.S. federal income tax consequences of the purchase, ownership and disposition of shares of our common stock issued pursuant to this offering, but does not purport to be a complete analysis of all potential tax consequences. The effects of other U.S. federal tax laws, such as estate and gift tax laws, and any applicable state, local or non-U.S. tax laws are not discussed. This discussion is based on the Internal Revenue Code of 1986, as amended (the “Code”), Treasury Regulations promulgated thereunder, judicial decisions, and published rulings and administrative pronouncements of the U.S. Internal Revenue Service (the “IRS”) in effect as of the date of this offering. These authorities may change or be subject to differing interpretations. Any such change or differing interpretation may be applied retroactively in a manner that could adversely affect a holder of our common stock. We have not sought and will not seek any rulings from the IRS regarding the matters discussed below. There can be no assurance the IRS or a court will not take a contrary position regarding the tax consequences of the purchase, ownership and disposition of our common stock.</w:t>
      </w:r>
    </w:p>
    <w:p>
      <w:pPr>
        <w:spacing w:after="0" w:line="188" w:lineRule="exact"/>
        <w:rPr>
          <w:sz w:val="20"/>
          <w:szCs w:val="20"/>
          <w:color w:val="auto"/>
        </w:rPr>
      </w:pPr>
    </w:p>
    <w:p>
      <w:pPr>
        <w:ind w:left="120" w:right="40"/>
        <w:spacing w:after="0" w:line="281" w:lineRule="auto"/>
        <w:rPr>
          <w:sz w:val="20"/>
          <w:szCs w:val="20"/>
          <w:color w:val="auto"/>
        </w:rPr>
      </w:pPr>
      <w:r>
        <w:rPr>
          <w:rFonts w:ascii="Times New Roman" w:cs="Times New Roman" w:eastAsia="Times New Roman" w:hAnsi="Times New Roman"/>
          <w:sz w:val="17"/>
          <w:szCs w:val="17"/>
          <w:color w:val="auto"/>
        </w:rPr>
        <w:t>This discussion is limited to holders that hold our common stock as a “capital asset” within the meaning of Section 1221 of the Code (generally, property held for investment). This discussion does not address all U.S. federal income tax consequences relevant to a holder’s particular circumstances, including the impact of the alternative minimum tax, the Medicare contribution tax on net investment income, or the special tax accounting rules under Section 451(b) of the Code. In addition, it does not address consequences relevant to holders subject to particular rules, including, without limitation:</w:t>
      </w:r>
    </w:p>
    <w:p>
      <w:pPr>
        <w:spacing w:after="0" w:line="70"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certain former citizens or long-term residents of the U.S.;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hedge, straddle or other risk reduction strategy or as part of a conversion transaction or other integrated investment;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mutual funds, and other 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 partnerships or other entities or arrangements treated as partnerships for U.S. federal income tax purposes, or other pass-through entities (and, in each case, investors therein);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for whom our stock constitutes “qualified small business stock” within the meaning of Section 1202 of the Code;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common stock pursuant to the exercise of any employee stock option or otherwise as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persons the functional currency of which is not the U.S. dollar;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 and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897(1)(2) of the Code and “withholding qualified holders” as defined in Treasury Regulation Section 1.1445-1(g)(11).</w:t>
      </w:r>
    </w:p>
    <w:p>
      <w:pPr>
        <w:spacing w:after="0" w:line="162"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color w:val="auto"/>
        </w:rPr>
        <w:t>THIS DISCUSSION IS FOR INFORMATION PURPOSES ONLY AND IS NOT INTENDED AS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this discussion, a “U.S. holder” is any beneficial owner of our common stock that, for U.S. federal income tax purposes, is:</w:t>
      </w:r>
    </w:p>
    <w:p>
      <w:pPr>
        <w:spacing w:after="0" w:line="131"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under the laws of the U.S.,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U.S. court and the control of one or more U.S. persons (within the meaning of Section 7701(a)(30) of the Code), or (2) has made a valid election under applicable Treasury Regulations to continue to be treated as a U.S. person.</w:t>
      </w:r>
    </w:p>
    <w:p>
      <w:pPr>
        <w:spacing w:after="0" w:line="176"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“non-U.S. holder” is a beneficial owner of our common stock that is neither a U.S. holder nor an entity treated as a partnership for U.S. federal income tax purposes.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Considerations Applicable to U.S. 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21"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We do not anticipate declaring or paying distributions to holders of our common stock in the foreseeable future. However, if we do make distributions on our common stock, such distributions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a U.S. holder’s basis in our common stock, but not below zero, and then will be treated as gain from the sale of stock as described below under the section entitled “Tax Considerations Applicable to U.S. Holders—Gain on Disposition of Common Stock.” Preferential U.S. federal income tax rates may apply to any dividends paid to noncorporate U.S. holders meeting certain holding period requirements.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Gain on Disposition of Our Common Stock</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Upon a sale or other taxable disposition of our common stock, a U.S. holder generally will recognize capital gain or loss in an amount equal to the difference between the amount realized and the U.S. holder’s adjusted tax basis in the common stock. Capital gain or loss will constitute long-term capital gain or loss if such U.S. holder’s holding period for the common stock exceeds one year. Long-term capital gains derived by certain non-corporate U.S. holders, including individuals, are generally subject to taxation at preferential rates. The deductibility of capital losses is subject to certain limitations. U.S. holders who recognize losses with respect to a disposition of our common stock should consult their own tax advisors regarding the tax treatment of such losses.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Information reporting requirements generally will apply to payments of dividends on the common stock and to the proceeds of a sale or other disposition of common stock paid by us to you unless you are an exempt recipient, such as certain corporations. Backup withholding will apply to those payments if a U.S. holder fails to provide their taxpayer identification number, or certification of exempt status, or if a U.S. holder otherwise fails to comply with applicable requirements to establish an exemption.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Rather, any amounts withheld under the backup withholding rules may be allowed as a refund or a credit against a U.S. holder’s U.S. federal income tax liability, if any, provided the required information is timely furnished to the IRS. Investors should consult their own tax advisors regarding their qualification for exemption from information reporting and backup withholding and the procedure for obtaining such exemption.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Applicable to Non-U.S. 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We do not anticipate declaring or paying distributions to holders of our common stock in the foreseeable future. However, if we do make distributions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the section entitled “Sale or Other Disposition of Common Stock.” Because we may not know the extent to which a distribution is a dividend for U.S. federal income tax purposes at the time it is made, for purposes of the withholding rules discussed below, we or the applicable withholding agent may treat the entire distribution as a dividend.</w:t>
      </w:r>
    </w:p>
    <w:p>
      <w:pPr>
        <w:spacing w:after="0" w:line="189"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Subject to the discussion below on backup withholding and FATCA (as defined below), dividends paid to a non-U.S. holder of our common stock that are not effectively connected with the non-U.S. holder’s conduct of a trade or business within the U.S. will be subject to U.S. federal withholding tax at a rate of 30% of the gross amount of the dividends (or such lower rate specified by an applicable income tax treaty).</w:t>
      </w:r>
    </w:p>
    <w:p>
      <w:pPr>
        <w:spacing w:after="0" w:line="176"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Non-U.S. holders may be entitled to a reduction in or an exemption from withholding on dividends as a result of the non-U.S. holder holding our common stock in connection with the conduct of a trade or business within the U.S. and dividends being effectively connected with that trade or business. To claim a reduction in or exemption from withholding, the non-U.S. holder must provide the applicable withholding agent with a properly executed (a) IRS Form W-8BEN or W-8BEN-E (or other applicable documentation) claiming an exemption from or reduction of the withholding tax under the benefit of an income tax treaty between the U.S. and the country in which the non-U.S. holder resides or is established, or (b) IRS Form W-8ECI stating that the dividends are not subject to withholding tax because they are effectively connected with the conduct by the non-U.S. holder of a trade or business within the U.S., as may be applicable. These certifications must be provided to the applicable withholding agent prior to the payment of dividends and must be updated periodically. Non-U.S. holders that do not timely provide the applicable withholding agent with the required certification, but that qualify for a reduced rate under an applicable income tax treaty, may obtain a refund of any excess amounts withheld by timely filing an appropriate claim for refund with the IRS.</w:t>
      </w:r>
    </w:p>
    <w:p>
      <w:pPr>
        <w:spacing w:after="0" w:line="194"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If dividends paid to a non-U.S. holder are effectively connected with the non-U.S. holder’s conduct of a trade or business within the U.S. (and, if required by an applicable income tax treaty, the non-U.S. holder maintains a permanent establishment in the U.S. to which such dividends are attributable), then, although exempt from U.S. federal withholding tax (provided the non-U.S. holder provides appropriate certification, as described above), the non-U.S. holder will be subject to U.S. federal income tax on such dividends on a net income basis at the regular graduated U.S. federal income tax rates. In addition, a non-U.S. holder that is a corporation may be subject to a branch profits tax at a rate of 30% (or such lower rate specified by an applicable income tax treaty) on its effectively connected earnings and profits for the taxable year that are attributable to such dividends, as adjusted for certain items. Non-U.S. holders should consult their tax advisors regarding their entitlement to benefits under any applicable income tax treaty.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Common Stock</w:t>
      </w:r>
    </w:p>
    <w:p>
      <w:pPr>
        <w:spacing w:after="0" w:line="121"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Subject to the discussions below on backup withholding and FATCA, a non-U.S. holder will not be subject to U.S. federal income tax on any gain realized upon the sale or other disposition of our common stock unless:</w:t>
      </w:r>
    </w:p>
    <w:p>
      <w:pPr>
        <w:spacing w:after="0" w:line="67" w:lineRule="exact"/>
        <w:rPr>
          <w:sz w:val="20"/>
          <w:szCs w:val="20"/>
          <w:color w:val="auto"/>
        </w:rPr>
      </w:pPr>
    </w:p>
    <w:p>
      <w:pPr>
        <w:ind w:left="10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within the U.S. (and, if required by an applicable income tax treaty, the non-U.S. holder maintains a permanent establishment in the U.S. to which such gain is attributable);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U.S. for 183 days or more during the taxable year of the disposition and certain other requirements are met; or</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U.S. real property interests (“USRPIs”) by reason of our status as a U.S. real property holding corporation (“USRPHC”) for U.S. federal income tax purposes.</w:t>
      </w:r>
    </w:p>
    <w:p>
      <w:pPr>
        <w:spacing w:after="0" w:line="162"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regular graduated U.S. federal income tax rates. A non-U.S. holder that is a foreign corporation also may be subject to a branch profits tax at a rate of 30% (or such lower rate specified by an applicable income tax treaty) on such effectively connected gain, as adjusted for certain items.</w:t>
      </w:r>
    </w:p>
    <w:p>
      <w:pPr>
        <w:spacing w:after="0" w:line="17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 non-U.S. holder described in the second bullet point above will be subject to U.S. federal income tax at a rate of 30% (or such lower rate specified by an applicable income tax treaty) on any gain derived from the disposition, which may be offset by certain U.S. source capital losses of the non-U.S. holder (even though the individual is not considered a resident of the U.S.) provided the non-U.S. holder has timely filed U.S. federal income tax returns with respect to such losses.</w:t>
      </w:r>
    </w:p>
    <w:p>
      <w:pPr>
        <w:spacing w:after="0" w:line="180"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With respect to the third bullet point above, we believe we are not currently and do not anticipate becoming a USRPHC. Because the determination of whether we are a USRPHC depends on the fair market value of our USRPIs relative to the fair market value of our other business assets and our non-U.S. real property interests, however, there can be no assurance we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such as The Nasdaq Global Market, and such non-U.S. holder owned, actually and constructively, 5% or less of our common stock throughout the shorter of the five-year period ending on the date of the sale or other taxable disposition or the non-U.S. Holder’s holding period. There can be no assurance that our common stock will be regularly traded on an established securities market for purposes of the rules described above.</w:t>
      </w:r>
    </w:p>
    <w:p>
      <w:pPr>
        <w:spacing w:after="0" w:line="192"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Non-U.S. holders should consult their tax advisors regarding potentially applicable income tax treaties that may provide for different rules than those described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Subject to the discussion below on FATCA, a non-U.S. holder will not be subject to backup withholding with respect to distributions we make on our common stock to the non-U.S. holder, provided the applicable withholding agent does not have actual knowledge or reason to know such holder is a U.S. person and the holder certifies its non-U.S. status, such as by providing a valid IRS Form W-8BEN, W-8BEN-E or W-8ECI, or other applicable certification. However, information returns generally will be filed with the IRS in connection with any distributions (including deemed distributions) made on our common stock to the non-U.S. holder, regardless of whether any tax was actually withheld. Copies of these information returns may also be made available under the provisions of a specific treaty or agreement to the tax authorities of the country in which the non-U.S. holder resides or is established.</w:t>
      </w:r>
    </w:p>
    <w:p>
      <w:pPr>
        <w:spacing w:after="0" w:line="18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Information reporting and backup withholding may apply to the proceeds of a sale or other taxable disposition of our common stock within the U.S., and information reporting may (although backup withholding generally will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not) apply to the proceeds of a sale or other taxable disposition of our common stock outside the U.S. conducted through certain U.S.-related financial intermediaries, in each case, unless the beneficial owner certifies under penalty of perjury that it is a non-U.S. holder on IRS Form W-8BEN or W-8BEN-E, or other applicable form (and the payor does not have actual knowledge or reason to know that the beneficial owner is a U.S. person) or such owner otherwise establishes an exemption. Proceeds of a disposition of our common stock conducted through a non-U.S. office of a non-U.S. broker generally will not be subject to backup withholding or information reporting. Non-U.S. holders should consult their tax advisors regarding the application of the information reporting and backup withholding rules to them.</w:t>
      </w:r>
    </w:p>
    <w:p>
      <w:pPr>
        <w:spacing w:after="0" w:line="187"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FATCA</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Withholding taxes may be imposed under Sections 1471 to 1474 of the Code (“FATCA”) on certain payments made to non-U.S. financial institutions and certain other non-U.S. entities. Specifically, a 30% withholding tax may be imposed on dividends (including deemed dividends) paid on our common stock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U.S. owner, or (3) the foreign financial institution or non-financial foreign entity otherwise qualifies for an exemption from these rules, in each case subject to the proposed Treasury Regulations discussed below.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Because we may not know the extent to which a distribution is a dividend for U.S. federal income tax purposes at the time it is made, for purposes of these withholding rules we or the applicable withholding agent may treat the entire distribution as a dividend. While withholding under FATCA would have applied also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 Prospective investors should consult their tax advisors regarding the potential application of these withholding provisions. Foreign financial institutions located in jurisdictions that have an intergovernmental agreement with the U.S. governing FATCA may be subject to different rules.</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dated        , 2025, between us and Cantor Fitzgerald &amp; Co., as representative of the underwriters named below (the “Representative”) and the sole book-running manager of this offering, we have agreed to sell to the underwriters, and each of the underwriters has agreed, severally and not jointly, to purchase from us, the shares of common stock shown opposite its name below:</w:t>
      </w:r>
    </w:p>
    <w:p>
      <w:pPr>
        <w:spacing w:after="0" w:line="200"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5520" w:type="dxa"/>
            <w:vAlign w:val="bottom"/>
          </w:tcPr>
          <w:p>
            <w:pPr>
              <w:spacing w:after="0"/>
              <w:rPr>
                <w:sz w:val="16"/>
                <w:szCs w:val="16"/>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203"/>
        </w:trPr>
        <w:tc>
          <w:tcPr>
            <w:tcW w:w="63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Cantor Fitzgerald &amp; Co.</w:t>
            </w:r>
          </w:p>
        </w:tc>
        <w:tc>
          <w:tcPr>
            <w:tcW w:w="1120" w:type="dxa"/>
            <w:vAlign w:val="bottom"/>
            <w:tcBorders>
              <w:top w:val="single" w:sz="8" w:color="auto"/>
              <w:bottom w:val="single" w:sz="8" w:color="auto"/>
            </w:tcBorders>
            <w:shd w:val="clear" w:color="auto" w:fill="CCEEFF"/>
          </w:tcPr>
          <w:p>
            <w:pPr>
              <w:ind w:left="400"/>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Borders>
              <w:top w:val="single" w:sz="8" w:color="CCEEFF"/>
            </w:tcBorders>
            <w:shd w:val="clear" w:color="auto" w:fill="CCEEFF"/>
          </w:tcPr>
          <w:p>
            <w:pPr>
              <w:spacing w:after="0"/>
              <w:rPr>
                <w:sz w:val="17"/>
                <w:szCs w:val="17"/>
                <w:color w:val="auto"/>
              </w:rPr>
            </w:pPr>
          </w:p>
        </w:tc>
      </w:tr>
      <w:tr>
        <w:trPr>
          <w:trHeight w:val="223"/>
        </w:trPr>
        <w:tc>
          <w:tcPr>
            <w:tcW w:w="6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bl>
    <w:p>
      <w:pPr>
        <w:spacing w:after="0" w:line="21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if any of them are purchased.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underwriters are offering the shares of common stock subject to their acceptance of the shares of common stock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have granted to the underwriters an option, exercisable 30 days from the date of this prospectus supplement, to purchase, from time to time, in whole or in part, up to an aggregate of         shares from us at the public offering price set forth on the cover page of this prospectus supplement, less underwriting discounts and commissions. If the underwriters exercise this option, each underwriter will be obligated, subject to certain conditions, to purchase a number of additional shares approximately proportionate to that underwriter’s initial purchase commitment as indicated in the table above.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Commission and Expenses</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underwriters have advised us that they propose to offer the shares of common stock to the public at the public offering price set forth on the cover page of this prospectus supplement and to certain dealers, which may include the underwriters, at that price less a concession not in excess of $    per share of common stock. After the initial offering, the Representative may change the offering price and other selling terms.</w:t>
      </w:r>
    </w:p>
    <w:p>
      <w:pPr>
        <w:spacing w:after="0" w:line="176"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shares.</w:t>
      </w:r>
    </w:p>
    <w:p>
      <w:pPr>
        <w:spacing w:after="0" w:line="198"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Per Share</w:t>
            </w:r>
          </w:p>
        </w:tc>
        <w:tc>
          <w:tcPr>
            <w:tcW w:w="52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45"/>
              <w:spacing w:after="0"/>
              <w:rPr>
                <w:sz w:val="20"/>
                <w:szCs w:val="20"/>
                <w:color w:val="auto"/>
              </w:rPr>
            </w:pPr>
            <w:r>
              <w:rPr>
                <w:rFonts w:ascii="Times New Roman" w:cs="Times New Roman" w:eastAsia="Times New Roman" w:hAnsi="Times New Roman"/>
                <w:sz w:val="14"/>
                <w:szCs w:val="14"/>
                <w:color w:val="auto"/>
              </w:rPr>
              <w:t>Total</w:t>
            </w:r>
          </w:p>
        </w:tc>
        <w:tc>
          <w:tcPr>
            <w:tcW w:w="5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19"/>
        </w:trPr>
        <w:tc>
          <w:tcPr>
            <w:tcW w:w="394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120" w:type="dxa"/>
            <w:vAlign w:val="bottom"/>
            <w:gridSpan w:val="2"/>
          </w:tcPr>
          <w:p>
            <w:pPr>
              <w:jc w:val="center"/>
              <w:ind w:right="500"/>
              <w:spacing w:after="0" w:line="119" w:lineRule="exact"/>
              <w:rPr>
                <w:sz w:val="20"/>
                <w:szCs w:val="20"/>
                <w:color w:val="auto"/>
              </w:rPr>
            </w:pPr>
            <w:r>
              <w:rPr>
                <w:rFonts w:ascii="Times New Roman" w:cs="Times New Roman" w:eastAsia="Times New Roman" w:hAnsi="Times New Roman"/>
                <w:sz w:val="13"/>
                <w:szCs w:val="13"/>
                <w:color w:val="auto"/>
              </w:rPr>
              <w:t>Without</w:t>
            </w:r>
          </w:p>
        </w:tc>
        <w:tc>
          <w:tcPr>
            <w:tcW w:w="120" w:type="dxa"/>
            <w:vAlign w:val="bottom"/>
          </w:tcPr>
          <w:p>
            <w:pPr>
              <w:spacing w:after="0"/>
              <w:rPr>
                <w:sz w:val="10"/>
                <w:szCs w:val="10"/>
                <w:color w:val="auto"/>
              </w:rPr>
            </w:pPr>
          </w:p>
        </w:tc>
        <w:tc>
          <w:tcPr>
            <w:tcW w:w="520" w:type="dxa"/>
            <w:vAlign w:val="bottom"/>
          </w:tcPr>
          <w:p>
            <w:pPr>
              <w:jc w:val="center"/>
              <w:ind w:right="44"/>
              <w:spacing w:after="0" w:line="119" w:lineRule="exact"/>
              <w:rPr>
                <w:sz w:val="20"/>
                <w:szCs w:val="20"/>
                <w:color w:val="auto"/>
              </w:rPr>
            </w:pPr>
            <w:r>
              <w:rPr>
                <w:rFonts w:ascii="Times New Roman" w:cs="Times New Roman" w:eastAsia="Times New Roman" w:hAnsi="Times New Roman"/>
                <w:sz w:val="13"/>
                <w:szCs w:val="13"/>
                <w:color w:val="auto"/>
              </w:rPr>
              <w:t>With</w:t>
            </w:r>
          </w:p>
        </w:tc>
        <w:tc>
          <w:tcPr>
            <w:tcW w:w="50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Without</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right="44"/>
              <w:spacing w:after="0" w:line="119" w:lineRule="exact"/>
              <w:rPr>
                <w:sz w:val="20"/>
                <w:szCs w:val="20"/>
                <w:color w:val="auto"/>
              </w:rPr>
            </w:pPr>
            <w:r>
              <w:rPr>
                <w:rFonts w:ascii="Times New Roman" w:cs="Times New Roman" w:eastAsia="Times New Roman" w:hAnsi="Times New Roman"/>
                <w:sz w:val="13"/>
                <w:szCs w:val="13"/>
                <w:color w:val="auto"/>
              </w:rPr>
              <w:t>With</w:t>
            </w:r>
          </w:p>
        </w:tc>
        <w:tc>
          <w:tcPr>
            <w:tcW w:w="40" w:type="dxa"/>
            <w:vAlign w:val="bottom"/>
          </w:tcPr>
          <w:p>
            <w:pPr>
              <w:spacing w:after="0"/>
              <w:rPr>
                <w:sz w:val="10"/>
                <w:szCs w:val="10"/>
                <w:color w:val="auto"/>
              </w:rPr>
            </w:pPr>
          </w:p>
        </w:tc>
      </w:tr>
      <w:tr>
        <w:trPr>
          <w:trHeight w:val="148"/>
        </w:trPr>
        <w:tc>
          <w:tcPr>
            <w:tcW w:w="39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color w:val="auto"/>
              </w:rPr>
              <w:t>Option to</w:t>
            </w:r>
          </w:p>
        </w:tc>
        <w:tc>
          <w:tcPr>
            <w:tcW w:w="114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color w:val="auto"/>
              </w:rPr>
              <w:t>Option to</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Option to</w:t>
            </w:r>
          </w:p>
        </w:tc>
        <w:tc>
          <w:tcPr>
            <w:tcW w:w="540" w:type="dxa"/>
            <w:vAlign w:val="bottom"/>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Option to</w:t>
            </w:r>
          </w:p>
        </w:tc>
      </w:tr>
      <w:tr>
        <w:trPr>
          <w:trHeight w:val="148"/>
        </w:trPr>
        <w:tc>
          <w:tcPr>
            <w:tcW w:w="39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color w:val="auto"/>
              </w:rPr>
              <w:t>Purchase</w:t>
            </w:r>
          </w:p>
        </w:tc>
        <w:tc>
          <w:tcPr>
            <w:tcW w:w="114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color w:val="auto"/>
              </w:rPr>
              <w:t>Purchase</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Purchase</w:t>
            </w:r>
          </w:p>
        </w:tc>
        <w:tc>
          <w:tcPr>
            <w:tcW w:w="540" w:type="dxa"/>
            <w:vAlign w:val="bottom"/>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Purchase</w:t>
            </w:r>
          </w:p>
        </w:tc>
      </w:tr>
      <w:tr>
        <w:trPr>
          <w:trHeight w:val="149"/>
        </w:trPr>
        <w:tc>
          <w:tcPr>
            <w:tcW w:w="39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color w:val="auto"/>
              </w:rPr>
              <w:t>Additional</w:t>
            </w:r>
          </w:p>
        </w:tc>
        <w:tc>
          <w:tcPr>
            <w:tcW w:w="114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color w:val="auto"/>
              </w:rPr>
              <w:t>Additional</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Additional</w:t>
            </w:r>
          </w:p>
        </w:tc>
        <w:tc>
          <w:tcPr>
            <w:tcW w:w="540" w:type="dxa"/>
            <w:vAlign w:val="bottom"/>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Additional</w:t>
            </w:r>
          </w:p>
        </w:tc>
      </w:tr>
      <w:tr>
        <w:trPr>
          <w:trHeight w:val="171"/>
        </w:trPr>
        <w:tc>
          <w:tcPr>
            <w:tcW w:w="39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1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4"/>
                <w:szCs w:val="14"/>
                <w:color w:val="auto"/>
              </w:rPr>
            </w:pPr>
          </w:p>
        </w:tc>
        <w:tc>
          <w:tcPr>
            <w:tcW w:w="10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color w:val="auto"/>
              </w:rPr>
              <w:t>Shares</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Shares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Shares</w:t>
            </w: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2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center"/>
              <w:ind w:right="4"/>
              <w:spacing w:after="0"/>
              <w:rPr>
                <w:sz w:val="20"/>
                <w:szCs w:val="20"/>
                <w:color w:val="auto"/>
              </w:rPr>
            </w:pPr>
            <w:r>
              <w:rPr>
                <w:rFonts w:ascii="Times New Roman" w:cs="Times New Roman" w:eastAsia="Times New Roman" w:hAnsi="Times New Roman"/>
                <w:sz w:val="18"/>
                <w:szCs w:val="18"/>
                <w:color w:val="auto"/>
              </w:rPr>
              <w:t xml:space="preserve">    </w:t>
            </w:r>
          </w:p>
        </w:tc>
        <w:tc>
          <w:tcPr>
            <w:tcW w:w="5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center"/>
              <w:ind w:right="4"/>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272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272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365"/>
        </w:trPr>
        <w:tc>
          <w:tcPr>
            <w:tcW w:w="3940" w:type="dxa"/>
            <w:vAlign w:val="bottom"/>
          </w:tcPr>
          <w:p>
            <w:pPr>
              <w:spacing w:after="0"/>
              <w:rPr>
                <w:sz w:val="24"/>
                <w:szCs w:val="24"/>
                <w:color w:val="auto"/>
              </w:rPr>
            </w:pPr>
          </w:p>
        </w:tc>
        <w:tc>
          <w:tcPr>
            <w:tcW w:w="322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S-21</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We estimate expenses payable by us in connection with this offering, other than the underwriting discounts and commissions referred to above, will be approximately $          . We have also agreed to reimburse the underwriters up to $175,000 for certain of their counsels’ fees and expenses, which reimbursed fee is deemed underwriting compensation for this offering by the Financial Industry Regulatory Authority.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trading symbol “IVVD.”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We, our officers and our directors have agreed, subject to certain specified exceptions, not to directly or indirectly, through and including the 60th day after the date of the underwriting agreement (the “Lock-Up Period”):</w:t>
      </w:r>
    </w:p>
    <w:p>
      <w:pPr>
        <w:spacing w:after="0" w:line="67" w:lineRule="exact"/>
        <w:rPr>
          <w:sz w:val="20"/>
          <w:szCs w:val="20"/>
          <w:color w:val="auto"/>
        </w:rPr>
      </w:pPr>
    </w:p>
    <w:p>
      <w:pPr>
        <w:ind w:left="1080" w:right="160" w:hanging="424"/>
        <w:spacing w:after="0" w:line="261"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offer to sell, contract to sell or lend, effect any short sale or establish or increase a “put equivalent position” within the meaning of Rule 16a-l(h) under the Exchange Act, or liquidate or decrease any “call equivalent position” (as defined in Rule 16a-1(b) under the Exchange Act), pledge, hypothecate or grant any security interest in, or in any other way transfer or dispose of, any common stock or any securities convertible into or exchangeable or exercisable for common stock,</w:t>
      </w:r>
    </w:p>
    <w:p>
      <w:pPr>
        <w:spacing w:after="0" w:line="85"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demand for, or exercise any right with respect to, the registration of any shares of common stock or the filing of any registration statement, prospectus or prospectus supplement (or an amendment or supplement thereto) in connection therewith, under the Securities Act,</w:t>
      </w:r>
    </w:p>
    <w:p>
      <w:pPr>
        <w:spacing w:after="0" w:line="81"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hedge or any other agreement or transaction that transfers, in whole or in part, the economic consequence of ownership of common stock, whether any such swap or transaction is to be settled by delivery of common stock or other securities, in cash or otherwise, or</w:t>
      </w:r>
    </w:p>
    <w:p>
      <w:pPr>
        <w:spacing w:after="0" w:line="81" w:lineRule="exact"/>
        <w:rPr>
          <w:rFonts w:ascii="Times New Roman" w:cs="Times New Roman" w:eastAsia="Times New Roman" w:hAnsi="Times New Roman"/>
          <w:sz w:val="18"/>
          <w:szCs w:val="18"/>
          <w:color w:val="auto"/>
        </w:rPr>
      </w:pPr>
    </w:p>
    <w:p>
      <w:pPr>
        <w:ind w:left="1080" w:right="10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announce an intention to do any of the foregoing during the Lock-Up Period without the prior written consent of the Representative.</w:t>
      </w:r>
    </w:p>
    <w:p>
      <w:pPr>
        <w:spacing w:after="0" w:line="16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Representative may, in its sole discretion and at any time or from time to time before the termination of the 60-day period release all or any portion of the securities subject to lock-up agreements.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restrictions in the preceding paragraph do not apply in certain circumstances, including, with respect to our officers and directors:</w:t>
      </w:r>
    </w:p>
    <w:p>
      <w:pPr>
        <w:spacing w:after="0" w:line="131" w:lineRule="exact"/>
        <w:rPr>
          <w:sz w:val="20"/>
          <w:szCs w:val="20"/>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as a bona fide gift or gifts, charitable contribution or for bona fide estate planning purposes;</w:t>
      </w:r>
    </w:p>
    <w:p>
      <w:pPr>
        <w:spacing w:after="0" w:line="130" w:lineRule="exact"/>
        <w:rPr>
          <w:rFonts w:ascii="Times New Roman" w:cs="Times New Roman" w:eastAsia="Times New Roman" w:hAnsi="Times New Roman"/>
          <w:sz w:val="18"/>
          <w:szCs w:val="18"/>
          <w:color w:val="auto"/>
        </w:rPr>
      </w:pPr>
    </w:p>
    <w:p>
      <w:pPr>
        <w:ind w:left="1080" w:right="60" w:hanging="532"/>
        <w:spacing w:after="0" w:line="261"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any immediate family member or to any trust for the direct or indirect benefit of the lock-up signatory or the immediate family of the lock-up signatory (for purposes of these restrictions, “immediate family” shall mean the spouse, domestic partner, lineal descendant, father, mother, brother, sister, or any other person with whom the lock-up signatory has a relationship by blood, marriage or adoption not more remote than first cousin);</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pursuant to a qualified domestic order or in connection with a divorce settlement;</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by will or intestate succession to the legal representative, heir, beneficiary or immediate family of the lock-up signatory upon the death of the lock-up signatory;</w:t>
      </w:r>
    </w:p>
    <w:p>
      <w:pPr>
        <w:spacing w:after="0" w:line="67"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pursuant to the exercise or exchange by the lock-up signatory of any options to purchase shares of our common stock, including the sales or transfers of shares of common stock or any security convertible into or exercisable or exchangeable for common stock upon the exercise of options to purchase our securities for cash or on a “cashless” or “net exercise” basis to cover exercise price and/or tax withholding obligations of the lock-up signatory in connection with such exercise, pursuant to our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40"/>
          </w:cols>
          <w:pgMar w:left="320" w:top="45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380"/>
        <w:spacing w:after="0" w:line="258" w:lineRule="auto"/>
        <w:rPr>
          <w:sz w:val="20"/>
          <w:szCs w:val="20"/>
          <w:color w:val="auto"/>
        </w:rPr>
      </w:pPr>
      <w:r>
        <w:rPr>
          <w:rFonts w:ascii="Times New Roman" w:cs="Times New Roman" w:eastAsia="Times New Roman" w:hAnsi="Times New Roman"/>
          <w:sz w:val="18"/>
          <w:szCs w:val="18"/>
          <w:color w:val="auto"/>
        </w:rPr>
        <w:t>stock option, stock bonus or other stock plan or arrangement; provided, however, that the underlying shares of common stock shall continue to be subject to the restrictions on transfer in the lock-up agreement and that any filing under Section 16 of the Exchange Act made in connection with such exercise or exchange shall clearly indicate in the footnotes thereto that (i) the filing relates to the circumstances described herein and (ii) the purpose of such sale or transfer was to cover the exercise price and/or tax withholding obligations, as applicable, of the lock-up signatory in connection with such exercise;</w:t>
      </w:r>
    </w:p>
    <w:p>
      <w:pPr>
        <w:spacing w:after="0" w:line="89" w:lineRule="exact"/>
        <w:rPr>
          <w:sz w:val="20"/>
          <w:szCs w:val="20"/>
          <w:color w:val="auto"/>
        </w:rPr>
      </w:pPr>
    </w:p>
    <w:p>
      <w:pPr>
        <w:ind w:left="1080" w:hanging="532"/>
        <w:spacing w:after="0" w:line="261"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pursuant to a bona fide third-party tender offer, merger, consolidation or other similar transaction, that is approved by our board of directors and made to all holders of our securities involving a change of control (as defined in the lock-up agreement) of our company, provided that in the event that such tender offer, merger, consolidation or other such transaction is not completed, such securities held by such lock-up party shall remain subject to the provisions of the lock-up agreement;</w:t>
      </w:r>
    </w:p>
    <w:p>
      <w:pPr>
        <w:spacing w:after="0" w:line="85" w:lineRule="exact"/>
        <w:rPr>
          <w:rFonts w:ascii="Times New Roman" w:cs="Times New Roman" w:eastAsia="Times New Roman" w:hAnsi="Times New Roman"/>
          <w:sz w:val="18"/>
          <w:szCs w:val="18"/>
          <w:color w:val="auto"/>
        </w:rPr>
      </w:pPr>
    </w:p>
    <w:p>
      <w:pPr>
        <w:ind w:left="1080" w:right="20" w:hanging="532"/>
        <w:spacing w:after="0" w:line="25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10b5-1 trading plan that complies with Rule 10b5-1 under the Exchange Act (a “10b5-1 Trading Plan”) or from amending an existing 10b5-1 Trading Plan so long as there are no sales of our common stock under any such 10b5-1 Trading Plan during the Lock-Up Period; and provided that, the establishment of a 10b5-1 Trading Plan or the amendment of a 10b5-1 Trading Plan shall only be permitted if (1) the establishment or amendment of such plan is not required to be reported in any public report or filing with the SEC or otherwise, during the Lock-Up Period and (2) the lock-up signatory does not otherwise voluntarily effect any public filing or report regarding the establishment or amendment of such plan during the Lock-Up Period; or</w:t>
      </w:r>
    </w:p>
    <w:p>
      <w:pPr>
        <w:spacing w:after="0" w:line="92" w:lineRule="exact"/>
        <w:rPr>
          <w:rFonts w:ascii="Times New Roman" w:cs="Times New Roman" w:eastAsia="Times New Roman" w:hAnsi="Times New Roman"/>
          <w:sz w:val="18"/>
          <w:szCs w:val="18"/>
          <w:color w:val="auto"/>
        </w:rPr>
      </w:pPr>
    </w:p>
    <w:p>
      <w:pPr>
        <w:ind w:left="1080" w:right="140" w:hanging="532"/>
        <w:spacing w:after="0" w:line="254"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our common stock, at any time on or after the date of the underwriting agreement, pursuant to an existing trading plan that was established prior to the execution of the l lock-up agreement (an “Existing 10b5-1 Trading Plan”), providing for the sale of our common stock by the lock-up signatory, which trading plan meets the requirements of Rule 10b5-1(c) under the Exchange Act (including sell-to-cover transactions effected to satisfy the payment of withholding tax liability incurred upon the vesting of restricted stock units), provided the existence and details of such Existing 10b5-1 Trading Plan were communicated to the Representative and such Existing</w:t>
      </w:r>
    </w:p>
    <w:p>
      <w:pPr>
        <w:spacing w:after="0" w:line="3" w:lineRule="exact"/>
        <w:rPr>
          <w:rFonts w:ascii="Times New Roman" w:cs="Times New Roman" w:eastAsia="Times New Roman" w:hAnsi="Times New Roman"/>
          <w:sz w:val="18"/>
          <w:szCs w:val="18"/>
          <w:color w:val="auto"/>
        </w:rPr>
      </w:pPr>
    </w:p>
    <w:p>
      <w:pPr>
        <w:ind w:left="108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10b5-1 Trading Plan will not be amended or otherwise modified during the Lock-Up Period; provided, further, that if the lock-up signatory reports any such sale on a Form 4 filed with the SEC, the lock-up signatory shall cause such Form 4 to include a statement that such sale was effected pursuant to such Existing 10b5-1 Trading Plan.</w:t>
      </w:r>
    </w:p>
    <w:p>
      <w:pPr>
        <w:spacing w:after="0" w:line="186"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Provided that, with respect to (i) through (iv) above, (1) prior to any such transfer, the Representative receives a signed lock-up agreement for the balance of the Lock-Up Period from each donee, trustee, distributee or transferee, as the case may be, (2) any such transfer shall not involve a disposition for value, (3) in the case of clauses (i) through (iii), such transfers are not required to be reported with the SEC under the Exchange Act, and (4) each such person does not otherwise voluntarily effect any public filing or report regarding such transfers.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restrictions in the preceding paragraph do not apply in certain circumstances, including, with respect to us:</w:t>
      </w:r>
    </w:p>
    <w:p>
      <w:pPr>
        <w:spacing w:after="0" w:line="131" w:lineRule="exact"/>
        <w:rPr>
          <w:sz w:val="20"/>
          <w:szCs w:val="20"/>
          <w:color w:val="auto"/>
        </w:rPr>
      </w:pPr>
    </w:p>
    <w:p>
      <w:pPr>
        <w:ind w:left="1080" w:right="20" w:hanging="532"/>
        <w:spacing w:after="0" w:line="25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common stock or any security convertible into or exercisable or exchangeable for common stock pursuant to any director or employee equity incentive plan, stock ownership plan, employee stock purchase plan, or dividend reinvestment plan in effect on the date of the underwriting agreement, which are described in the registration statement of which this prospectus supplement forms a part, or pursuant to inducement grants within the meaning of Nasdaq Listing Rule 5635(c)(4), provided that we cause each newly appointed director or executive officer that is a recipient of such shares or options to enter into a lock-up agreement with the Representative for the remainder of the Lock-Up Period;</w:t>
      </w:r>
    </w:p>
    <w:p>
      <w:pPr>
        <w:spacing w:after="0" w:line="92" w:lineRule="exact"/>
        <w:rPr>
          <w:rFonts w:ascii="Times New Roman" w:cs="Times New Roman" w:eastAsia="Times New Roman" w:hAnsi="Times New Roman"/>
          <w:sz w:val="18"/>
          <w:szCs w:val="18"/>
          <w:color w:val="auto"/>
        </w:rPr>
      </w:pPr>
    </w:p>
    <w:p>
      <w:pPr>
        <w:jc w:val="both"/>
        <w:ind w:left="1080" w:right="420" w:hanging="532"/>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common stock pursuant to the vesting or exercise (including net exercise) of any security convertible into or exercisable or exchangeable for common stock, which are described in the registration statement of which this prospectus supplement forms a part;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80" w:hanging="532"/>
        <w:spacing w:after="0" w:line="255"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common stock or any security convertible into or exercisable or exchangeable for common stock in connection with a transaction with a third party that includes a bona fide commercial relationship (including joint ventures, marketing or distribution arrangements, collaboration agreements or intellectual property license agreements) or any acquisition of assets of not less than a majority or controlling portion of the equity of another entity, provided that (x) the aggregate number of shares of common stock or any security convertible into or exercisable or exchangeable for common stock shall not exceed 5% of the total number of shares of common stock issued and outstanding as of the date of the underwriting agreement and (y) each recipient of shares or related securities shall execute a lock-up agreement with the Representative;</w:t>
      </w:r>
    </w:p>
    <w:p>
      <w:pPr>
        <w:spacing w:after="0" w:line="94" w:lineRule="exact"/>
        <w:rPr>
          <w:rFonts w:ascii="Times New Roman" w:cs="Times New Roman" w:eastAsia="Times New Roman" w:hAnsi="Times New Roman"/>
          <w:sz w:val="18"/>
          <w:szCs w:val="18"/>
          <w:color w:val="auto"/>
        </w:rPr>
      </w:pPr>
    </w:p>
    <w:p>
      <w:pPr>
        <w:ind w:left="1080" w:right="200" w:hanging="532"/>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a registration statement on Form S-8 relating to shares of common stock or any security convertible into or exercisable or exchangeable for common stock granted (x) pursuant to our benefit plans, which are described in the registration statement of which this prospectus supplement forms a part, or (y) pursuant to inducement grants within the meaning of Nasdaq Listing Rule 5635(c)(4);</w:t>
      </w:r>
    </w:p>
    <w:p>
      <w:pPr>
        <w:spacing w:after="0" w:line="81" w:lineRule="exact"/>
        <w:rPr>
          <w:rFonts w:ascii="Times New Roman" w:cs="Times New Roman" w:eastAsia="Times New Roman" w:hAnsi="Times New Roman"/>
          <w:sz w:val="18"/>
          <w:szCs w:val="18"/>
          <w:color w:val="auto"/>
        </w:rPr>
      </w:pPr>
    </w:p>
    <w:p>
      <w:pPr>
        <w:jc w:val="both"/>
        <w:ind w:left="1080" w:right="300" w:hanging="532"/>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common stock in connection with sales under the Sales Agreement, provided no sales shall be made under the Sales Agreement until the earlier of (i) the exercise in full by the underwriters of their option to purchase additional shares of common stock or (ii) 30 days after the date of the underwriting agreement; or</w:t>
      </w:r>
    </w:p>
    <w:p>
      <w:pPr>
        <w:spacing w:after="0" w:line="81"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a shelf registration statement on Form S-3 relating to shares of common stock or any security convertible into or exercisable or exchangeable for common stock, including a prospectus with respect to the Sales Agreement.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Making, Stabilization and Other Transactions</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 Representative may make a market in the common stock as permitted by applicable laws and regulations. However, the Representative is not obligated to do so, and the Representative may discontinue any market-making activities at any time without notice in its sole discretion. Accordingly, no assurance can be given as to the liquidity of the trading market for the common stock, that you will be able to sell any of the common stock held by you at a particular time or that the prices that you receive when you sell will be favorable.</w:t>
      </w:r>
    </w:p>
    <w:p>
      <w:pPr>
        <w:spacing w:after="0" w:line="180"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The underwriters have advised us that they, pursuant to Regulation M under the Exchange Act,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w:t>
      </w:r>
    </w:p>
    <w:p>
      <w:pPr>
        <w:spacing w:after="0" w:line="18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“Covered” short sales are sales made in an amount not greater than the underwriters’ option to purchase additional shares of our common stock in this offering. The underwriters may close out any covered short position by either exercising their option to purchase additional shares of our common stock or purchasing shares of our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183"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“Naked” short sales are sales in excess of the option to purchase additional shares of our common stock. The underwriters must close out any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w:t>
      </w:r>
    </w:p>
    <w:p>
      <w:pPr>
        <w:spacing w:after="0" w:line="180"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common stock originally sold by such syndicate member are purchased in a syndicate covering transaction and therefore have not been effectively placed by such syndicate member.</w:t>
      </w:r>
    </w:p>
    <w:p>
      <w:pPr>
        <w:spacing w:after="0" w:line="187"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may end any of these activities at any time. These transactions may be effected on Nasdaq in the over-the-counter market or otherwise.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Passive Market Making</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underwriters may also engage in passive market making transactions in our common stock on Nasdaq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Passive market making may cause the price of our common stock to be higher than the price that otherwise would exist in the open market in the absence of those transactions. The underwriters are not required to engage in passive market making and, if commenced, may end passive market making activities at any time.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21"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A prospectus in electronic format may be made available by e-mail or on the web sites or through online services maintained by one or more of the underwriters, selling group members (if any) or their affiliates. The underwriters may agree with us to allocate a specific number of shares of common stock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supplement, has not been approved and/or endorsed by us or the underwriters and should not be relied upon by investors.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Activities and Relationships</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underwriters and certain of their respective affiliates are full service financial institutions engaged in a wide range of activities for their own accounts and the accounts of customers, which may include, among other things, corporate finance, mergers and acquisitions, merchant banking, equity and fixed income sales, trading and research, derivatives, foreign exchange, futures, asset management, custody, clearance and securities lending. The underwriters and certain of their affiliates have, from time to time, performed, and may in the future perform, various investment banking and financial advisory services for us and our affiliates, for which they received or will receive customary fees and expenses.</w:t>
      </w:r>
    </w:p>
    <w:p>
      <w:pPr>
        <w:spacing w:after="0" w:line="183"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its business, the underwriters and their respective affiliates may, directly or indirectly, hold long or short positions, trade and otherwise conduct such activities in or with respect to debt or equity securities and/or bank debt of, and/or derivative products.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 Additionally, the Representative is a party to the Sales Agreement.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00"/>
          </w:cols>
          <w:pgMar w:left="320" w:top="455"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have granted the Representative a right of first refusal, for a period of 12 months from the closing of this offering, to act as a lead underwriter or in a similar capacity and receive a percentage of the aggregate gross spread or fees in connection with a subsequent equity financing.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Stamp Taxes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If you purchase shares of common stock offered in this prospectus supplement, you may be required to pay stamp taxes and other charges under the laws and practices of the country of purchase, in addition to the offering price listed on the cover page of this prospectus supplement.</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TO INVESTORS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This prospectus supplement constitutes an “exempt offering document” as defined in and for the purposes of applicable Canadian securities laws. No prospectus has been filed with any securities commission or similar regulatory authority in Canada in connection with the offer and sale of the securities. No securities commission or similar regulatory authority in Canada has reviewed or in any way passed upon this prospectus supplement or on the merits of the securities and any representation to the contrary is an offence.</w:t>
      </w:r>
    </w:p>
    <w:p>
      <w:pPr>
        <w:spacing w:after="0" w:line="176" w:lineRule="exact"/>
        <w:rPr>
          <w:sz w:val="20"/>
          <w:szCs w:val="20"/>
          <w:color w:val="auto"/>
        </w:rPr>
      </w:pPr>
    </w:p>
    <w:p>
      <w:pPr>
        <w:ind w:left="120"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Canadian investors are advised that this prospectus supplement has been prepared in reliance on section 3A.3 of National Instrument 33-105 </w:t>
      </w:r>
      <w:r>
        <w:rPr>
          <w:rFonts w:ascii="Times New Roman" w:cs="Times New Roman" w:eastAsia="Times New Roman" w:hAnsi="Times New Roman"/>
          <w:sz w:val="18"/>
          <w:szCs w:val="18"/>
          <w:b w:val="1"/>
          <w:bCs w:val="1"/>
          <w:i w:val="1"/>
          <w:iCs w:val="1"/>
          <w:color w:val="auto"/>
        </w:rPr>
        <w:t xml:space="preserve">Underwriting Conflicts </w:t>
      </w:r>
      <w:r>
        <w:rPr>
          <w:rFonts w:ascii="Times New Roman" w:cs="Times New Roman" w:eastAsia="Times New Roman" w:hAnsi="Times New Roman"/>
          <w:sz w:val="18"/>
          <w:szCs w:val="18"/>
          <w:b w:val="1"/>
          <w:bCs w:val="1"/>
          <w:color w:val="auto"/>
        </w:rPr>
        <w:t>(“NI 33-105”). Pursuant to section 3A.3 of NI 33-105, this prospectus supplement is exempt from the requirement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the issuer and the underwriter(s) provide investors with certain conflicts of interest disclosure pertaining to “connected issuer” and/or “related issuer” relationships that may exist between the issuer and the underwriter(s) as would otherwise be required pursuant to subsection 2.1(1) of NI 33-105.</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Resale Restrictions</w:t>
      </w:r>
    </w:p>
    <w:p>
      <w:pPr>
        <w:spacing w:after="0" w:line="121" w:lineRule="exact"/>
        <w:rPr>
          <w:sz w:val="20"/>
          <w:szCs w:val="20"/>
          <w:color w:val="auto"/>
        </w:rPr>
      </w:pPr>
    </w:p>
    <w:p>
      <w:pPr>
        <w:ind w:left="120" w:right="220"/>
        <w:spacing w:after="0" w:line="255" w:lineRule="auto"/>
        <w:rPr>
          <w:sz w:val="20"/>
          <w:szCs w:val="20"/>
          <w:color w:val="auto"/>
        </w:rPr>
      </w:pPr>
      <w:r>
        <w:rPr>
          <w:rFonts w:ascii="Times New Roman" w:cs="Times New Roman" w:eastAsia="Times New Roman" w:hAnsi="Times New Roman"/>
          <w:sz w:val="18"/>
          <w:szCs w:val="18"/>
          <w:color w:val="auto"/>
        </w:rPr>
        <w:t>The offer and sale of the securities in Canada is being made on a private placement basis only and is exempt from the requirement that the issuer prepares and files a prospectus under applicable Canadian securities laws. Any resale of the securities acquired by a Canadian investor in this offering must be made in accordance with applicable Canadian securities laws, which may vary depending on the relevant jurisdiction, and which may require resales to be made in accordance with Canadian prospectus requirements, pursuant to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securities outside of Canada.</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Representations of Purchasers</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 xml:space="preserve">Each Canadian investor who purchases the securities will be deemed to have represented to the issuer and the underwriter(s) that the investor (i) is purchasing the securities as principal, or is deemed to be purchasing as principal in accordance with applicable Canadian securities laws, for investment only and not with a view to resale or redistribution; (ii) is an “accredited investor” as such term is defined in section 1.1 of National Instrument 45-106 </w:t>
      </w:r>
      <w:r>
        <w:rPr>
          <w:rFonts w:ascii="Times New Roman" w:cs="Times New Roman" w:eastAsia="Times New Roman" w:hAnsi="Times New Roman"/>
          <w:sz w:val="18"/>
          <w:szCs w:val="18"/>
          <w:i w:val="1"/>
          <w:iCs w:val="1"/>
          <w:color w:val="auto"/>
        </w:rPr>
        <w:t xml:space="preserve">Prospectus Exemptions </w:t>
      </w:r>
      <w:r>
        <w:rPr>
          <w:rFonts w:ascii="Times New Roman" w:cs="Times New Roman" w:eastAsia="Times New Roman" w:hAnsi="Times New Roman"/>
          <w:sz w:val="18"/>
          <w:szCs w:val="18"/>
          <w:color w:val="auto"/>
        </w:rPr>
        <w:t>(“NI 45-106”) or, in Ontario, as such term is defined in section 73.3(1) of the</w:t>
      </w:r>
      <w:r>
        <w:rPr>
          <w:rFonts w:ascii="Times New Roman" w:cs="Times New Roman" w:eastAsia="Times New Roman" w:hAnsi="Times New Roman"/>
          <w:sz w:val="18"/>
          <w:szCs w:val="18"/>
          <w:i w:val="1"/>
          <w:iCs w:val="1"/>
          <w:color w:val="auto"/>
        </w:rPr>
        <w:t xml:space="preserve"> Securities Act </w:t>
      </w:r>
      <w:r>
        <w:rPr>
          <w:rFonts w:ascii="Times New Roman" w:cs="Times New Roman" w:eastAsia="Times New Roman" w:hAnsi="Times New Roman"/>
          <w:sz w:val="18"/>
          <w:szCs w:val="18"/>
          <w:color w:val="auto"/>
        </w:rPr>
        <w:t>(Ontario); and (iii) is a “permitted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client” as such term is defined in section 1.1 of National Instrument 31-103 </w:t>
      </w:r>
      <w:r>
        <w:rPr>
          <w:rFonts w:ascii="Times New Roman" w:cs="Times New Roman" w:eastAsia="Times New Roman" w:hAnsi="Times New Roman"/>
          <w:sz w:val="18"/>
          <w:szCs w:val="18"/>
          <w:i w:val="1"/>
          <w:iCs w:val="1"/>
          <w:color w:val="auto"/>
        </w:rPr>
        <w:t>Registration Requirements, Exemptions and Ongoing Registrant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Obligations</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and Eligibility for Investment</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Any discussion of taxation and related matters contained in this prospectus supplement does not purport to be a comprehensive description of all of the tax considerations that may be relevant to a Canadian investor when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deciding to purchase the securities and, in particular, does not address any Canadian tax considerations. No representation or warranty is hereby made as to the tax consequences to a resident, or deemed resident, of Canada of an investment in the securities or with respect to the eligibility of the securities for investment by such investor under relevant Canadian federal and provincial legislation and regulations.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Rights of Action for Damages or Rescission</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Securities legislation in certain of the Canadian jurisdictions provides certain purchasers of securities pursuant to an offering memorandum (such as this prospectus supplement), including where the distribution involves an “eligible foreign security” as such term is defined in Ontario Securities Commission Rule 45-501 </w:t>
      </w:r>
      <w:r>
        <w:rPr>
          <w:rFonts w:ascii="Times New Roman" w:cs="Times New Roman" w:eastAsia="Times New Roman" w:hAnsi="Times New Roman"/>
          <w:sz w:val="18"/>
          <w:szCs w:val="18"/>
          <w:i w:val="1"/>
          <w:iCs w:val="1"/>
          <w:color w:val="auto"/>
        </w:rPr>
        <w:t>Ontario Prospectus and Registration Exemptions</w:t>
      </w:r>
      <w:r>
        <w:rPr>
          <w:rFonts w:ascii="Times New Roman" w:cs="Times New Roman" w:eastAsia="Times New Roman" w:hAnsi="Times New Roman"/>
          <w:sz w:val="18"/>
          <w:szCs w:val="18"/>
          <w:color w:val="auto"/>
        </w:rPr>
        <w:t xml:space="preserve"> and in Multilateral Instrument 45-107 </w:t>
      </w:r>
      <w:r>
        <w:rPr>
          <w:rFonts w:ascii="Times New Roman" w:cs="Times New Roman" w:eastAsia="Times New Roman" w:hAnsi="Times New Roman"/>
          <w:sz w:val="18"/>
          <w:szCs w:val="18"/>
          <w:i w:val="1"/>
          <w:iCs w:val="1"/>
          <w:color w:val="auto"/>
        </w:rPr>
        <w:t>Listing Representation and Statutory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Rights of Action Disclosure Exemptions</w:t>
      </w:r>
      <w:r>
        <w:rPr>
          <w:rFonts w:ascii="Times New Roman" w:cs="Times New Roman" w:eastAsia="Times New Roman" w:hAnsi="Times New Roman"/>
          <w:sz w:val="18"/>
          <w:szCs w:val="18"/>
          <w:color w:val="auto"/>
        </w:rPr>
        <w:t>, as applicable, with a remedy for damages or rescission, or both, in addition to any other rights they may have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Language of Documents</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 xml:space="preserve">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w:t>
      </w:r>
      <w:r>
        <w:rPr>
          <w:rFonts w:ascii="Times New Roman" w:cs="Times New Roman" w:eastAsia="Times New Roman" w:hAnsi="Times New Roman"/>
          <w:sz w:val="18"/>
          <w:szCs w:val="18"/>
          <w:i w:val="1"/>
          <w:iCs w:val="1"/>
          <w:color w:val="auto"/>
        </w:rPr>
        <w:t>Par la réception de ce document, chaque investisseur Canadien confirme par les présentes qu’il a expressément exigé que tous 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documents faisant foi ou se rapportant de quelque manière que ce soit à la vente des valeurs mobilières décrites aux présentes (incluant, pour plus de certitude, toute confirmation d’achat ou tout avis) soient rédigés en anglais seulement</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This document does not constitute a prospectus, product disclosure statement or other disclosure document under the Australia’s Corporations Act 2001 (Cth) (the “Corporations Act”) of Australia. This document has not been lodged with the Australian Securities &amp; Investments Commission and is only directed to the categories of exempt persons set out below. Accordingly, if you receive this document in Australia:</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confirm and warrant that you are either:</w:t>
      </w:r>
    </w:p>
    <w:p>
      <w:pPr>
        <w:spacing w:after="0" w:line="131"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“sophisticated investor” under section 708(8)(a) or (b) of the Corporations Act;</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“professional investor” within the meaning of section 708(11)(a) or (b) of the Corporations Act.</w:t>
      </w:r>
    </w:p>
    <w:p>
      <w:pPr>
        <w:spacing w:after="0" w:line="225"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To the extent that you are unable to confirm or warrant that you are an exempt sophisticated investor or professional investor under the Corporations Act any offer made to you under this document is void and incapable of acceptance.</w:t>
      </w:r>
    </w:p>
    <w:p>
      <w:pPr>
        <w:spacing w:after="0" w:line="162"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You warrant and agree that you will not offer any of the shares issued to you pursuant to this document for resale in Australia within 12 months of those securities being issued unless any such resale offer is exempt from the requirement to issue a disclosure document under section 708 of the Corporations Act.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European Economic Area</w:t>
      </w:r>
    </w:p>
    <w:p>
      <w:pPr>
        <w:spacing w:after="0" w:line="121"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In relation to each member state of the European Economic Area (each a “Member State”), no securities have been offered or will be offered pursuant to the offer described herein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the securities may be offered to the public in that Member State at any time:</w:t>
      </w:r>
    </w:p>
    <w:p>
      <w:pPr>
        <w:spacing w:after="0" w:line="164" w:lineRule="exact"/>
        <w:rPr>
          <w:sz w:val="20"/>
          <w:szCs w:val="20"/>
          <w:color w:val="auto"/>
        </w:rPr>
      </w:pPr>
    </w:p>
    <w:p>
      <w:pPr>
        <w:ind w:left="780" w:hanging="224"/>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225" w:lineRule="exact"/>
        <w:rPr>
          <w:rFonts w:ascii="Times New Roman" w:cs="Times New Roman" w:eastAsia="Times New Roman" w:hAnsi="Times New Roman"/>
          <w:sz w:val="18"/>
          <w:szCs w:val="18"/>
          <w:color w:val="auto"/>
        </w:rPr>
      </w:pPr>
    </w:p>
    <w:p>
      <w:pPr>
        <w:ind w:left="120" w:right="220" w:firstLine="436"/>
        <w:spacing w:after="0" w:line="282" w:lineRule="auto"/>
        <w:tabs>
          <w:tab w:leader="none" w:pos="82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underwriters for any such offer; or</w:t>
      </w:r>
    </w:p>
    <w:p>
      <w:pPr>
        <w:spacing w:after="0" w:line="161" w:lineRule="exact"/>
        <w:rPr>
          <w:rFonts w:ascii="Times New Roman" w:cs="Times New Roman" w:eastAsia="Times New Roman" w:hAnsi="Times New Roman"/>
          <w:sz w:val="18"/>
          <w:szCs w:val="18"/>
          <w:color w:val="auto"/>
        </w:rPr>
      </w:pPr>
    </w:p>
    <w:p>
      <w:pPr>
        <w:ind w:left="880" w:hanging="324"/>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provided that no such offer of securities shall require the issuer or any underwriter to publish a prospectus pursuant to Article 3 of the Prospectus Regulation or supplement a prospectus pursuant to Article 23 of the Prospectus Regulation.</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Each person in a Member State who acquires any securities in the offer or to whom any offer is made will be deemed to have represented, acknowledged and agreed to and with the issuer and the underwriters that it is a qualified investor within the meaning of the Prospectus Regulation.</w:t>
      </w:r>
    </w:p>
    <w:p>
      <w:pPr>
        <w:spacing w:after="0" w:line="162"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In the case of any securities being offered to a financial intermediary as that term is used in Article 5(1) of the Prospectus Regulation, each such financial intermediary will be deemed to have represented, acknowledged and agreed to and with the issuer and the underwriters that the securities acquired by it in the offer have not been acquired on a non-discretionary basis on behalf of, nor have they been acquired with a view to their offer or resale to, persons in circumstances which may give rise to an offer to the public other than their offer or resale in a Member State to qualified investors, in circumstances in which the prior consent of the underwriters has been obtained to each such proposed offer or resale. Neither the issuer nor the underwriters have authorised, nor do they authorise, the making of any offer of securities through any financial intermediary, other than offers made by the underwriters which constitute the final placement of securities contemplated in this document.</w:t>
      </w:r>
    </w:p>
    <w:p>
      <w:pPr>
        <w:spacing w:after="0" w:line="189"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The issuer and the underwriters and their affiliates will rely upon the truth and accuracy of the foregoing representations, acknowledgements and agreements.</w:t>
      </w:r>
    </w:p>
    <w:p>
      <w:pPr>
        <w:spacing w:after="0" w:line="162"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securities in any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Member States, this document is being distributed only to, and is directed only at, persons who are “qualified investors” within the meaning of Article 2(e) of the Prospectus Regulation (“Qualified Investors”). This document must not be acted on or relied on in any Member State by persons who are not Qualified Investors. Any investment or investment activity to which this document relates is available in any Member State only to Qualified Investors and will be engaged in only with such persons.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121" w:lineRule="exact"/>
        <w:rPr>
          <w:sz w:val="20"/>
          <w:szCs w:val="20"/>
          <w:color w:val="auto"/>
        </w:rPr>
      </w:pPr>
    </w:p>
    <w:p>
      <w:pPr>
        <w:ind w:left="120" w:right="60"/>
        <w:spacing w:after="0" w:line="276" w:lineRule="auto"/>
        <w:rPr>
          <w:sz w:val="20"/>
          <w:szCs w:val="20"/>
          <w:color w:val="auto"/>
        </w:rPr>
      </w:pPr>
      <w:r>
        <w:rPr>
          <w:rFonts w:ascii="Times New Roman" w:cs="Times New Roman" w:eastAsia="Times New Roman" w:hAnsi="Times New Roman"/>
          <w:sz w:val="17"/>
          <w:szCs w:val="17"/>
          <w:color w:val="auto"/>
        </w:rPr>
        <w:t>No securities have been, may be or will be offered or sold in Hong Kong, by means of any document, other than to persons whose ordinary business is to buy or sell shares or debentures, whether as principal or agent; or to “professional investors” as defined in the Securities and Futures Ordinance (Cap.</w:t>
      </w:r>
    </w:p>
    <w:p>
      <w:pPr>
        <w:spacing w:after="0" w:line="1" w:lineRule="exact"/>
        <w:rPr>
          <w:sz w:val="20"/>
          <w:szCs w:val="20"/>
          <w:color w:val="auto"/>
        </w:rPr>
      </w:pPr>
    </w:p>
    <w:p>
      <w:pPr>
        <w:ind w:left="5460" w:right="1300" w:hanging="5344"/>
        <w:spacing w:after="0" w:line="433" w:lineRule="auto"/>
        <w:tabs>
          <w:tab w:leader="none" w:pos="49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Hong Kong (the “SFO”) and any rules made thereunder; or in other circumstances which do not result in the document being a S-28</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“prospectus” as defined in the Companies (Winding UP and Miscellaneous Provisions) Ordinance (Cap. 32) of Hong Kong (the “C(WUMP)O”), or which do not constitute an offer to the public within the meaning of the C(WUMP)O. No document, invitation or advertisement relating to the securities has been issued or may be issued or will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thereunder.</w:t>
      </w:r>
    </w:p>
    <w:p>
      <w:pPr>
        <w:spacing w:after="0" w:line="187"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This document has not been and will not be registered with the Registrar of Companies in Hong Kong. Accordingly, this document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document and the relevant offering documents and that he is not acquiring, and has not been offered any securities in circumstances that contravene any such restrictions.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Japan</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offering has not been and will not be registered under the Financial Instruments and Exchange Act of Japan (Act No. 25 of 1948 of Japan, as amended) (the “FIEA”), and the Initial Purchaser will not offer or sell any securities, directly or indirectly, in Japan or to, or for the benefit of, any resident of Japan (which term as used herein means, unless otherwise provided herein,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FIEA and any other applicable laws, regulations and ministerial guidelines of Japan.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 xml:space="preserve">This document has not been and will not be lodged or registered with the Monetary Authority of Singapore. Accordingly, this document and any other document or material in connection with the offer or sale, or the invitation for subscription or purchase of the securities may not be issued, circulated or distributed, nor may the securities be offered or sold, or be made the subject of an invitation for subscription or purchase, whether directly or indirectly, to any person in Singapore other than (i) to an institutional investor under Section 274 of the Securities and Futures Act, Chapter 289 of Singapore (the “SFA”), (ii) to a relevant person as defined under Section 275(2) of the SFA, or any person pursuant to Section 275(1A) of the SFA, and in accordance with the conditions, specified in Section 275 of the SFA and where (where applicable) Regulation 3 of the Securities and Futures (Classes of Investors) Regulations 2018 , or (iii) otherwise pursuant to, and in accordance with the conditions of any other applicable provision of the SFA. </w:t>
      </w:r>
      <w:r>
        <w:rPr>
          <w:rFonts w:ascii="Times New Roman" w:cs="Times New Roman" w:eastAsia="Times New Roman" w:hAnsi="Times New Roman"/>
          <w:sz w:val="18"/>
          <w:szCs w:val="18"/>
          <w:b w:val="1"/>
          <w:bCs w:val="1"/>
          <w:color w:val="auto"/>
        </w:rPr>
        <w:t>In the event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you are not an investor falling within any of the categories set out above, please return this document immediately. You may not forward or circulate this document to any other person in Singapore.</w:t>
      </w:r>
    </w:p>
    <w:p>
      <w:pPr>
        <w:spacing w:after="0" w:line="188"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No offer is made to you with a view to the securities being subsequently offered for sale to any other party. There are on-sale restrictions that may be applicable to investors who acquire securities. As such, investors are advised to acquaint themselves with the provisions of the SFA relating to resale restrictions and comply accordingly.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Where the securities are subscribed or purchased under Section 275 of the SFA by a relevant person which is:</w:t>
      </w:r>
    </w:p>
    <w:p>
      <w:pPr>
        <w:spacing w:after="0" w:line="131" w:lineRule="exact"/>
        <w:rPr>
          <w:sz w:val="20"/>
          <w:szCs w:val="20"/>
          <w:color w:val="auto"/>
        </w:rPr>
      </w:pPr>
    </w:p>
    <w:p>
      <w:pPr>
        <w:ind w:left="1080" w:right="66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under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is an accredited investor,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080"/>
          </w:cols>
          <w:pgMar w:left="320" w:top="455" w:right="4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transferable within six months after that corporation or that trust has acquired the securities under Section 275 of the SFA except:</w:t>
      </w:r>
    </w:p>
    <w:p>
      <w:pPr>
        <w:spacing w:after="0" w:line="81" w:lineRule="exact"/>
        <w:rPr>
          <w:sz w:val="20"/>
          <w:szCs w:val="20"/>
          <w:color w:val="auto"/>
        </w:rPr>
      </w:pPr>
    </w:p>
    <w:p>
      <w:pPr>
        <w:ind w:left="1080" w:right="3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under Section 274 of the SFA or to a relevant person defined in Section 275(2) of the SFA, or to any person pursuant to an offer referred to in Section 275(1A) or Section 276(4)(i)(B) of the SFA;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given for the transfer;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 of Singapore.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121"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The securities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83"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issuer or the securities have been or will be filed with or approved by any Swiss regulatory authority. In particular, this document will not be filed with, and the offer of securities will not be supervised by, the Swiss Financial Market Supervisory Authority FINMA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Israel</w:t>
      </w:r>
    </w:p>
    <w:p>
      <w:pPr>
        <w:spacing w:after="0" w:line="12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This document does not constitute a prospectus under the Israeli Securities Law, 5728-1968 (the “Securities Law”), and has not been filed with or approved by the Israel Securities Authority. In the State of Israel, this document is being distributed only to, and is directed only at, and any offer of the shares is directed only at, investors listed in the first addendum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will be required to submit written confirmation that they fall within the scope of the Addendum, are aware of the meaning of same and agree to it.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12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In relation to the United Kingdom, no securities have been offered or will be offered pursuant to the offer described herein to the public in the United Kingdom prior to the publication of a prospectus in relation to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securities which has been approved by the UK Financial Conduct Authority, except that the securities may be offered to the public in the United Kingdom at any time:</w:t>
      </w:r>
    </w:p>
    <w:p>
      <w:pPr>
        <w:spacing w:after="0" w:line="162" w:lineRule="exact"/>
        <w:rPr>
          <w:sz w:val="20"/>
          <w:szCs w:val="20"/>
          <w:color w:val="auto"/>
        </w:rPr>
      </w:pPr>
    </w:p>
    <w:p>
      <w:pPr>
        <w:ind w:left="780" w:hanging="224"/>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225" w:lineRule="exact"/>
        <w:rPr>
          <w:rFonts w:ascii="Times New Roman" w:cs="Times New Roman" w:eastAsia="Times New Roman" w:hAnsi="Times New Roman"/>
          <w:sz w:val="18"/>
          <w:szCs w:val="18"/>
          <w:color w:val="auto"/>
        </w:rPr>
      </w:pPr>
    </w:p>
    <w:p>
      <w:pPr>
        <w:ind w:left="120" w:right="80" w:firstLine="436"/>
        <w:spacing w:after="0" w:line="282" w:lineRule="auto"/>
        <w:tabs>
          <w:tab w:leader="none" w:pos="82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underwriters for any such offer; or</w:t>
      </w:r>
    </w:p>
    <w:p>
      <w:pPr>
        <w:spacing w:after="0" w:line="161" w:lineRule="exact"/>
        <w:rPr>
          <w:rFonts w:ascii="Times New Roman" w:cs="Times New Roman" w:eastAsia="Times New Roman" w:hAnsi="Times New Roman"/>
          <w:sz w:val="18"/>
          <w:szCs w:val="18"/>
          <w:color w:val="auto"/>
        </w:rPr>
      </w:pPr>
    </w:p>
    <w:p>
      <w:pPr>
        <w:ind w:left="880" w:hanging="324"/>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(as amended) (the “FSMA”),</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provided that no such offer of the securities shall require the issuer or any underwriter to publish a prospectus pursuant to Section 85 of the FSMA or supplement a prospectus pursuant to Article 23 of the UK Prospectus Regulation.</w:t>
      </w:r>
    </w:p>
    <w:p>
      <w:pPr>
        <w:spacing w:after="0" w:line="162" w:lineRule="exact"/>
        <w:rPr>
          <w:sz w:val="20"/>
          <w:szCs w:val="20"/>
          <w:color w:val="auto"/>
        </w:rPr>
      </w:pPr>
    </w:p>
    <w:p>
      <w:pPr>
        <w:ind w:left="120" w:right="40"/>
        <w:spacing w:after="0" w:line="312" w:lineRule="auto"/>
        <w:rPr>
          <w:sz w:val="20"/>
          <w:szCs w:val="20"/>
          <w:color w:val="auto"/>
        </w:rPr>
      </w:pPr>
      <w:r>
        <w:rPr>
          <w:rFonts w:ascii="Times New Roman" w:cs="Times New Roman" w:eastAsia="Times New Roman" w:hAnsi="Times New Roman"/>
          <w:sz w:val="17"/>
          <w:szCs w:val="17"/>
          <w:color w:val="auto"/>
        </w:rPr>
        <w:t>Each person in the United Kingdom who acquires any securities in the offer or to whom any offer is made will be deemed to have represented, acknowledged and agreed to and with the issuer and the underwriters that it is a qualified investor within the meaning of the UK Prospectus Regulation.</w:t>
      </w:r>
    </w:p>
    <w:p>
      <w:pPr>
        <w:spacing w:after="0" w:line="140"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In the case of any securities being offered to a financial intermediary as that term is used in Article 5(1) of the UK Prospectus Regulation, each such financial intermediary will be deemed to have represented, acknowledged and agreed to and with the issuer and the underwriters that the securities acquired by it in the offer have not been acquired on a non-discretionary basis on behalf of, nor have they been acquired with a view to their offer or resale to, persons in circumstances which may give rise to an offer to the public other than their offer or resale in the United Kingdom to qualified investors, in circumstances in which the prior consent of the underwriters has been obtained to each such proposed offer or resale. Neither the issuer nor the underwriters have authorised, nor do they authorise, the making of any offer of securities through any financial intermediary, other than offers made by the underwriters which constitute the final placement of securities contemplated in this document.</w:t>
      </w:r>
    </w:p>
    <w:p>
      <w:pPr>
        <w:spacing w:after="0" w:line="189"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The issuer and the underwriters and their affiliates will rely upon the truth and accuracy of the foregoing representations, acknowledgements and agreements.</w:t>
      </w:r>
    </w:p>
    <w:p>
      <w:pPr>
        <w:spacing w:after="0" w:line="162"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United Kingdom law by virtue of the European Union (Withdrawal) Act 2018.</w:t>
      </w:r>
    </w:p>
    <w:p>
      <w:pPr>
        <w:spacing w:after="0" w:line="180"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In the United Kingdom, this document is being distributed only to, and is directed only at, persons who are “qualified investors” within the meaning of Article 2(e) of the UK Prospectus Regulation who are also: (i) persons who fall within the definition of “investment professionals” in Article 19(5) of the Financial Services and Markets Act 2000 (Financial Promotion) Order 2005, as amended (the “Order”); (ii) persons falling within Article 49(2) of the Order; or (iii) persons to whom it may otherwise lawfully be communicated (all such persons together being referred to as “relevant persons”). This document must not be acted on or relied on in the United Kingdom by persons who are not relevant persons. Any investment or investment activity to which this document relates is available in the United Kingdom only to relevant persons and will be engaged in only with such persons.</w:t>
      </w:r>
    </w:p>
    <w:p>
      <w:pPr>
        <w:spacing w:after="0" w:line="18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Any invitation or inducement to engage in investment activity (within the meaning of Section 21 of the FSMA) may only be communicated or caused to be communicated in connection with the issue or sale of the securities in circumstances in which Section 21(1) of the FSMA does not apply. All applicable provisions of the FSMA and the Order must be complied with in respect of anything done by any person in relation to the securities in, from or otherwise involving the United Kingdom.</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00"/>
          </w:cols>
          <w:pgMar w:left="320" w:top="455"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Hogan Lovells US LLP. The underwriters are being represented in connection with this offering by Cooley LLP, New York, New York.</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financial statements incorporated in this prospectus supplement by reference to the Annual Report on Form 10-K for the year ended December 31, 2024 have been so incorporated in reliance on the report (which contains an explanatory paragraph relating to the Company’s ability to continue as a going concern as described in Note 1 to the financial statements) of PricewaterhouseCoopers LLP, an independent registered public accounting firm, given on the authority of said firm as experts in auditing and accounting.</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With respect to the statements contained in this prospectus supplement regarding the contents of any agreement or any other document, in each instance, the statement is qualified in all respects by the complete text of the agreement or document, a copy of which has been filed as an exhibit to, or incorporated by reference into, the registration statement.</w:t>
      </w:r>
    </w:p>
    <w:p>
      <w:pPr>
        <w:spacing w:after="0" w:line="176" w:lineRule="exact"/>
        <w:rPr>
          <w:sz w:val="20"/>
          <w:szCs w:val="20"/>
          <w:color w:val="auto"/>
        </w:rPr>
      </w:pPr>
    </w:p>
    <w:p>
      <w:pPr>
        <w:ind w:left="120" w:right="460"/>
        <w:spacing w:after="0" w:line="312" w:lineRule="auto"/>
        <w:rPr>
          <w:sz w:val="20"/>
          <w:szCs w:val="20"/>
          <w:color w:val="auto"/>
        </w:rPr>
      </w:pPr>
      <w:r>
        <w:rPr>
          <w:rFonts w:ascii="Times New Roman" w:cs="Times New Roman" w:eastAsia="Times New Roman" w:hAnsi="Times New Roman"/>
          <w:sz w:val="17"/>
          <w:szCs w:val="17"/>
          <w:color w:val="auto"/>
        </w:rPr>
        <w:t>Because we are subject to the information and reporting requirements of the Exchange Act, we file annual, quarterly and current reports, proxy statements and other information with the SEC. Our SEC filings are available to the public over the Internet at the SEC’s website at www.sec.gov.</w:t>
      </w:r>
    </w:p>
    <w:p>
      <w:pPr>
        <w:spacing w:after="0" w:line="140" w:lineRule="exact"/>
        <w:rPr>
          <w:sz w:val="20"/>
          <w:szCs w:val="20"/>
          <w:color w:val="auto"/>
        </w:rPr>
      </w:pPr>
    </w:p>
    <w:p>
      <w:pPr>
        <w:ind w:left="120" w:right="40"/>
        <w:spacing w:after="0" w:line="281" w:lineRule="auto"/>
        <w:rPr>
          <w:sz w:val="20"/>
          <w:szCs w:val="20"/>
          <w:color w:val="auto"/>
        </w:rPr>
      </w:pPr>
      <w:r>
        <w:rPr>
          <w:rFonts w:ascii="Times New Roman" w:cs="Times New Roman" w:eastAsia="Times New Roman" w:hAnsi="Times New Roman"/>
          <w:sz w:val="17"/>
          <w:szCs w:val="17"/>
          <w:color w:val="auto"/>
        </w:rPr>
        <w:t>We make available free of charge on our website our annual, quarterly and current reports, including amendments to such reports, as soon as reasonably practicable after we electronically file such material with, or furnish such material to, the SEC. Please note, however, that we have not incorporated any other information by reference from our website, other than the documents listed below under the heading “Incorporation of Certain Information by Reference.” In addition, you may request copies of these filings at no cost by writing or telephoning us at the following address or telephone number:</w:t>
      </w:r>
    </w:p>
    <w:p>
      <w:pPr>
        <w:spacing w:after="0" w:line="16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Invivyd, Inc.</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1601 Trapelo Road, Suite 178</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Waltham, Massachusetts 02451</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Telephone: (781) 819-0080</w:t>
      </w:r>
    </w:p>
    <w:p>
      <w:pPr>
        <w:spacing w:after="0" w:line="200" w:lineRule="exact"/>
        <w:rPr>
          <w:sz w:val="20"/>
          <w:szCs w:val="20"/>
          <w:color w:val="auto"/>
        </w:rPr>
      </w:pPr>
    </w:p>
    <w:p>
      <w:pPr>
        <w:spacing w:after="0" w:line="2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of which this prospectus supplement forms a part. The rules and regulations of the SEC allow us to omit from this prospectus supplement certain information included in the registration statement. For further information about us and the securities offered under this prospectus supplement, you should refer to the registration statement and the exhibits and schedules filed with the registration statement. The SEC allows us to “incorporate by reference” information into this prospectus supplement. This means that we can disclose important information to you by referring you to documents we have filed separately with the SEC, without actually including the specific information in this prospectus supplement. The information incorporated by reference is considered to be a part of this prospectus supplement, and information in documents that we file later with the SEC will automatically update and supersede information contained in documents filed earlier with the SEC or contained in this prospectus supplement. We incorporate by reference in this prospectus supplement the documents listed below and any future filings that we may make with the SEC under Sections 13(a), 13(c), 14, or 15(d) of the Exchange Act prior to the termination of the offering under this prospectus supplement; provided, however, that we are not</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incorporating, in each case, any documents or information deemed to have been furnished and not filed, including any information that we disclose under Items 2.02 or 7.01 of any Current Report on Form 8-K, in accordance with SEC rules:</w:t>
      </w:r>
    </w:p>
    <w:p>
      <w:pPr>
        <w:spacing w:after="0" w:line="67" w:lineRule="exact"/>
        <w:rPr>
          <w:sz w:val="20"/>
          <w:szCs w:val="20"/>
          <w:color w:val="auto"/>
        </w:rPr>
      </w:pPr>
    </w:p>
    <w:p>
      <w:pPr>
        <w:ind w:left="108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2024, filed with the SEC on March 20, 2025 (including those portions our Definitive Proxy Statement on </w:t>
      </w:r>
      <w:hyperlink r:id="rId51">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7, 2025, that are incorporated by reference into Part III of such Annual Report on Form 10-K);</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quarterly periods ended </w:t>
      </w:r>
      <w:hyperlink r:id="rId52">
        <w:r>
          <w:rPr>
            <w:rFonts w:ascii="Times New Roman" w:cs="Times New Roman" w:eastAsia="Times New Roman" w:hAnsi="Times New Roman"/>
            <w:sz w:val="18"/>
            <w:szCs w:val="18"/>
            <w:u w:val="single" w:color="auto"/>
            <w:color w:val="0000EE"/>
          </w:rPr>
          <w:t>March 31,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3">
        <w:r>
          <w:rPr>
            <w:rFonts w:ascii="Times New Roman" w:cs="Times New Roman" w:eastAsia="Times New Roman" w:hAnsi="Times New Roman"/>
            <w:sz w:val="18"/>
            <w:szCs w:val="18"/>
            <w:u w:val="single" w:color="auto"/>
            <w:color w:val="0000EE"/>
          </w:rPr>
          <w:t>June 30, 2025</w:t>
        </w:r>
      </w:hyperlink>
      <w:r>
        <w:rPr>
          <w:rFonts w:ascii="Times New Roman" w:cs="Times New Roman" w:eastAsia="Times New Roman" w:hAnsi="Times New Roman"/>
          <w:sz w:val="18"/>
          <w:szCs w:val="18"/>
          <w:color w:val="auto"/>
        </w:rPr>
        <w:t>, filed with the SEC on May 15, 2025 and August 14, 2025, respectively;</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23"/>
        </w:numPr>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auto"/>
          </w:rPr>
          <w:t xml:space="preserve">our Current Reports on Form 8-K (other than the portions thereof that are furnished and not filed) as filed with the SEC on </w:t>
        </w:r>
        <w:r>
          <w:rPr>
            <w:rFonts w:ascii="Times New Roman" w:cs="Times New Roman" w:eastAsia="Times New Roman" w:hAnsi="Times New Roman"/>
            <w:sz w:val="18"/>
            <w:szCs w:val="18"/>
            <w:u w:val="single" w:color="auto"/>
            <w:color w:val="0000EE"/>
          </w:rPr>
          <w:t>January 10,</w:t>
        </w:r>
      </w:hyperlink>
      <w:r>
        <w:rPr>
          <w:rFonts w:ascii="Times New Roman" w:cs="Times New Roman" w:eastAsia="Times New Roman" w:hAnsi="Times New Roman"/>
          <w:sz w:val="18"/>
          <w:szCs w:val="18"/>
          <w:color w:val="auto"/>
        </w:rPr>
        <w:t xml:space="preserve"> </w:t>
      </w:r>
      <w:hyperlink r:id="rId55">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January 27,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3,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24,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5,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26,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21,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25,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w:t>
        </w:r>
      </w:hyperlink>
    </w:p>
    <w:p>
      <w:pPr>
        <w:ind w:left="1080"/>
        <w:spacing w:after="0"/>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u w:val="single" w:color="auto"/>
            <w:color w:val="0000EE"/>
          </w:rPr>
          <w:t>12, 2025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6">
        <w:r>
          <w:rPr>
            <w:rFonts w:ascii="Times New Roman" w:cs="Times New Roman" w:eastAsia="Times New Roman" w:hAnsi="Times New Roman"/>
            <w:sz w:val="18"/>
            <w:szCs w:val="18"/>
            <w:u w:val="single" w:color="auto"/>
            <w:color w:val="0000EE"/>
          </w:rPr>
          <w:t>May 15, 2025</w:t>
        </w:r>
      </w:hyperlink>
      <w:hyperlink r:id="rId55">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7">
        <w:r>
          <w:rPr>
            <w:rFonts w:ascii="Times New Roman" w:cs="Times New Roman" w:eastAsia="Times New Roman" w:hAnsi="Times New Roman"/>
            <w:sz w:val="18"/>
            <w:szCs w:val="18"/>
            <w:u w:val="single" w:color="auto"/>
            <w:color w:val="0000EE"/>
          </w:rPr>
          <w:t>May 20, 2025</w:t>
        </w:r>
      </w:hyperlink>
      <w:hyperlink r:id="rId55">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8">
        <w:r>
          <w:rPr>
            <w:rFonts w:ascii="Times New Roman" w:cs="Times New Roman" w:eastAsia="Times New Roman" w:hAnsi="Times New Roman"/>
            <w:sz w:val="18"/>
            <w:szCs w:val="18"/>
            <w:u w:val="single" w:color="auto"/>
            <w:color w:val="0000EE"/>
          </w:rPr>
          <w:t>June 26, 2025</w:t>
        </w:r>
      </w:hyperlink>
      <w:hyperlink r:id="rId55">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9">
        <w:r>
          <w:rPr>
            <w:rFonts w:ascii="Times New Roman" w:cs="Times New Roman" w:eastAsia="Times New Roman" w:hAnsi="Times New Roman"/>
            <w:sz w:val="18"/>
            <w:szCs w:val="18"/>
            <w:u w:val="single" w:color="auto"/>
            <w:color w:val="0000EE"/>
          </w:rPr>
          <w:t xml:space="preserve">July 2, 2025 </w:t>
        </w:r>
      </w:hyperlink>
      <w:hyperlink r:id="rId55">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60">
        <w:r>
          <w:rPr>
            <w:rFonts w:ascii="Times New Roman" w:cs="Times New Roman" w:eastAsia="Times New Roman" w:hAnsi="Times New Roman"/>
            <w:sz w:val="18"/>
            <w:szCs w:val="18"/>
            <w:u w:val="single" w:color="auto"/>
            <w:color w:val="0000EE"/>
          </w:rPr>
          <w:t>August 14, 2025</w:t>
        </w:r>
      </w:hyperlink>
      <w:hyperlink r:id="rId55">
        <w:r>
          <w:rPr>
            <w:rFonts w:ascii="Times New Roman" w:cs="Times New Roman" w:eastAsia="Times New Roman" w:hAnsi="Times New Roman"/>
            <w:sz w:val="18"/>
            <w:szCs w:val="18"/>
            <w:color w:val="000000"/>
          </w:rPr>
          <w:t>; and</w:t>
        </w:r>
      </w:hyperlink>
    </w:p>
    <w:p>
      <w:pPr>
        <w:spacing w:after="0" w:line="112" w:lineRule="exact"/>
        <w:rPr>
          <w:rFonts w:ascii="Times New Roman" w:cs="Times New Roman" w:eastAsia="Times New Roman" w:hAnsi="Times New Roman"/>
          <w:sz w:val="18"/>
          <w:szCs w:val="18"/>
          <w:color w:val="0000EE"/>
        </w:rPr>
      </w:pPr>
    </w:p>
    <w:p>
      <w:pPr>
        <w:ind w:left="1080" w:right="60" w:hanging="424"/>
        <w:spacing w:after="0" w:line="266" w:lineRule="auto"/>
        <w:tabs>
          <w:tab w:leader="none" w:pos="1080" w:val="left"/>
        </w:tabs>
        <w:numPr>
          <w:ilvl w:val="0"/>
          <w:numId w:val="24"/>
        </w:numPr>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auto"/>
          </w:rPr>
          <w:t xml:space="preserve">the description of our common stock contained in our Registration Statement on </w:t>
        </w:r>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color w:val="auto"/>
          </w:rPr>
          <w:t xml:space="preserve"> filed on August 3, 2021, as updated by </w:t>
        </w:r>
        <w:r>
          <w:rPr>
            <w:rFonts w:ascii="Times New Roman" w:cs="Times New Roman" w:eastAsia="Times New Roman" w:hAnsi="Times New Roman"/>
            <w:sz w:val="18"/>
            <w:szCs w:val="18"/>
            <w:u w:val="single" w:color="auto"/>
            <w:color w:val="0000EE"/>
          </w:rPr>
          <w:t>Exhibit</w:t>
        </w:r>
      </w:hyperlink>
      <w:r>
        <w:rPr>
          <w:rFonts w:ascii="Times New Roman" w:cs="Times New Roman" w:eastAsia="Times New Roman" w:hAnsi="Times New Roman"/>
          <w:sz w:val="18"/>
          <w:szCs w:val="18"/>
          <w:color w:val="auto"/>
        </w:rPr>
        <w:t xml:space="preserve"> </w:t>
      </w:r>
      <w:hyperlink r:id="rId61">
        <w:r>
          <w:rPr>
            <w:rFonts w:ascii="Times New Roman" w:cs="Times New Roman" w:eastAsia="Times New Roman" w:hAnsi="Times New Roman"/>
            <w:sz w:val="18"/>
            <w:szCs w:val="18"/>
            <w:u w:val="single" w:color="auto"/>
            <w:color w:val="0000EE"/>
          </w:rPr>
          <w:t>4.2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to our Annual Report on Form 10-K for the fiscal year ended December 31, 2023, including any amendments or reports filed for the</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purpose of updating such description.</w:t>
      </w:r>
    </w:p>
    <w:p>
      <w:pPr>
        <w:spacing w:after="0" w:line="176"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To obtain copies of these filings, see the section entitled “Where You Can Find More Information” on page S-32 of this prospectus supplement.</w:t>
      </w:r>
    </w:p>
    <w:p>
      <w:pPr>
        <w:spacing w:after="0" w:line="158" w:lineRule="exact"/>
        <w:rPr>
          <w:rFonts w:ascii="Times New Roman" w:cs="Times New Roman" w:eastAsia="Times New Roman" w:hAnsi="Times New Roman"/>
          <w:sz w:val="18"/>
          <w:szCs w:val="18"/>
          <w:color w:val="auto"/>
        </w:rPr>
      </w:pPr>
    </w:p>
    <w:p>
      <w:pPr>
        <w:ind w:left="5460"/>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080"/>
          </w:cols>
          <w:pgMar w:left="320" w:top="455"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97155</wp:posOffset>
            </wp:positionV>
            <wp:extent cx="4886325" cy="7200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488632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$400,000,000</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156845</wp:posOffset>
            </wp:positionV>
            <wp:extent cx="1474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We may offer to the public from time to time in one or more series or issuances and on terms that we will determine at the time of the offering:</w:t>
      </w:r>
    </w:p>
    <w:p>
      <w:pPr>
        <w:spacing w:after="0" w:line="140"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our common stock;</w:t>
      </w:r>
    </w:p>
    <w:p>
      <w:pPr>
        <w:spacing w:after="0" w:line="140" w:lineRule="exact"/>
        <w:rPr>
          <w:rFonts w:ascii="Times New Roman" w:cs="Times New Roman" w:eastAsia="Times New Roman" w:hAnsi="Times New Roman"/>
          <w:sz w:val="16"/>
          <w:szCs w:val="16"/>
          <w:color w:val="auto"/>
        </w:rPr>
      </w:pPr>
    </w:p>
    <w:p>
      <w:pPr>
        <w:ind w:left="980" w:hanging="324"/>
        <w:spacing w:after="0"/>
        <w:tabs>
          <w:tab w:leader="none" w:pos="9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our preferred stock;</w:t>
      </w:r>
    </w:p>
    <w:p>
      <w:pPr>
        <w:spacing w:after="0" w:line="140" w:lineRule="exact"/>
        <w:rPr>
          <w:rFonts w:ascii="Times New Roman" w:cs="Times New Roman" w:eastAsia="Times New Roman" w:hAnsi="Times New Roman"/>
          <w:sz w:val="16"/>
          <w:szCs w:val="16"/>
          <w:color w:val="auto"/>
        </w:rPr>
      </w:pPr>
    </w:p>
    <w:p>
      <w:pPr>
        <w:ind w:left="980" w:hanging="324"/>
        <w:spacing w:after="0"/>
        <w:tabs>
          <w:tab w:leader="none" w:pos="9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warrants to purchase shares of our common stock, preferred stock and/or debt securities;</w:t>
      </w:r>
    </w:p>
    <w:p>
      <w:pPr>
        <w:spacing w:after="0" w:line="140" w:lineRule="exact"/>
        <w:rPr>
          <w:rFonts w:ascii="Times New Roman" w:cs="Times New Roman" w:eastAsia="Times New Roman" w:hAnsi="Times New Roman"/>
          <w:sz w:val="16"/>
          <w:szCs w:val="16"/>
          <w:color w:val="auto"/>
        </w:rPr>
      </w:pPr>
    </w:p>
    <w:p>
      <w:pPr>
        <w:ind w:left="980" w:hanging="324"/>
        <w:spacing w:after="0"/>
        <w:tabs>
          <w:tab w:leader="none" w:pos="9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securities consisting of debentures, notes or other evidences of indebtedness;</w:t>
      </w:r>
    </w:p>
    <w:p>
      <w:pPr>
        <w:spacing w:after="0" w:line="140" w:lineRule="exact"/>
        <w:rPr>
          <w:rFonts w:ascii="Times New Roman" w:cs="Times New Roman" w:eastAsia="Times New Roman" w:hAnsi="Times New Roman"/>
          <w:sz w:val="16"/>
          <w:szCs w:val="16"/>
          <w:color w:val="auto"/>
        </w:rPr>
      </w:pPr>
    </w:p>
    <w:p>
      <w:pPr>
        <w:ind w:left="980" w:hanging="324"/>
        <w:spacing w:after="0"/>
        <w:tabs>
          <w:tab w:leader="none" w:pos="9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units consisting of a combination of the foregoing securities; or</w:t>
      </w:r>
    </w:p>
    <w:p>
      <w:pPr>
        <w:spacing w:after="0" w:line="140" w:lineRule="exact"/>
        <w:rPr>
          <w:rFonts w:ascii="Times New Roman" w:cs="Times New Roman" w:eastAsia="Times New Roman" w:hAnsi="Times New Roman"/>
          <w:sz w:val="16"/>
          <w:szCs w:val="16"/>
          <w:color w:val="auto"/>
        </w:rPr>
      </w:pPr>
    </w:p>
    <w:p>
      <w:pPr>
        <w:ind w:left="980" w:hanging="324"/>
        <w:spacing w:after="0"/>
        <w:tabs>
          <w:tab w:leader="none" w:pos="9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combination of these securities.</w:t>
      </w:r>
    </w:p>
    <w:p>
      <w:pPr>
        <w:spacing w:after="0" w:line="1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aggregate initial offering price of all securities sold by us pursuant to this prospectus will not exceed $400,000,000.</w:t>
      </w:r>
    </w:p>
    <w:p>
      <w:pPr>
        <w:spacing w:after="0" w:line="127"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6"/>
          <w:szCs w:val="16"/>
          <w:color w:val="auto"/>
        </w:rPr>
        <w:t>This prospectus provides a general description of the securities that we may offer. Each time that we offer securities under this prospectus, we will provide the specific terms of the securities offered, including the public offering price, in a supplement to this prospectus. Any prospectus supplement may add to, update or change information contained or incorporated by reference in this prospectus.</w:t>
      </w:r>
    </w:p>
    <w:p>
      <w:pPr>
        <w:spacing w:after="0" w:line="69" w:lineRule="exact"/>
        <w:rPr>
          <w:sz w:val="20"/>
          <w:szCs w:val="20"/>
          <w:color w:val="auto"/>
        </w:rPr>
      </w:pPr>
    </w:p>
    <w:p>
      <w:pPr>
        <w:ind w:left="120" w:right="420" w:firstLine="440"/>
        <w:spacing w:after="0" w:line="275" w:lineRule="auto"/>
        <w:rPr>
          <w:sz w:val="20"/>
          <w:szCs w:val="20"/>
          <w:color w:val="auto"/>
        </w:rPr>
      </w:pPr>
      <w:r>
        <w:rPr>
          <w:rFonts w:ascii="Times New Roman" w:cs="Times New Roman" w:eastAsia="Times New Roman" w:hAnsi="Times New Roman"/>
          <w:sz w:val="16"/>
          <w:szCs w:val="16"/>
          <w:color w:val="auto"/>
        </w:rPr>
        <w:t>The securities may be sold by us to or through underwriters or dealers, directly to purchasers or through agents designated from time to time. For additional information on the methods of sale, you should refer to the section entitled “Plan of Distribution” in this prospectus and the comparable section of any applicable prospectus supplement. If any underwriters are involved in the sale of the securities with respect to which this prospectus is being delivered, the names of such underwriters and any applicable discounts, commissions and purchase options will be set forth in the applicable prospectus supplement.</w:t>
      </w:r>
    </w:p>
    <w:p>
      <w:pPr>
        <w:spacing w:after="0" w:line="75" w:lineRule="exact"/>
        <w:rPr>
          <w:sz w:val="20"/>
          <w:szCs w:val="20"/>
          <w:color w:val="auto"/>
        </w:rPr>
      </w:pPr>
    </w:p>
    <w:p>
      <w:pPr>
        <w:ind w:left="120" w:right="60" w:firstLine="440"/>
        <w:spacing w:after="0" w:line="275" w:lineRule="auto"/>
        <w:rPr>
          <w:sz w:val="20"/>
          <w:szCs w:val="20"/>
          <w:color w:val="auto"/>
        </w:rPr>
      </w:pPr>
      <w:r>
        <w:rPr>
          <w:rFonts w:ascii="Times New Roman" w:cs="Times New Roman" w:eastAsia="Times New Roman" w:hAnsi="Times New Roman"/>
          <w:sz w:val="16"/>
          <w:szCs w:val="16"/>
          <w:color w:val="auto"/>
        </w:rPr>
        <w:t>Our common stock trades on the Nasdaq Global Market under the ticker symbol “IVVD”. On September 27, 2022, the last reported sale price per share of our common stock was $3.10. We have not yet determined whether the other securities that may be offered by this prospectus will be listed on any exchange, interdealer quotation system or over-the-counter market. If we decide to seek the listing of any such securities upon issuance, the prospectus supplement relating to those securities will disclose the exchange, quotation system or market on which those securities will be listed.</w:t>
      </w:r>
    </w:p>
    <w:p>
      <w:pPr>
        <w:spacing w:after="0" w:line="75"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6"/>
          <w:szCs w:val="16"/>
          <w:color w:val="auto"/>
        </w:rPr>
        <w:t>We are an “emerging growth company” as defined by the Jumpstart Our Business Startups Act of 2012 and, as such, we are subject to reduced public company reporting requirements for this prospectus and future filings. Refer to the section entitled “Implications of Being an Emerging Growth Company” beginning on page 4 of this prospectus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130175</wp:posOffset>
            </wp:positionV>
            <wp:extent cx="1474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4" w:lineRule="exact"/>
        <w:rPr>
          <w:sz w:val="20"/>
          <w:szCs w:val="20"/>
          <w:color w:val="auto"/>
        </w:rPr>
      </w:pPr>
    </w:p>
    <w:p>
      <w:pPr>
        <w:ind w:left="120" w:right="2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RISKS ASSOCIATED WITH AN INVESTMENT IN OUR SECURITIES WILL BE DESCRIBED IN THE APPLICABLE PROSPECTUS SUPPLEMENT AND CERTAIN OF OUR FILINGS WITH THE SECURITIES AND EXCHANGE COMMISSION INCORPORATED BY REFERENCE INTO THIS PROSPECTUS, AS DESCRIBED UNDER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ON PAGE 6.</w:t>
      </w:r>
    </w:p>
    <w:p>
      <w:pPr>
        <w:spacing w:after="0" w:line="75" w:lineRule="exact"/>
        <w:rPr>
          <w:sz w:val="20"/>
          <w:szCs w:val="20"/>
          <w:color w:val="auto"/>
        </w:rPr>
      </w:pPr>
    </w:p>
    <w:p>
      <w:pPr>
        <w:ind w:left="120" w:right="160" w:firstLine="440"/>
        <w:spacing w:after="0" w:line="301" w:lineRule="auto"/>
        <w:rPr>
          <w:sz w:val="20"/>
          <w:szCs w:val="20"/>
          <w:color w:val="auto"/>
        </w:rPr>
      </w:pPr>
      <w:r>
        <w:rPr>
          <w:rFonts w:ascii="Times New Roman" w:cs="Times New Roman" w:eastAsia="Times New Roman" w:hAnsi="Times New Roman"/>
          <w:sz w:val="16"/>
          <w:szCs w:val="16"/>
          <w:b w:val="1"/>
          <w:bCs w:val="1"/>
          <w:color w:val="auto"/>
        </w:rPr>
        <w:t>You should read this prospectus and any applicable prospectus supplement together with additional information described under the heading “Where You Can Find More Information” before you make your investment decision.</w:t>
      </w:r>
    </w:p>
    <w:p>
      <w:pPr>
        <w:spacing w:after="0" w:line="52" w:lineRule="exact"/>
        <w:rPr>
          <w:sz w:val="20"/>
          <w:szCs w:val="20"/>
          <w:color w:val="auto"/>
        </w:rPr>
      </w:pPr>
    </w:p>
    <w:p>
      <w:pPr>
        <w:ind w:left="120" w:right="140" w:firstLine="440"/>
        <w:spacing w:after="0" w:line="301"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120015</wp:posOffset>
            </wp:positionV>
            <wp:extent cx="1474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The date of this prospectus is October 5, 2022</w:t>
      </w:r>
    </w:p>
    <w:p>
      <w:pPr>
        <w:sectPr>
          <w:pgSz w:w="11900" w:h="16838" w:orient="portrait"/>
          <w:cols w:equalWidth="0" w:num="1">
            <w:col w:w="11060"/>
          </w:cols>
          <w:pgMar w:left="320" w:top="455" w:right="5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60" w:type="dxa"/>
            <w:vAlign w:val="bottom"/>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412"/>
        </w:trPr>
        <w:tc>
          <w:tcPr>
            <w:tcW w:w="382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72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2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55"/>
        </w:trPr>
        <w:tc>
          <w:tcPr>
            <w:tcW w:w="3820" w:type="dxa"/>
            <w:vAlign w:val="bottom"/>
            <w:gridSpan w:val="16"/>
            <w:vMerge w:val="continue"/>
          </w:tcPr>
          <w:p>
            <w:pPr>
              <w:spacing w:after="0"/>
              <w:rPr>
                <w:sz w:val="13"/>
                <w:szCs w:val="13"/>
                <w:color w:val="auto"/>
              </w:rPr>
            </w:pPr>
          </w:p>
        </w:tc>
        <w:tc>
          <w:tcPr>
            <w:tcW w:w="7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FORWARD-LOOKING STATEMENTS</w:t>
            </w:r>
          </w:p>
        </w:tc>
        <w:tc>
          <w:tcPr>
            <w:tcW w:w="71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MARKET, INDUSTRY AND OTHER DATA</w:t>
            </w:r>
          </w:p>
        </w:tc>
        <w:tc>
          <w:tcPr>
            <w:tcW w:w="71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9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2400" w:type="dxa"/>
            <w:vAlign w:val="bottom"/>
            <w:tcBorders>
              <w:top w:val="single" w:sz="8" w:color="0000EE"/>
            </w:tcBorders>
            <w:gridSpan w:val="9"/>
          </w:tcPr>
          <w:p>
            <w:pPr>
              <w:spacing w:after="0"/>
              <w:rPr>
                <w:sz w:val="17"/>
                <w:szCs w:val="17"/>
                <w:color w:val="auto"/>
              </w:rPr>
            </w:pPr>
          </w:p>
        </w:tc>
        <w:tc>
          <w:tcPr>
            <w:tcW w:w="500" w:type="dxa"/>
            <w:vAlign w:val="bottom"/>
            <w:gridSpan w:val="5"/>
          </w:tcPr>
          <w:p>
            <w:pPr>
              <w:spacing w:after="0"/>
              <w:rPr>
                <w:sz w:val="17"/>
                <w:szCs w:val="17"/>
                <w:color w:val="auto"/>
              </w:rPr>
            </w:pPr>
          </w:p>
        </w:tc>
        <w:tc>
          <w:tcPr>
            <w:tcW w:w="71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38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1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2240" w:type="dxa"/>
            <w:vAlign w:val="bottom"/>
            <w:gridSpan w:val="11"/>
          </w:tcPr>
          <w:p>
            <w:pPr>
              <w:spacing w:after="0"/>
              <w:rPr>
                <w:sz w:val="17"/>
                <w:szCs w:val="17"/>
                <w:color w:val="auto"/>
              </w:rPr>
            </w:pPr>
          </w:p>
        </w:tc>
        <w:tc>
          <w:tcPr>
            <w:tcW w:w="71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38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71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GENERAL DESCRIPTION OF OUR SECURITIES</w:t>
            </w:r>
          </w:p>
        </w:tc>
        <w:tc>
          <w:tcPr>
            <w:tcW w:w="71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33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OUR COMMON STOCK</w:t>
            </w:r>
          </w:p>
        </w:tc>
        <w:tc>
          <w:tcPr>
            <w:tcW w:w="440" w:type="dxa"/>
            <w:vAlign w:val="bottom"/>
            <w:gridSpan w:val="4"/>
          </w:tcPr>
          <w:p>
            <w:pPr>
              <w:spacing w:after="0"/>
              <w:rPr>
                <w:sz w:val="17"/>
                <w:szCs w:val="17"/>
                <w:color w:val="auto"/>
              </w:rPr>
            </w:pPr>
          </w:p>
        </w:tc>
        <w:tc>
          <w:tcPr>
            <w:tcW w:w="71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38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PREFERRED STOCK</w:t>
            </w:r>
          </w:p>
        </w:tc>
        <w:tc>
          <w:tcPr>
            <w:tcW w:w="71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356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WARRANTS</w:t>
            </w:r>
          </w:p>
        </w:tc>
        <w:tc>
          <w:tcPr>
            <w:tcW w:w="260" w:type="dxa"/>
            <w:vAlign w:val="bottom"/>
            <w:gridSpan w:val="2"/>
          </w:tcPr>
          <w:p>
            <w:pPr>
              <w:spacing w:after="0"/>
              <w:rPr>
                <w:sz w:val="17"/>
                <w:szCs w:val="17"/>
                <w:color w:val="auto"/>
              </w:rPr>
            </w:pPr>
          </w:p>
        </w:tc>
        <w:tc>
          <w:tcPr>
            <w:tcW w:w="71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DEBT SECURITIES</w:t>
            </w:r>
          </w:p>
        </w:tc>
        <w:tc>
          <w:tcPr>
            <w:tcW w:w="71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UNITS</w:t>
            </w:r>
          </w:p>
        </w:tc>
        <w:tc>
          <w:tcPr>
            <w:tcW w:w="380" w:type="dxa"/>
            <w:vAlign w:val="bottom"/>
            <w:gridSpan w:val="3"/>
          </w:tcPr>
          <w:p>
            <w:pPr>
              <w:spacing w:after="0"/>
              <w:rPr>
                <w:sz w:val="17"/>
                <w:szCs w:val="17"/>
                <w:color w:val="auto"/>
              </w:rPr>
            </w:pPr>
          </w:p>
        </w:tc>
        <w:tc>
          <w:tcPr>
            <w:tcW w:w="71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WHERE YOU CAN FIND MORE INFORMATION</w:t>
            </w:r>
          </w:p>
        </w:tc>
        <w:tc>
          <w:tcPr>
            <w:tcW w:w="71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282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98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c>
          <w:tcPr>
            <w:tcW w:w="71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2360" w:type="dxa"/>
            <w:vAlign w:val="bottom"/>
            <w:gridSpan w:val="12"/>
          </w:tcPr>
          <w:p>
            <w:pPr>
              <w:spacing w:after="0"/>
              <w:rPr>
                <w:sz w:val="17"/>
                <w:szCs w:val="17"/>
                <w:color w:val="auto"/>
              </w:rPr>
            </w:pPr>
          </w:p>
        </w:tc>
        <w:tc>
          <w:tcPr>
            <w:tcW w:w="71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38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71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a part of a registration statement on Form S-3 that we filed with the Securities and Exchange Commission, or the SEC, using a “shelf” registration process. Under this shelf registration process, we may offer to sell any of the securities, or any combination of the securities, described in this prospectus, in each case in one or more offerings, up to a total dollar amount of $400,000,000.</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provides you only with a general description of the securities that we may offer. Each time securities are sold under this shelf registration statement, we will provide an accompanying prospectus supplement that will contain specific information about the terms of those securities and the terms of that offering. The accompanying prospectus supplement may also add, update or change information contained in this prospectus. If there is any inconsistency between the information in this prospectus and any accompanying prospectus supplement, you should rely on the information in the accompanying prospectus supplement. You should read both this prospectus and any accompanying prospectus supplement, including all documents incorporated by reference herein and therein, together with the additional information described under “Where You Can Find More Information” below.</w:t>
      </w:r>
    </w:p>
    <w:p>
      <w:pPr>
        <w:spacing w:after="0" w:line="18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prospectus is not complete and may be changed. You should rely only on the information provided in or incorporated by reference in this prospectus or in any accompanying prospectus supplement, or documents to which we otherwise refer you. We have not authorized anyone else to provide you with different information.</w:t>
      </w:r>
    </w:p>
    <w:p>
      <w:pPr>
        <w:spacing w:after="0" w:line="17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We have not authorized any dealer, agent or other person to give any information or to make any representation other than those contained or incorporated by reference in this prospectus and any accompanying prospectus supplement. You must not rely upon any information or representation not contained or incorporated by reference in this prospectus or an accompanying prospectus supplement. This prospectus and the accompanying prospectus supplement, if any, do not constitute an offer to sell or the solicitation of an offer to buy any securities other than the registered securities to which they relate, nor do this prospectus and the accompanying prospectus supplement, if any, constitute an offer to sell or the solicitation of an offer to buy securities in any jurisdiction to any person to whom it is unlawful to make such offer or solicitation in such jurisdiction. You should not assume that the information contained in this prospectus and the accompanying prospectus supplement, if any, is accurate on any date subsequent to the date set forth on the front of such document or that any information we have incorporated by reference is correct on any date subsequent to the date of the document incorporated by reference, even though this prospectus and any accompanying prospectus supplement is delivered or securities are sold on a later date.</w:t>
      </w:r>
    </w:p>
    <w:p>
      <w:pPr>
        <w:spacing w:after="0" w:line="18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References in this prospectus to the terms “the Company,” “Invivyd,” “we,” “our” and “us” or other similar terms mean Invivyd, Inc. and our wholly owned subsidiaries, unless we state otherwise or the context indicates otherwise.</w:t>
      </w:r>
    </w:p>
    <w:p>
      <w:pPr>
        <w:spacing w:after="0" w:line="162"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“Invivyd,” “IVVD” and the Invivyd logo are our trademarks. This prospectus and the documents incorporated by reference into this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200" w:lineRule="exact"/>
        <w:rPr>
          <w:sz w:val="20"/>
          <w:szCs w:val="20"/>
          <w:color w:val="auto"/>
        </w:rPr>
      </w:pPr>
    </w:p>
    <w:p>
      <w:pPr>
        <w:spacing w:after="0" w:line="27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00"/>
          </w:cols>
          <w:pgMar w:left="320" w:top="455"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and any prospectus supplement and the documents incorporated therein, may contain forward-looking statements that involve substantial risks and uncertainties. All statements, other than statements of historical facts, included in this prospectus, any prospectus supplement or the documents incorporated herein and therein by reference, including statements regarding our future financial condition, results of operations, business strategy and plans and objectives of management for future operations, industry trends and other future events, are forward-looking statements. In some cases, you can identify forward-looking statements by terminology such as “may,” “anticipate,” “believe,” “could,” “expect,” “intends,” “might,” “plan,” “possible,” “potential,” “aim,” “predict,” “project” “should,” “will,” “would” or the negative of these terms or other similar expressions, although not all forward-looking statements contain these identifying terms. The forward-looking statements in this prospectus and the documents incorporated herein by reference include, among other things, statements about:</w:t>
      </w:r>
    </w:p>
    <w:p>
      <w:pPr>
        <w:spacing w:after="0" w:line="97" w:lineRule="exact"/>
        <w:rPr>
          <w:sz w:val="20"/>
          <w:szCs w:val="20"/>
          <w:color w:val="auto"/>
        </w:rPr>
      </w:pPr>
    </w:p>
    <w:p>
      <w:pPr>
        <w:ind w:left="108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our preclinical studies and clinical trials of our current and future product candidates, including statements regarding the timing of our planned regulatory submissions, initiation and completion of studies or trials and related preparatory work and the period during which the results of the trials will become available, and our research and development programs;</w:t>
      </w:r>
    </w:p>
    <w:p>
      <w:pPr>
        <w:spacing w:after="0" w:line="81"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submission of filings for regulatory approval of, and our ability to obtain and maintain regulatory approvals for, our current and future product candidates;</w:t>
      </w:r>
    </w:p>
    <w:p>
      <w:pPr>
        <w:spacing w:after="0" w:line="67"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and strategy, including the scalability and commercial viability of our manufacturing methods and processes;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patients with the diseases treated by our product candidates and to enroll these patients in our clinical trials;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of the patient populations, market acceptance and opportunity for and clinical utility of our product candidates, if approved for commercial use;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scope of any approved indication for adintrevimab or any other product candidate;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technology to identify and develop future product candidates;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future revenue, capital requirements and our need for or ability to obtain additional funding before we can expect to generate any revenue from product sales;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regarding the sufficiency of our cash resources to fund our operating expenses and capital expenditure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development of and projections relating to our competitors or our industry;</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affecting our preclinical studies or the initiation, patient enrollment, development and operation of our clinical trials, including a public health crisis, such as the outbreak of COVID-19;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proceeds.</w:t>
      </w:r>
    </w:p>
    <w:p>
      <w:pPr>
        <w:spacing w:after="0" w:line="225"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cannot guarantee that the results and other expectations expressed, anticipated or implied in any forward-looking statement will be realized. The risks set forth under Item 1A of our Annual Report on Form 10-K for the fiscal year ended December 31, 2021, as revised or supplemented by our Quarterly Reports on Form 10-Q and other documents we file with the SEC, describe material risks to our business, and you should read and interpret any forward-looking statements together with these risks. A variety of factors, including these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risks, could cause our actual results and other expectations to differ materially from the anticipated results or other expectations expressed, anticipated or implied in our forward-looking statements.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any prospectus supplement and the documents that we incorporate by reference herein and therein completely and with the understanding that our actual future results may be materially different from what we expect. The forward-looking statements contained in this prospectus are made as of the date of this prospectus and we do not assume any obligation to update any forward-looking statements, whether as a result of new information, future events or otherwise, except as required by applicable law.</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29"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This prospectus and any applicable prospectus supplement and the documents incorporated by reference herein and therein contain estimates, projections, market research and other information concerning, among other things, our industry, our business, and markets for our product candidates. Unless otherwise expressly stated, we obtain this information from reports, research surveys, studies and similar data prepared by market research firms and other third parties, industry, medical and general publications, government data and similar sources as well as from our own internal estimates and research and from publications, research, surveys and studies conducted by third parties on our behalf. Information that is based on estimates, projections, market research or similar methodologies is inherently subject to uncertainties and actual events or circumstances may differ materially from events and circumstances that are reflected in this information. As a result, you are cautioned not to give undue weight to such information.</w:t>
      </w:r>
    </w:p>
    <w:p>
      <w:pPr>
        <w:spacing w:after="0" w:line="10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60"/>
          </w:cols>
          <w:pgMar w:left="320" w:top="455" w:right="5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731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6998970" cy="60731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80" w:firstLine="426"/>
        <w:spacing w:after="0" w:line="254" w:lineRule="auto"/>
        <w:rPr>
          <w:sz w:val="20"/>
          <w:szCs w:val="20"/>
          <w:color w:val="auto"/>
        </w:rPr>
      </w:pPr>
      <w:r>
        <w:rPr>
          <w:rFonts w:ascii="Times New Roman" w:cs="Times New Roman" w:eastAsia="Times New Roman" w:hAnsi="Times New Roman"/>
          <w:sz w:val="18"/>
          <w:szCs w:val="18"/>
          <w:color w:val="auto"/>
        </w:rPr>
        <w:t>We are a biopharmaceutical company on a mission to protect humanity from serious viral respiratory diseases. We are developing antibodies to transcend the limits of naturally occurring immunity and provide superior protection from viral diseases, beginning with COVID-19. Our technology works at the intersection of evolutionary virology, predictive modeling, and antibody engineering, and is designed to identify high-quality, long-lasting antibodies with a high barrier to viral escape. We are generating a robust pipeline of products for use in both prevention and treatment of disease. NVD200, our first antibody combination product for COVID-19, is expected to enter the clinic in Q1 2023. Our most advanced pipeline candidate is adintrevimab, an investigational monoclonal antibody which has demonstrated clinically meaningful results in global Phase 3 clinical trials against multiple variants of concern for the prevention and treatment of COVID-19. We also have multiple discovery stage candidates for the prevention of seasonal influenza.</w:t>
      </w:r>
    </w:p>
    <w:p>
      <w:pPr>
        <w:spacing w:after="0" w:line="192" w:lineRule="exact"/>
        <w:rPr>
          <w:sz w:val="20"/>
          <w:szCs w:val="20"/>
          <w:color w:val="auto"/>
        </w:rPr>
      </w:pPr>
    </w:p>
    <w:p>
      <w:pPr>
        <w:ind w:left="300" w:right="460" w:firstLine="426"/>
        <w:spacing w:after="0" w:line="282" w:lineRule="auto"/>
        <w:rPr>
          <w:sz w:val="20"/>
          <w:szCs w:val="20"/>
          <w:color w:val="auto"/>
        </w:rPr>
      </w:pPr>
      <w:r>
        <w:rPr>
          <w:rFonts w:ascii="Times New Roman" w:cs="Times New Roman" w:eastAsia="Times New Roman" w:hAnsi="Times New Roman"/>
          <w:sz w:val="18"/>
          <w:szCs w:val="18"/>
          <w:color w:val="auto"/>
        </w:rPr>
        <w:t>For more information about our company, please refer to other documents that we have filed with the SEC and that are incorporated by reference into this prospectus, as listed under the heading “Incorporation By Reference.”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440" w:firstLine="426"/>
        <w:spacing w:after="0" w:line="261"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June 2020. Our principal executive offices are located at 1601 Trapelo Road, Suite 178, Waltham, MA 02451 and our telephone number is (781) 819-0080. Our website address is www.invivyd.com. We do not incorporate the information on, or accessible through, our website into this prospectus, and you should not consider any information on, or accessible through, our website as part of this prospectus.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21"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and may remain an emerging growth company until the last day of the fiscal year following the fifth anniversary of the completion of our initial public offering. However, if certain events occur prior to the end of such five-year period, including if we become a “large accelerated filer,” our annual gross revenues exceed $1.235 billion or we issue more than $1.0 billion of non-convertible debt in the previous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94" w:lineRule="exact"/>
        <w:rPr>
          <w:sz w:val="20"/>
          <w:szCs w:val="20"/>
          <w:color w:val="auto"/>
        </w:rPr>
      </w:pPr>
    </w:p>
    <w:p>
      <w:pPr>
        <w:ind w:left="1240" w:right="40" w:hanging="415"/>
        <w:spacing w:after="0" w:line="266" w:lineRule="auto"/>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320" w:top="455" w:right="6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9754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6998970" cy="19754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620" w:hanging="415"/>
        <w:spacing w:after="0" w:line="282" w:lineRule="auto"/>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auditor attestation requirement in the assessment of our internal control over financial reporting;</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w:t>
      </w:r>
    </w:p>
    <w:p>
      <w:pPr>
        <w:spacing w:after="0" w:line="130"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 and</w:t>
      </w:r>
    </w:p>
    <w:p>
      <w:pPr>
        <w:spacing w:after="0" w:line="67" w:lineRule="exact"/>
        <w:rPr>
          <w:rFonts w:ascii="Times New Roman" w:cs="Times New Roman" w:eastAsia="Times New Roman" w:hAnsi="Times New Roman"/>
          <w:sz w:val="18"/>
          <w:szCs w:val="18"/>
          <w:color w:val="auto"/>
        </w:rPr>
      </w:pPr>
    </w:p>
    <w:p>
      <w:pPr>
        <w:ind w:left="1240" w:right="1020" w:hanging="415"/>
        <w:spacing w:after="0" w:line="282" w:lineRule="auto"/>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the financial statements.</w:t>
      </w:r>
    </w:p>
    <w:p>
      <w:pPr>
        <w:spacing w:after="0" w:line="162"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right="240" w:firstLine="440"/>
        <w:spacing w:after="0" w:line="269" w:lineRule="auto"/>
        <w:rPr>
          <w:sz w:val="20"/>
          <w:szCs w:val="20"/>
          <w:color w:val="auto"/>
        </w:rPr>
      </w:pPr>
      <w:r>
        <w:rPr>
          <w:rFonts w:ascii="Times New Roman" w:cs="Times New Roman" w:eastAsia="Times New Roman" w:hAnsi="Times New Roman"/>
          <w:sz w:val="17"/>
          <w:szCs w:val="17"/>
          <w:color w:val="auto"/>
        </w:rPr>
        <w:t>Investing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the heading “Risk Factors” in our most recent Annual Report on Form</w:t>
      </w:r>
    </w:p>
    <w:p>
      <w:pPr>
        <w:spacing w:after="0" w:line="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10-K and our Quarterly Reports on Form 10-Q and other documents that we file with the SEC, which are incorporated herein by reference as described in this prospectus under the heading “Where You Can Find More Information”. The risks and uncertainties we have described in such documents are not the only risks that we face. Additional risks and uncertainties not presently known to us or that we currently deem immaterial may also affect our operations.</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Except as otherwise provided in the applicable prospectus supplement relating to a specific offering, we intend to use the net proceeds from the sale of securities by us under this prospectus and any applicable prospectus supplement for general corporate purposes, which may include research and development expenditures, preclinical study and clinical trial expenditures, manufacturing expenditures, commercialization expenditures, working capital, capital expenditures, acquisitions of new technologies, products or businesses, and investments. Additional information on the use of net proceeds from the sale of securities by us under this prospectus may be set forth in the accompanying prospectus supplement relating to the specific offering.</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sell the securities, from time to time pursuant to public offerings, negotiated transactions, block trades, “At the Market Offerings,” within the meaning of Rule 415(a)(4) of the Securities Act of 1933, as amended, or the Securities Act, into an existing trading market, at prevailing market prices, or a combination of these methods. We may sell the securities to or through underwriters or dealers, through agents or remarketing firms, or directly to one or more purchasers. We may distribute securities from time to time in one or more transactions:</w:t>
      </w:r>
    </w:p>
    <w:p>
      <w:pPr>
        <w:spacing w:after="0" w:line="85"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67"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the underwriters, dealers or agents, if any;</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to be offered through the selling efforts of brokers or dealers, the plan of distribution and the terms of any agreement, arrangement, or understanding entered into with broker(s) or dealer(s) prior to the effective date of the registration statement, and, if known, the identity of any broker(s) or dealer(s) who will participate in the offering and the amount to be offered through each;</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or other consideration therefor, and the proceeds, if any, we will receive from the sale;</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the securities being registered are to be offered otherwise than for cash, the general purposes of the distribution, the basis upon which the securities are to be offered, the amount of compensation and other expenses of distribution, and by whom they are to be borne;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options under which underwriters may purchase additional securities from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commissions or concessions allowed or reallowed or paid to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and relationships of any finders, if applicable;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Only underwriters named in the prospectus supplement will be underwriters of the securities offered by the prospectus supplement.</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Unless otherwise indicated in the prospectus supplement, subject to certain conditions, the underwriters will be obligated to purchase all of the securities offered by the prospectus supplement, other than securities covered by any</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60"/>
          </w:cols>
          <w:pgMar w:left="320" w:top="455" w:right="5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purchase option. Any public offering price and any discounts or concessions allowed or reallowed or paid to dealers may change from time to time. We may use underwriters, dealers or agents with whom we have a material relationship. We will describe in the prospectus supplement, naming the underwriter, dealer or agent, the nature of any such relationship.</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may use a remarketing firm to offer the securities in connection with a remarketing arrangement upon their purchase. Remarketing firms will act as principals for their own account or as agents for us. These remarketing firms will offer or sell the securities pursuant to the terms of the securities. A prospectus supplement will identify any remarketing firm and the terms of its agreement, if any, with us and will describe the remarketing firm’s compensation. Remarketing firms may be deemed to be underwriters in connection the securities they remarket.</w:t>
      </w:r>
    </w:p>
    <w:p>
      <w:pPr>
        <w:spacing w:after="0" w:line="180"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we offer and sell securities through a dealer, we or an underwriter will sell the securities to the dealer, as principal. The dealer may then resell the securities to the public at varying prices to be determined by the dealer at the time of resale. The name of the dealer and the terms of the transaction will be set forth in the applicable prospectus supplement.</w:t>
      </w:r>
    </w:p>
    <w:p>
      <w:pPr>
        <w:spacing w:after="0" w:line="176"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to the agent in the prospectus supplement. Unless the prospectus supplement states otherwise, our agent will act on a best-efforts basis for the period of its appointment.</w:t>
      </w:r>
    </w:p>
    <w:p>
      <w:pPr>
        <w:spacing w:after="0" w:line="176"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sell securities directly to one or more purchasers without using underwriters or agents. Underwriters, dealers and agents that participate in the distribution of the securities may be underwriters as defined in the Securities Act, and any discounts or commissions they receive from us and any profit on their resale of the securities may be treated as underwriting discounts and commissions under the Securities Act.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80"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may provide agents, underwriters and dealers with indemnification against civil liabilities, including liabilities under the Securities Act, or contribution with respect to payments that the agents, underwriters or dealers may make with respect to these liabilities. Agents, underwriters and dealers, or their respective affiliates, may engage in transactions with, or perform services for, us in the ordinary course of business.</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All securities we may offer, other than common stock, will be new issues of securities with no established trading market. Any underwriter may make a market in these securities, but will not be obligated to do so and may discontinue any market making at any time without notice. We cannot guarantee the liquidity of the trading markets for any securities.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Any underwriter may engage in purchase options, stabilizing transactions, short-covering transactions and penalty bids in accordance with Regulation M under the Exchange Act. Purchase options involve sales in excess of the offering size, which create a short position. Stabilizing transactions permit bids to purchase the underlying security so long as the stabilizing bids do not exceed a specified maximum price. Syndicate-covering or other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short-covering transactions involve purchases of the securities, either through exercise of the purchase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underwriters that are qualified market makers on the Nasdaq Stock Market may engage in passive market making transactions in the common stock on the Nasdaq Stock Market in accordance with Regulation M under the Securities Exchange Act of 1934, as amended, or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GENERAL DESCRIPTION OF OUR SECURITIES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offer and sell, at any time and from time to time:</w:t>
      </w:r>
    </w:p>
    <w:p>
      <w:pPr>
        <w:spacing w:after="0" w:line="13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shares of our common stock, preferred stock and/or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consisting of debentures, notes or other evidences of indebtedness;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consisting of a combination of the foregoing securities;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these securities.</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terms of any securities we offer will be determined at the time of sale. We may issue debt securities that are exchangeable for and/or convertible into common stock or any of the other securities that may be sold under this prospectus. When particular securities are offered by us, a supplement to this prospectus will be filed with the SEC, which will describe the terms of the offering and sale of the offered securities.</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660"/>
          </w:cols>
          <w:pgMar w:left="320" w:top="455" w:right="9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OUR COMMON STOCK</w:t>
      </w:r>
    </w:p>
    <w:p>
      <w:pPr>
        <w:spacing w:after="0" w:line="22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The summary of general terms and provisions of our common stock set forth below does not purport to be complete and is subject to and qualified by reference to our Amended and Restated Certificate of Incorporation, or the Certificate of Incorporation, and Amended and Restated Bylaws, or the Bylaws, and together with the Certificate of Incorporation, the Charter Documents, each of which is included as an exhibit to our most recent Annual Report on Form 10-K filed with the SEC and incorporated by reference herein. For additional information, please read the Charter Documents and the applicable provisions of the Delaware General Corporation Law, or the DGCL.</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are authorized to issue up to 1,010,000,000 shares, of which 1,000,000,000 have been designated common stock, par value $0.0001 per share. As of September 12, 2022, there were 109,925,049 shares of our common stock outstanding. As of June 30, 2022, we had approximately 120 stockholders of record. This figure does not reflect the number of beneficial owners of shares of our common stock as a single stockholder of record often holds shares in nominee name (also referred to as, in “street name”) on behalf of multiple beneficial owners.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Each holder of our common stock is entitled to one vote for each share on all matters submitted to a vote of the stockholders, including the election of directors.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Except as otherwise provided by statute or by applicable stock exchange rules, or by the Certificate of Incorporation or the Bylaws, in all matters other than the election of directors, the affirmative vote of the majority of shares present in person, by remote communication, if applicable, or represented by proxy at the meeting and entitled to vote generally on the subject matter shall be the act of the stockholders. Except as otherwise provided by statute, the Certificate of Incorporation or the Bylaws, directors are elected by a plurality of the votes of the shares present in person, by remote communication, if applicable, or represented by proxy at the meeting and entitled to vote generally on the election of directors. Where a separate vote by a class or classes or series is required, except where otherwise provided by the statute or by the Certificate of Incorporation or the Bylaws, a majority of the outstanding shares of such class or classes or series, present in person, by remote communication, if applicable, or represented by proxy duly authorized, shall constitute a quorum entitled to take action with respect to that vote on that matter. Except where otherwise provided by statute or by the Certificate of Incorporation or the Bylaws, the affirmative vote of the majority (plurality, in the case of the election of directors) of shares of such class or classes or series present in person, by remote communication, if applicable, or represented by proxy at the meeting shall be the act of such class or classes or series.</w:t>
      </w:r>
    </w:p>
    <w:p>
      <w:pPr>
        <w:spacing w:after="0" w:line="19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affirmative vote of holders of at least 66 2/3% of the voting power of all of the then-outstanding shares of capital stock entitled to vote generally in the election of directors, voting as a single class, is required to alter, amend or repeal certain provisions of the Certificate of Incorporation, including provisions relating to amending the Bylaws, the classified board, the size of our board of directors, removal of directors, director liability, vacancies on our board of directors, stockholder notices, actions by written consent and exclusive forum.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Subject to preferences that may be applicable to any then-outstanding preferred stock, holders of common stock are entitled to receive ratably those dividends, if any, as may be declared from time to time by our board of directors out of legally available funds.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80"/>
          </w:cols>
          <w:pgMar w:left="320" w:top="455" w:right="4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Liquidation</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Rights and Preferences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 of the holders of shares of any series of preferred stock that we may designate in the future.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Stock Options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June 30, 2022, we had outstanding options to purchase 19,936,084 shares of our common stock at a weighted-average exercise price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$8.73 per share, pursuant to our 2020 Equity Incentive Plan and 2021 Equity Incentive Plan. As of June 30, 2022, there were no shares of our common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 reserved for future issuance under the 2020 Equity Incentive Plan and 23,149,318 shares of our common stock reserved for future issuance under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2021 Equity Incentive Plan.</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2021 Employee Stock Purchase Plan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June 30, 2022, there were 1,342,773 shares of our common stock reserved for future issuance under our 2021 Employee Stock Purchase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Plan.</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and certain holders of our common stock have entered into a second amended and restated investors’ rights agreement, or the investors’ rights agreement. The registration rights provisions of this agreement provide those holders with demand, piggyback and Form S-3 registration rights with respect to the shares of common stock currently held by them. These shares are collectively referred to herein as registrable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121"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holders of a majority of registrable securities then outstanding have the right to demand that we file a registration statement covering at least 30% of the registrable securities then outstanding. These registration rights are subject to specified conditions and limitations, including the right of the underwriters, if any, to limit the number of shares included in any such registration under specified circumstances. Upon such a request, we are required to effect the registration as soon as practicable, but in any event no later than 60 days after the receipt of such request.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we propose to register any of our securities under the Securities Act either for our own account or for the account of other stockholders, the holders of registrable securities will each be entitled to notice of the registration and will be entitled to include their shares of common stock in the registration statement. These piggyback registration rights are subject to specified conditions and limitations, including the right of the underwriters to limit the number of shares included in any such registration under specified circumstances. The holders of piggyback registration rights granted pursuant to the investors’ rights agreement have waived their piggyback registration rights in connection with the registration statement of which this prospectus is a part, as well as all subsequent offerings related to the registration statement of which this prospectus is a part.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on Form S-3</w:t>
      </w:r>
    </w:p>
    <w:p>
      <w:pPr>
        <w:spacing w:after="0" w:line="121"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The holders of at least 30% of the registrable securities outstanding are entitled to request to have such shares registered by us on a Form S-3 registration statement. These Form S-3 registration rights are subject to other specified conditions and limitations, including the condition that the anticipated aggregate offering price is at least $1.0 million. Upon receipt of this request, the holders of registrable securities will each be entitled to participate in this registration.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Expenses of Registration</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are required to pay all expenses, including fees and expenses of one counsel to represent the selling stockholders, relating to any demand, piggyback or Form S-3 registration, other than underwriting discounts and commissions, stock transfer taxes and any additional fees of counsel for the selling stockholders, subject to specified conditions and limitations. We are not required to pay registration expenses if a demand registration request is withdrawn at the request of a majority of holders of registrable securities to be registered, unless holders of a majority of the registrable securities agree to forfeit their right to one demand registration.</w:t>
      </w:r>
    </w:p>
    <w:p>
      <w:pPr>
        <w:spacing w:after="0" w:line="183"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The investors’ rights agreement contains customary cross-indemnification provisions, pursuant to which we are obligated to indemnify the selling stockholders in the event of material misstatements or omissions in the applicable registration statement attributable to us, and the selling stockholders are obligated to indemnify us for material misstatements or omissions in the registration statement attributable to them, subject to certain limitations.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Termination of Registration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registration rights granted under the investors’ rights agreement will terminate with respect to any particular stockholder upon the earliest of</w:t>
      </w:r>
    </w:p>
    <w:p>
      <w:pPr>
        <w:spacing w:after="0" w:line="27" w:lineRule="exact"/>
        <w:rPr>
          <w:sz w:val="20"/>
          <w:szCs w:val="20"/>
          <w:color w:val="auto"/>
        </w:rPr>
      </w:pPr>
    </w:p>
    <w:p>
      <w:pPr>
        <w:jc w:val="both"/>
        <w:ind w:left="120" w:right="460" w:hanging="4"/>
        <w:spacing w:after="0" w:line="255" w:lineRule="auto"/>
        <w:tabs>
          <w:tab w:leader="none" w:pos="36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a deemed liquidation event, as defined in the Certificate of Incorporation, (b) with respect to each stockholder, at such time such stockholder is able to sell all of its shares pursuant to Rule 144 or another similar exemption under the Securities Act during a three-month period without registration and (c) the fifth anniversary of the closing of our initial public offering.</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21" w:lineRule="exact"/>
        <w:rPr>
          <w:sz w:val="20"/>
          <w:szCs w:val="20"/>
          <w:color w:val="auto"/>
        </w:rPr>
      </w:pPr>
    </w:p>
    <w:p>
      <w:pPr>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45" w:lineRule="exact"/>
        <w:rPr>
          <w:sz w:val="20"/>
          <w:szCs w:val="20"/>
          <w:color w:val="auto"/>
        </w:rPr>
      </w:pPr>
    </w:p>
    <w:p>
      <w:pPr>
        <w:ind w:left="1080" w:right="14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88"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80"/>
          </w:cols>
          <w:pgMar w:left="320" w:top="455" w:right="4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131" w:lineRule="exact"/>
        <w:rPr>
          <w:sz w:val="20"/>
          <w:szCs w:val="20"/>
          <w:color w:val="auto"/>
        </w:rPr>
      </w:pPr>
    </w:p>
    <w:p>
      <w:pPr>
        <w:ind w:left="1080" w:right="50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or any direct or indirect majority-owned subsidiary of the corporation and the interested stockholder;</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 (in one transaction or a series of transactions);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or by any direct or indirect majority-owned subsidiary of the corporation of any stock of the corporation or of such subsidiary to the interested stockholder;</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or any direct or indirect majority-owned subsidiary of the corporation that has the effect of increasing the proportionate share of the stock or any class or series of the corporation beneficially owned by the interested stockholder; or</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w:t>
      </w:r>
    </w:p>
    <w:p>
      <w:pPr>
        <w:spacing w:after="0" w:line="162"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Certificate of Incorporation and Amended and Restated Bylaws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Certificate of Incorporation and the Bylaws provide for our board of directors to be divided into three classes with staggered three-year terms. Only one class of directors will be elected at each annual meeting of our stockholders, with the other classes continuing for the remainder of their respective three-year terms. Because our stockholders do not have cumulative voting rights, stockholders holding a majority of the shares of common stock outstanding are able to elect all of our directors. The Certificate of Incorporation and the Bylaws provide that directors may be removed by the stockholders only for cause upon the vote of at least 66 2/3% of the voting power of all of the then-outstanding shares of capital stock entitled to vote generally at an election of directors. Furthermore, the authorized number of directors may be changed only by resolution of our board of directors, and vacancies and newly created directorships on our board of directors may, except as otherwise required by law or determined by our board and subject to the rights of any series of then-outstanding preferred stock, only be filled by a majority vote of the directors then serving on our board of directors, even though less than a quorum.</w:t>
      </w:r>
    </w:p>
    <w:p>
      <w:pPr>
        <w:spacing w:after="0" w:line="188"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Certificate of Incorporation and the Bylaws also provide that all stockholder actions must be effected at a duly called meeting of stockholders and eliminate the right of stockholders to act by written consent without a meeting. The Bylaws provide that only the chairman of the board of directors, the chief executive officer or the board of directors pursuant to a resolution adopted by a majority of the total number of authorized directors may call a special meeting of stockholders.</w:t>
      </w:r>
    </w:p>
    <w:p>
      <w:pPr>
        <w:spacing w:after="0" w:line="180"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Bylaws also provide that stockholders seeking to present proposals before a meeting of stockholders to nominate candidates for election as directors at a meeting of stockholders must provide timely advance notice in writing and specify requirements as to the form and content of a stockholder’s notice.</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Certificate of Incorporation and the Bylaws provide that the stockholders cannot amend many of the provisions described above except by a vote of at least 66 2/3% of the voting power of all of the then-outstanding shares of capital stock entitled to vote generally at an election of directors.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Certificate of Incorporation provides our board of directors the authority, without further action by our stockholders, to issue up to 10,000,000 shares of preferred stock in one or more series, with any rights, preferences and privileges as they may designate, including the right to approve an acquisition or other change in control.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combination of these provisions makes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control of us.</w:t>
      </w:r>
    </w:p>
    <w:p>
      <w:pPr>
        <w:spacing w:after="0" w:line="183"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will be the exclusive forum for the following types of actions or proceedings under Delaware statutory or common law:</w:t>
      </w:r>
    </w:p>
    <w:p>
      <w:pPr>
        <w:spacing w:after="0" w:line="67"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pursuant to the DGCL, our Certificate of Incorporation, or our Bylaws;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seeking to interpret, apply, enforce or determine the validity of the Certificate of Incorporation or the Bylaws;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as to which the DGCL confers jurisdiction on the Court of Chancery of the State of Delaware;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 affairs doctrine.</w:t>
      </w:r>
    </w:p>
    <w:p>
      <w:pPr>
        <w:spacing w:after="0" w:line="225"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also provides that unless we consent in writing to the selection of an alternative forum, the federal district courts of the United States of America shall be the exclusive forum for the resolution of any complaint asserting a cause of action arising under the Securities Act.</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These exclusive forum provisions may result in increased costs for investors to bring a claim. Further, these exclusive forum provisions may limit a stockholder’s ability to bring a claim in a judicial forum that it finds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40"/>
        <w:spacing w:after="0" w:line="261" w:lineRule="auto"/>
        <w:rPr>
          <w:sz w:val="20"/>
          <w:szCs w:val="20"/>
          <w:color w:val="auto"/>
        </w:rPr>
      </w:pPr>
      <w:r>
        <w:rPr>
          <w:rFonts w:ascii="Times New Roman" w:cs="Times New Roman" w:eastAsia="Times New Roman" w:hAnsi="Times New Roman"/>
          <w:sz w:val="18"/>
          <w:szCs w:val="18"/>
          <w:color w:val="auto"/>
        </w:rPr>
        <w:t>favorable for disputes with us or our directors, officers, or other employees, which may discourage lawsuits against us and our directors, officers and other employees. If a court were to find either exclusive-forum provision in our Certificate of Incorporation to be inapplicable or unenforceable in an action, we may incur further significant additional costs associated with resolving the dispute in other jurisdictions, all of which could seriously harm our business.</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American Stock Transfer &amp; Trust Company, LLC. The transfer agent’s address is 6201 15th Avenue, Brooklyn, New York 11219.</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trading symbol “IVVD”.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OUR PREFERRED STOCK</w:t>
      </w:r>
    </w:p>
    <w:p>
      <w:pPr>
        <w:spacing w:after="0" w:line="229"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We are authorized to issue up to 10,000,000 shares of preferred stock, par value $0.0001 per share, all of which shares of preferred stock are currently undesignated.</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board of directors may, without further action by our stockholders, from time to time, direct the issuance of shares of preferred stock in series and may, at the time of issuance, determine and fix the number of shares of such series and the designation of such series, the voting powers, if any, of the shares of such series, the preferences and relative, participating, optional or other special rights, if any, and the qualifications, limitations or restrictions thereof, including without limitation thereof, dividend rights, conversion rights, redemption privileges and liquidation preferences, of the shares of such series. Satisfaction of any dividend preferences of outstanding shares of our preferred stock would reduce the amount of funds available for the payment of dividends on shares of our common stock. Holders of shares of our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 It is not possible to state the actual effect of the issuance of any shares of preferred stock on the rights of holders of common stock until the board of directors determines the specific rights attached to that preferred stock. We have no current plan to issue any shares of preferred stock.</w:t>
      </w:r>
    </w:p>
    <w:p>
      <w:pPr>
        <w:spacing w:after="0" w:line="187"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w:t>
      </w:r>
    </w:p>
    <w:p>
      <w:pPr>
        <w:spacing w:after="0" w:line="81"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offered, the liquidation preference per share, and the purchase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and/or payment date(s), or method(s) of calculation for such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if applicable;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or our other securities and, if applicable, the conversion price (or how it will be calculated), the conversion period and any other terms of conversion (including any anti-dilution provisions, if any);</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the exchange period and any other terms of exchange (including any anti-dilution provisions, if any);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and/or special U.S. federal income tax considerations applicable to the preferred stock;</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upon liquidation, dissolution, or winding up of our affairs;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30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limitations on issuance of any class or series of preferred stock ranking senior to or on a parity with the series of preferred stock as to dividend rights and rights upon our liquidation, dissolution, or winding up;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affirmative, negative or other covenants or contractual rights which might be attendant with the specific series of preferred stock.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preferred stock offered by this prospectus, when issued, will not have, or be subject to, any preemptive or similar rights.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any series of preferred stock will be set forth in each applicable prospectus supplement.</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OUR WARRANTS</w:t>
      </w:r>
    </w:p>
    <w:p>
      <w:pPr>
        <w:spacing w:after="0" w:line="22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may issue warrants to purchase shares of our common stock, preferred stock and/or debt securities in one or more series together with other securities or separately, as described in each applicable prospectus supplement. Below is a description of certain general terms and provisions of the warrants that we may offer. Particular terms of the warrants will be described in the applicable warrant agreements and the applicable prospectus supplement for the warrants.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applicable prospectus supplement will contain, where applicable, the following terms of and other information relating to the warrants:</w:t>
      </w:r>
    </w:p>
    <w:p>
      <w:pPr>
        <w:spacing w:after="0" w:line="131"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price at which we will issue,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amount and terms of the securities purchasable upon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shares of our common stock and the number of shares of common stock to be received upon exercise of the warrants;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shares of our preferred stock, the number of shares of preferred stock to be received upon exercise of the warrants, and a description of that series of our preferred stock;</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debt securities, the amount of our debt securities to be received upon exercise of the warrants, and a description of that series of debt securities;</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the warrants may not be continuously exercised throughout that period, the specific date or dates on which the warrants may be exercised;</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or foreign tax consequences;</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if any, and of any other depositaries, execution or paying agents, transfer agents, registrars or other agents;</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 or market;</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the common stock, preferred stock and/or debt securities will be separately transferable;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put or call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and exercise of the warrants.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any warrants will be set forth in the applicable prospectus supplement.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OUR DEBT SECURITIES</w:t>
      </w:r>
    </w:p>
    <w:p>
      <w:pPr>
        <w:spacing w:after="0" w:line="229"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This section describes the general terms and provisions of the debt securities that we may offer under this prospectus, any of which may be issued as convertible or exchangeable debt securities. We will set forth the particular terms of the debt securities we offer in a prospectus supplement. The extent, if any, to which the following general provisions apply to particular debt securities will be described in the applicable prospectus supplement. The following descriptions of general terms relating to the debt securities and the indenture under which the debt securities will be issued are summaries only and therefore are not complete. You should read the indenture and the prospectus supplement regarding any particular issuance of debt securities.</w:t>
      </w:r>
    </w:p>
    <w:p>
      <w:pPr>
        <w:spacing w:after="0" w:line="16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will issue the debt securities offered by this prospectus and any accompanying prospectus supplement under an indenture to be entered into between us and the trustee identified in the applicable prospectus supplement. The terms of the debt securities will include those stated in the indenture and those made part of the indenture by reference to the Trust Indenture Act of 1939, as in effect on the date of the indenture. We have filed or will file a copy of the form of indenture as an exhibit to the registration statement in which this prospectus is included. The indenture will be subject to and governed by the terms of the Trust Indenture Act of 1939.</w:t>
      </w:r>
    </w:p>
    <w:p>
      <w:pPr>
        <w:spacing w:after="0" w:line="183"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We may offer under this prospectus up to an aggregate principal amount of $400,000,000 in debt securities, or if debt securities are issued at a discount, or in a foreign currency, foreign currency units or composite currency, the principal amount as may be sold for an aggregate initial public offering price of up to $400,000,000. Unless otherwise specified in the applicable prospectus supplement, the debt securities will represent direct, unsecured obligations of our company and will rank equally with all of our other unsecured indebtedness.</w:t>
      </w:r>
    </w:p>
    <w:p>
      <w:pPr>
        <w:spacing w:after="0" w:line="180"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following statements relating to the debt securities and the indenture are summaries, qualified in their entirety by reference to the detailed provisions of the indenture and the final form indenture as may be filed with a future prospectus supplement.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w:t>
      </w:r>
    </w:p>
    <w:p>
      <w:pPr>
        <w:spacing w:after="0" w:line="16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will set forth, to the extent required, the following terms of the debt securities in respect of which the prospectus supplement is delivered:</w:t>
      </w:r>
    </w:p>
    <w:p>
      <w:pPr>
        <w:spacing w:after="0" w:line="67"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price or prices, expressed as a percentage of 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debt securities will be issued and on which principal of, and premium, if any, is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if applicable, the method used to determine such rate or rates;</w:t>
      </w:r>
    </w:p>
    <w:p>
      <w:pPr>
        <w:spacing w:after="0" w:line="130" w:lineRule="exact"/>
        <w:rPr>
          <w:rFonts w:ascii="Times New Roman" w:cs="Times New Roman" w:eastAsia="Times New Roman" w:hAnsi="Times New Roman"/>
          <w:sz w:val="18"/>
          <w:szCs w:val="18"/>
          <w:color w:val="auto"/>
        </w:rPr>
      </w:pPr>
    </w:p>
    <w:p>
      <w:pPr>
        <w:jc w:val="both"/>
        <w:ind w:left="1080" w:right="44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interest will accrue, the interest payment date or dates on which interest will be payable and any regular record date for the interest payable, and the basis upon which interest will be calculated if other than that of a 360-day year of twelve 30-day months;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and, if applicable, premium and interest, is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upon which we may, or the holders may require us to, redeem or repurchase the debt securities;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such debt securities may be issuable, if other than a minimum denomination of $2,000 or an integral multiple of $1,000 in excess thereof;</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to be issuable in the form of certificated debt securities (as described below) or global debt securities (as described below);</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that will be payable upon declaration of acceleration of the maturity date if other than the principal amount of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and, if applicable, premium and interest, will be made;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and, if applicable, premium or interest, on the debt securities are to be made in one or more currencies or currency units other than the currency of denomination, the manner in which the exchange rate with respect to such payments will be determined;</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amounts of principal and, if applicable, premium and interest may be determined by reference to an index, including an index based on a currency or currencies other than in which the debt securities are payable, then the manner in which such amounts will be determined;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any collateral provided for such debt securities;</w:t>
      </w:r>
    </w:p>
    <w:p>
      <w:pPr>
        <w:spacing w:after="0" w:line="130" w:lineRule="exact"/>
        <w:rPr>
          <w:rFonts w:ascii="Times New Roman" w:cs="Times New Roman" w:eastAsia="Times New Roman" w:hAnsi="Times New Roman"/>
          <w:sz w:val="18"/>
          <w:szCs w:val="18"/>
          <w:color w:val="auto"/>
        </w:rPr>
      </w:pPr>
    </w:p>
    <w:p>
      <w:pPr>
        <w:jc w:val="both"/>
        <w:ind w:left="1080" w:right="28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guaranteed by any person or persons and, if so, the identity of such person or persons, the terms and conditions upon which such debt securities shall be guaranteed and, if applicable, the terms and conditions upon which such guarantees may be subordinated to other indebtedness of the respective guarantors;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covenants described in this prospectus or in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if not otherwise described below under “Events of Default”;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for conversion into or exchange for shares of our common stock or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the debt securities shall be subordinated in right of payment to other indebtedness of our company;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of such series.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issue discount debt securities that provide for an amount less than the stated principal amount to be due and payable upon acceleration of the maturity of such debt securities in accordance with the terms of the indenture. We may also issue debt securities in bearer form, with or without coupons. If we issue discount debt securities or debt securities in bearer form, we will describe material U.S. federal income tax considerations and other material special considerations that apply to these debt securities in the applicable prospectus supplement.</w:t>
      </w:r>
    </w:p>
    <w:p>
      <w:pPr>
        <w:spacing w:after="0" w:line="180"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Exchange and/or Conversion Rights</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We may issue debt securities which can be exchanged for or converted into shares of our common stock or preferred stock. If we do, we will describe the terms of exchange or conversion in the prospectus supplement relating to these debt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and Exchange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issue debt securities that will be represented by either:</w:t>
      </w:r>
    </w:p>
    <w:p>
      <w:pPr>
        <w:spacing w:after="0" w:line="131" w:lineRule="exact"/>
        <w:rPr>
          <w:sz w:val="20"/>
          <w:szCs w:val="20"/>
          <w:color w:val="auto"/>
        </w:rPr>
      </w:pPr>
    </w:p>
    <w:p>
      <w:pPr>
        <w:ind w:left="108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“book-entry securities,” which means that there will be one or more global securities registered in the name of a depositary or a nominee of a depositary;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“certificated securities,” which means that they will be represented by a certificate issued in definitive registered form.</w:t>
      </w:r>
    </w:p>
    <w:p>
      <w:pPr>
        <w:spacing w:after="0" w:line="225"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We will specify in the prospectus supplement applicable to a particular offering whether the debt securities offered will be book-entry or certificated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Certificated Debt Securities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If you hold certificated debt securities issued under an indenture, you may transfer or exchange such debt securities in accordance with the terms of the indenture. You will not be charged a service charge for any transfer or exchange of certificated debt securities but may be required to pay an amount sufficient to cover any tax or other governmental charge payable in connection with such transfer or exchange.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Global Securities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debt securities of a series may be issued in the form of one or more global securities that will be deposited with a depositary or its nominees identified in the prospectus supplement relating to the debt securities. In such a case, one or more global securities will be issued in a denomination or aggregate denominations equal to the portion of the aggregate principal amount of outstanding debt securities of the series to be represented by such global security or securities.</w:t>
      </w:r>
    </w:p>
    <w:p>
      <w:pPr>
        <w:spacing w:after="0" w:line="180"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Unless and until it is exchanged in whole or in part for debt securities in definitive registered form, a global security may not be registered for transfer or exchange except as a whole by the depositary for such global security to a nominee of the depositary and except in the circumstances described in the prospectus supplement relating to the debt securities. The specific terms of the depositary arrangement with respect to a series of debt securities will be described in the prospectus supplement relating to such series.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Protection in the Event of Change of Control</w:t>
      </w:r>
    </w:p>
    <w:p>
      <w:pPr>
        <w:spacing w:after="0" w:line="121" w:lineRule="exact"/>
        <w:rPr>
          <w:sz w:val="20"/>
          <w:szCs w:val="20"/>
          <w:color w:val="auto"/>
        </w:rPr>
      </w:pPr>
    </w:p>
    <w:p>
      <w:pPr>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Any provision in an indenture that governs our debt securities covered by this prospectus that includes any covenant or other provision providing for a put or increased interest or otherwise that would afford holders of our debt securities additional protection in the event of a recapitalization transaction, a change of control of our company, or a highly leveraged transaction will be described in the applicable prospectus supplement.</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Covenants</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Unless otherwise indicated in this prospectus or the applicable prospectus supplement, our debt securities may not have the benefit of any covenant that limits or restricts our business or operations, the pledging of our assets or the incurrence by us of indebtedness. We will describe in the applicable prospectus supplement any material covenants in respect of a series of debt securities.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Consolidation, Merger, Conveyance, Transfer or Lease</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agree in any indenture that governs the debt securities of any series covered by this prospectus that we will not consolidate with or merge into any other person or convey, transfer or lease (as lessor) our properties and assets as, or substantially as, an entirety to any person, unless such person and such proposed transaction meets various criteria, which we will describe in detail in the applicable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Defaults and Notice</w:t>
      </w:r>
    </w:p>
    <w:p>
      <w:pPr>
        <w:spacing w:after="0" w:line="121"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The debt securities of any series will contain events of default to be specified in the applicable prospectus supplement, which may include, without limitation:</w:t>
      </w:r>
    </w:p>
    <w:p>
      <w:pPr>
        <w:spacing w:after="0" w:line="67" w:lineRule="exact"/>
        <w:rPr>
          <w:sz w:val="20"/>
          <w:szCs w:val="20"/>
          <w:color w:val="auto"/>
        </w:rPr>
      </w:pPr>
    </w:p>
    <w:p>
      <w:pPr>
        <w:ind w:left="1080" w:right="40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any premium on any debt security of that series at its maturity;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deposit of any sinking fund payment, when and as due by the terms of a debt security of that series;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covenants or agreements in the indenture with respect to the debt securities of such series;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relating to our bankruptcy, insolvency or reorganization.</w:t>
      </w:r>
    </w:p>
    <w:p>
      <w:pPr>
        <w:spacing w:after="0" w:line="2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shall occur and be continuing, we may agree that the trustee or the holders of at least 25% in aggregate principal amount of the then outstanding debt securities of such series may declare the principal amount (or, if the debt securities of such series are issued at an original issue discount, such portion of the principal amount as may be specified in the terms of the debt securities of such series) of all debt securities of such series or such other amount or amounts as the debt securities or supplemental indenture with respect to such series may provide, to be due and payable immediately. Any provisions pertaining to events of default and any remedies associated therewith will be described in the applicable prospectus supplement.</w:t>
      </w:r>
    </w:p>
    <w:p>
      <w:pPr>
        <w:spacing w:after="0" w:line="187"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Any indenture that governs our debt securities covered by this prospectus may require that the trustee under such indenture shall, within 90 days after the occurrence of a default, give to holders of debt securities of any series notice of all uncured and unwaived defaults with respect to such series known to it. However, in the case of a default that results from the failure to make any payment of the principal of, premium, if any, or interest on the debt securities of any series, or in the payment of any sinking or purchase fund installment with respect to debt securities of such series, if any, the trustee may withhold such notice if it in good faith determines that the withholding of such notice is in the interest of the holders of debt securities of such series. Any terms and provisions relating to the foregoing types of provisions will be described in further detail in the applicable prospectus supplement.</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Any indenture that governs our debt securities covered by this prospectus will contain a provision entitling the trustee to be indemnified by holders of debt securities before proceeding to exercise any trust or power under the indenture at the request of such holders. Any such indenture may provide that the holders of at least a majority in aggregate principal amount of the then outstanding debt securities of any series may direct the time, method and place of conducting any proceedings for any remedy available to the trustee, or of exercising any trust or power conferred upon the trustee with respect to the debt securities of such series. However, the trustee under any such indenture may decline to follow any such direction if, among other reasons, the trustee determines in good faith that the actions or proceedings as directed may not lawfully be taken, would involve the trustee in personal liability or would be unduly prejudicial to the holders of the debt securities of such series not joining in such direction.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Any indenture that governs our debt securities covered by this prospectus may endow the holders of such debt securities to institute a proceeding with respect to such indenture, subject to certain conditions, which will be specified in the applicable prospectus supplement and which may include, that the holders of at least a majority in aggregate principal amount of the debt securities of such series then outstanding make a written request upon the trustee to exercise its power under the indenture, indemnify the trustee and afford the trustee reasonable opportunity to act. Even so, such holders may have an absolute right to receipt of the principal of or premium, if any, and interest when due, to require conversion or exchange of debt securities if such indenture provides for convertibility or exchangeability at the option of the holder and to institute suit for the enforcement of such rights. Any terms and provisions relating to the foregoing types of provisions will be described in further detail in the applicable prospectus supplement.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the Indenture</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and the trustee may modify any indenture that governs our debt securities of any series covered by this prospectus with or without the consent of the holders of such debt securities, under certain circumstances to be described in a prospectus supplement.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Defeasance; Satisfaction and Discharge</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will outline the conditions under which we may elect to have certain of our obligations under the indenture discharged and under which the indenture obligations will be deemed to be satisfied.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Regarding the Trustee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identify the trustee and any relationship that we may have with such trustee, with respect to any series of debt securities, in the prospectus supplement relating to the applicable debt securities. You should note that if the trustee becomes a creditor of us, the indenture and the Trust Indenture Act of 1939 limit the rights of the trustee to obtain payment of claims in certain cases, or to realize on certain property received in respect of any such claim, as security or otherwise. The trustee and its affiliates may engage in, and will be permitted to continue to engage in, other transactions with us and our affiliates. If, however, the trustee acquires any “conflicting interest” within the meaning of the Trust Indenture Act of 1939, it must eliminate such conflict or resign.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law governing the indenture and the debt securities will be identified in the prospectus supplement relating to the applicable indenture and debt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OUR UNITS</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summarizes the material terms and provisions of the units that we may offer under this prospectus. Units may be offered independently or together with one or more of the securities that may be offered under this prospectus, in any combination, and may be attached to or separate from those securities. While the terms we have summarized below will generally apply to any future units that we may offer under this prospectus, we will describe the particular terms of any series of units that we may offer in more detail in the applicable prospectus supplement. The terms of any units offered under a prospectus supplement may differ from the terms described below.</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will incorporate by reference into the registration statement of which this prospectus forms a part the form of unit agreement, including a form of unit certificate, if any, that describes the terms of the series of units we are offering before the issuance of the related series of units. The following summaries of material provisions of the units, and the unit agreements, are subject to, and qualified in their entirety by reference to, all the provisions of the unit agreement applicable to a particular series of units. We urge you to read the applicable prospectus supplements related to the units that we sell under this prospectus, as well as the complete unit agreements that contain the terms of the units.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We may issue units comprised of one or more of the securities that may be offered under this prospectus.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including:</w:t>
      </w:r>
    </w:p>
    <w:p>
      <w:pPr>
        <w:spacing w:after="0" w:line="131" w:lineRule="exact"/>
        <w:rPr>
          <w:sz w:val="20"/>
          <w:szCs w:val="20"/>
          <w:color w:val="auto"/>
        </w:rPr>
      </w:pPr>
    </w:p>
    <w:p>
      <w:pPr>
        <w:ind w:left="1080" w:right="18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obligations of the unit agent,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“Description of Our Common Stock,” “Description of our Preferred Stock,” “Description of Our Debt Securities” and “Description of Our Warrants,” will apply to each unit and to any common stock, preferred stock, debt securities or warrants included in each unit,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issue units in such amounts and in numerous distinct series as we determine.</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80"/>
          </w:cols>
          <w:pgMar w:left="320" w:top="455" w:right="4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an Internet website at www.sec.gov that contains reports, proxy and information statements, and other information regarding issuers that file electronically with the SEC. Our reports on Forms 10-K, 10-Q and 8-K, and amendments to those reports, are also available for download, free of charge, as soon as reasonably practicable after these reports are filed with, or furnished to, the SEC, at our website at www.invivyd.com. Information contained on or accessible through our website is not a part of this prospectus or any prospectus supplement, and the inclusion of our website address in this prospectus is an inactive textual reference only.</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the information in other documents that we file with it. This means that we can disclose important information to you by referring you to those documents. The information incorporated by reference is considered to be a part of this prospectus, and information in documents that we file later with the SEC will automatically update and supersede information contained in documents filed earlier with the SEC or contained in this prospectus. We incorporate by reference in this prospectus (i) the documents listed below,</w:t>
      </w:r>
    </w:p>
    <w:p>
      <w:pPr>
        <w:spacing w:after="0" w:line="3" w:lineRule="exact"/>
        <w:rPr>
          <w:sz w:val="20"/>
          <w:szCs w:val="20"/>
          <w:color w:val="auto"/>
        </w:rPr>
      </w:pPr>
    </w:p>
    <w:p>
      <w:pPr>
        <w:ind w:left="120" w:right="140" w:hanging="4"/>
        <w:spacing w:after="0" w:line="253" w:lineRule="auto"/>
        <w:tabs>
          <w:tab w:leader="none" w:pos="38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that we file with the SEC under Section 13(a), 13(c), 14 or 15(d) of the Exchange Act after the date of the initial filing of the registration statement of which this prospectus is included and prior to the effectiveness of such registration statement, and (iii) and any future filings that we may make with the SEC under Sections 13(a), 13(c), 14, or 15(d) of the Exchange Act prior to the termination of the offering under this prospectus; provided, however, that we are not incorporating, in each case, any documents or information deemed to have been furnished and not filed, including any information that we disclose under Items 2.02 or 7.01 of any Current Report on Form 8-K, in accordance with SEC rules:</w:t>
      </w:r>
    </w:p>
    <w:p>
      <w:pPr>
        <w:spacing w:after="0" w:line="92"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9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2021, filed with the SEC on March 31, 2022 (as amended by the Annual Report on </w:t>
      </w:r>
      <w:hyperlink r:id="rId98">
        <w:r>
          <w:rPr>
            <w:rFonts w:ascii="Times New Roman" w:cs="Times New Roman" w:eastAsia="Times New Roman" w:hAnsi="Times New Roman"/>
            <w:sz w:val="18"/>
            <w:szCs w:val="18"/>
            <w:u w:val="single" w:color="auto"/>
            <w:color w:val="0000EE"/>
          </w:rPr>
          <w:t>Form 10-K/A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April 29, 2022);</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1"/>
          <w:numId w:val="44"/>
        </w:numPr>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auto"/>
          </w:rPr>
          <w:t xml:space="preserve">our Quarterly Reports on Form 10-Q for the quarterly periods ended March 31, 2022 and June 30, 2022, filed with the SEC on </w:t>
        </w:r>
        <w:r>
          <w:rPr>
            <w:rFonts w:ascii="Times New Roman" w:cs="Times New Roman" w:eastAsia="Times New Roman" w:hAnsi="Times New Roman"/>
            <w:sz w:val="18"/>
            <w:szCs w:val="18"/>
            <w:u w:val="single" w:color="auto"/>
            <w:color w:val="0000EE"/>
          </w:rPr>
          <w:t>May 13,</w:t>
        </w:r>
      </w:hyperlink>
      <w:r>
        <w:rPr>
          <w:rFonts w:ascii="Times New Roman" w:cs="Times New Roman" w:eastAsia="Times New Roman" w:hAnsi="Times New Roman"/>
          <w:sz w:val="18"/>
          <w:szCs w:val="18"/>
          <w:color w:val="auto"/>
        </w:rPr>
        <w:t xml:space="preserve"> </w:t>
      </w:r>
      <w:hyperlink r:id="rId99">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100">
        <w:r>
          <w:rPr>
            <w:rFonts w:ascii="Times New Roman" w:cs="Times New Roman" w:eastAsia="Times New Roman" w:hAnsi="Times New Roman"/>
            <w:sz w:val="18"/>
            <w:szCs w:val="18"/>
            <w:u w:val="single" w:color="auto"/>
            <w:color w:val="0000EE"/>
          </w:rPr>
          <w:t>August 15, 2022</w:t>
        </w:r>
      </w:hyperlink>
      <w:hyperlink r:id="rId99">
        <w:r>
          <w:rPr>
            <w:rFonts w:ascii="Times New Roman" w:cs="Times New Roman" w:eastAsia="Times New Roman" w:hAnsi="Times New Roman"/>
            <w:sz w:val="18"/>
            <w:szCs w:val="18"/>
            <w:color w:val="000000"/>
          </w:rPr>
          <w:t>, respectively;</w:t>
        </w:r>
      </w:hyperlink>
    </w:p>
    <w:p>
      <w:pPr>
        <w:spacing w:after="0" w:line="67" w:lineRule="exact"/>
        <w:rPr>
          <w:rFonts w:ascii="Times New Roman" w:cs="Times New Roman" w:eastAsia="Times New Roman" w:hAnsi="Times New Roman"/>
          <w:sz w:val="18"/>
          <w:szCs w:val="18"/>
          <w:color w:val="0000EE"/>
        </w:rPr>
      </w:pPr>
    </w:p>
    <w:p>
      <w:pPr>
        <w:ind w:left="1080" w:right="200" w:hanging="424"/>
        <w:spacing w:after="0" w:line="261" w:lineRule="auto"/>
        <w:tabs>
          <w:tab w:leader="none" w:pos="1080" w:val="left"/>
        </w:tabs>
        <w:numPr>
          <w:ilvl w:val="1"/>
          <w:numId w:val="44"/>
        </w:numPr>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auto"/>
          </w:rPr>
          <w:t xml:space="preserve">our Current Reports on Form 8-K (other than the portions thereof that are furnished and not filed) as filed with the SEC on </w:t>
        </w:r>
        <w:r>
          <w:rPr>
            <w:rFonts w:ascii="Times New Roman" w:cs="Times New Roman" w:eastAsia="Times New Roman" w:hAnsi="Times New Roman"/>
            <w:sz w:val="18"/>
            <w:szCs w:val="18"/>
            <w:u w:val="single" w:color="auto"/>
            <w:color w:val="0000EE"/>
          </w:rPr>
          <w:t>January 13,</w:t>
        </w:r>
      </w:hyperlink>
      <w:r>
        <w:rPr>
          <w:rFonts w:ascii="Times New Roman" w:cs="Times New Roman" w:eastAsia="Times New Roman" w:hAnsi="Times New Roman"/>
          <w:sz w:val="18"/>
          <w:szCs w:val="18"/>
          <w:color w:val="auto"/>
        </w:rPr>
        <w:t xml:space="preserve"> </w:t>
      </w:r>
      <w:hyperlink r:id="rId102">
        <w:r>
          <w:rPr>
            <w:rFonts w:ascii="Times New Roman" w:cs="Times New Roman" w:eastAsia="Times New Roman" w:hAnsi="Times New Roman"/>
            <w:sz w:val="18"/>
            <w:szCs w:val="18"/>
            <w:u w:val="single" w:color="auto"/>
            <w:color w:val="0000EE"/>
          </w:rPr>
          <w:t>2022, February 18, 2022, February 22, 2022, February 23, 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(as amended by the Current Report on Form 8-K/A filed 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21,</w:t>
        </w:r>
      </w:hyperlink>
      <w:r>
        <w:rPr>
          <w:rFonts w:ascii="Times New Roman" w:cs="Times New Roman" w:eastAsia="Times New Roman" w:hAnsi="Times New Roman"/>
          <w:sz w:val="18"/>
          <w:szCs w:val="18"/>
          <w:color w:val="0000EE"/>
        </w:rPr>
        <w:t xml:space="preserve"> </w:t>
      </w:r>
      <w:hyperlink r:id="rId103">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1,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21,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19,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21,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22,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30,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5,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September 12,</w:t>
        </w:r>
      </w:hyperlink>
      <w:r>
        <w:rPr>
          <w:rFonts w:ascii="Times New Roman" w:cs="Times New Roman" w:eastAsia="Times New Roman" w:hAnsi="Times New Roman"/>
          <w:sz w:val="18"/>
          <w:szCs w:val="18"/>
          <w:color w:val="0000EE"/>
        </w:rPr>
        <w:t xml:space="preserve"> </w:t>
      </w:r>
      <w:hyperlink r:id="rId103">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104">
        <w:r>
          <w:rPr>
            <w:rFonts w:ascii="Times New Roman" w:cs="Times New Roman" w:eastAsia="Times New Roman" w:hAnsi="Times New Roman"/>
            <w:sz w:val="18"/>
            <w:szCs w:val="18"/>
            <w:u w:val="single" w:color="auto"/>
            <w:color w:val="0000EE"/>
          </w:rPr>
          <w:t>September 13, 2022</w:t>
        </w:r>
      </w:hyperlink>
      <w:hyperlink r:id="rId103">
        <w:r>
          <w:rPr>
            <w:rFonts w:ascii="Times New Roman" w:cs="Times New Roman" w:eastAsia="Times New Roman" w:hAnsi="Times New Roman"/>
            <w:sz w:val="18"/>
            <w:szCs w:val="18"/>
            <w:color w:val="000000"/>
          </w:rPr>
          <w:t>; and</w:t>
        </w:r>
      </w:hyperlink>
    </w:p>
    <w:p>
      <w:pPr>
        <w:spacing w:after="0" w:line="85" w:lineRule="exact"/>
        <w:rPr>
          <w:rFonts w:ascii="Times New Roman" w:cs="Times New Roman" w:eastAsia="Times New Roman" w:hAnsi="Times New Roman"/>
          <w:sz w:val="18"/>
          <w:szCs w:val="18"/>
          <w:color w:val="0000EE"/>
        </w:rPr>
      </w:pPr>
    </w:p>
    <w:p>
      <w:pPr>
        <w:ind w:left="1080" w:right="220" w:hanging="424"/>
        <w:spacing w:after="0" w:line="266" w:lineRule="auto"/>
        <w:tabs>
          <w:tab w:leader="none" w:pos="1080" w:val="left"/>
        </w:tabs>
        <w:numPr>
          <w:ilvl w:val="1"/>
          <w:numId w:val="4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105">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on August 3, 2021, as updated by </w:t>
      </w:r>
      <w:hyperlink r:id="rId106">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our Annual Report on Form 10-K for the fiscal year ended December 31, 2021, including any amendments or reports filed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the purpose of updating such description.</w:t>
      </w:r>
    </w:p>
    <w:p>
      <w:pPr>
        <w:spacing w:after="0" w:line="176" w:lineRule="exact"/>
        <w:rPr>
          <w:rFonts w:ascii="Times New Roman" w:cs="Times New Roman" w:eastAsia="Times New Roman" w:hAnsi="Times New Roman"/>
          <w:sz w:val="18"/>
          <w:szCs w:val="18"/>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You may request, orally or in writing, a copy of any or all of the documents incorporated herein by reference. These documents will be provided to you at no cost, by contacting: Invivyd, Inc., Corporate Secretary, at 1601 Trapelo Road, Suite 178, Waltham, MA 02451 or (781) 819-0080. In addition, copies of any or all of the documents incorporated herein by reference may be accessed at our website at www.invivyd.com. The information on such website is not incorporated by reference and is not a part of this prospectus.</w:t>
      </w:r>
    </w:p>
    <w:p>
      <w:pPr>
        <w:spacing w:after="0" w:line="112"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40"/>
          </w:cols>
          <w:pgMar w:left="320" w:top="455"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validity of the issuance of the securities offered hereby will be passed upon for us by Hogan Lovells US LLP, Philadelphia, Pennsylvania. As appropriate, legal counsel representing the underwriters, dealers or agents will be named in the accompanying prospectus supplement and may opine to certain legal matters.</w:t>
      </w:r>
    </w:p>
    <w:p>
      <w:pPr>
        <w:spacing w:after="0" w:line="38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Annual Report on Form 10-K for the year ended December 31, 2021 have been so incorporated in reliance on the report of PricewaterhouseCoopers LLP, an independent registered public accounting firm, given on the authority of said firm as experts in auditing and accounting.</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320" w:top="455" w:right="5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652780</wp:posOffset>
            </wp:positionV>
            <wp:extent cx="2588895" cy="4114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1">
                      <a:extLst>
                        <a:ext uri="{28A0092B-C50C-407E-A947-70E740481C1C}"/>
                      </a:extLst>
                    </a:blip>
                    <a:srcRect/>
                    <a:stretch>
                      <a:fillRect/>
                    </a:stretch>
                  </pic:blipFill>
                  <pic:spPr bwMode="auto">
                    <a:xfrm>
                      <a:off x="0" y="0"/>
                      <a:ext cx="2588895" cy="41148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5"/>
          <w:szCs w:val="25"/>
          <w:b w:val="1"/>
          <w:bCs w:val="1"/>
          <w:color w:val="auto"/>
        </w:rPr>
        <w:t>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1927225</wp:posOffset>
            </wp:positionV>
            <wp:extent cx="1474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243840</wp:posOffset>
            </wp:positionV>
            <wp:extent cx="14744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Sole Book-Running Manager</w:t>
      </w:r>
    </w:p>
    <w:p>
      <w:pPr>
        <w:spacing w:after="0" w:line="23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9"/>
          <w:szCs w:val="29"/>
          <w:b w:val="1"/>
          <w:bCs w:val="1"/>
          <w:color w:val="auto"/>
        </w:rPr>
        <w:t>Cantor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1."/>
      <w:numFmt w:val="lowerRoman"/>
      <w:start w:val="1"/>
    </w:lvl>
  </w:abstractNum>
  <w:abstractNum w:abstractNumId="13">
    <w:nsid w:val="2901D82"/>
    <w:multiLevelType w:val="hybridMultilevel"/>
    <w:lvl w:ilvl="0">
      <w:lvlJc w:val="left"/>
      <w:lvlText w:val="%1."/>
      <w:numFmt w:val="lowerRoman"/>
      <w:start w:val="6"/>
    </w:lvl>
  </w:abstractNum>
  <w:abstractNum w:abstractNumId="14">
    <w:nsid w:val="3A95F874"/>
    <w:multiLevelType w:val="hybridMultilevel"/>
    <w:lvl w:ilvl="0">
      <w:lvlJc w:val="left"/>
      <w:lvlText w:val="%1."/>
      <w:numFmt w:val="lowerRoman"/>
      <w:start w:val="1"/>
    </w:lvl>
  </w:abstractNum>
  <w:abstractNum w:abstractNumId="15">
    <w:nsid w:val="8138641"/>
    <w:multiLevelType w:val="hybridMultilevel"/>
    <w:lvl w:ilvl="0">
      <w:lvlJc w:val="left"/>
      <w:lvlText w:val="%1."/>
      <w:numFmt w:val="lowerRoman"/>
      <w:start w:val="3"/>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1)"/>
      <w:numFmt w:val="lowerRoman"/>
      <w:start w:val="1"/>
    </w:lvl>
  </w:abstractNum>
  <w:abstractNum w:abstractNumId="18">
    <w:nsid w:val="737B8DDC"/>
    <w:multiLevelType w:val="hybridMultilevel"/>
    <w:lvl w:ilvl="0">
      <w:lvlJc w:val="left"/>
      <w:lvlText w:val="%1)"/>
      <w:numFmt w:val="decimal"/>
      <w:start w:val="57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1)"/>
      <w:numFmt w:val="lowerRoman"/>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1)"/>
      <w:numFmt w:val="lowerLetter"/>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1)"/>
      <w:numFmt w:val="lowerRoman"/>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jpe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107" Type="http://schemas.openxmlformats.org/officeDocument/2006/relationships/image" Target="media/image78.png"/><Relationship Id="rId108" Type="http://schemas.openxmlformats.org/officeDocument/2006/relationships/image" Target="media/image79.png"/><Relationship Id="rId109" Type="http://schemas.openxmlformats.org/officeDocument/2006/relationships/image" Target="media/image80.png"/><Relationship Id="rId110" Type="http://schemas.openxmlformats.org/officeDocument/2006/relationships/image" Target="media/image81.png"/><Relationship Id="rId111" Type="http://schemas.openxmlformats.org/officeDocument/2006/relationships/image" Target="media/image82.jpeg"/><Relationship Id="rId112" Type="http://schemas.openxmlformats.org/officeDocument/2006/relationships/image" Target="media/image83.png"/><Relationship Id="rId113" Type="http://schemas.openxmlformats.org/officeDocument/2006/relationships/image" Target="media/image84.png"/><Relationship Id="rId114" Type="http://schemas.openxmlformats.org/officeDocument/2006/relationships/image" Target="media/image85.png"/><Relationship Id="rId115" Type="http://schemas.openxmlformats.org/officeDocument/2006/relationships/image" Target="media/image86.png"/><Relationship Id="rId50" Type="http://schemas.openxmlformats.org/officeDocument/2006/relationships/hyperlink" Target="http://www.sec.gov/ix?doc=/Archives/edgar/data/0001832038/000095017025042332/ivvd-20241231.htm" TargetMode="External"/><Relationship Id="rId51" Type="http://schemas.openxmlformats.org/officeDocument/2006/relationships/hyperlink" Target="http://www.sec.gov/ix?doc=/Archives/edgar/data/0001832038/000095017025051587/ivvd-20250407.htm" TargetMode="External"/><Relationship Id="rId52" Type="http://schemas.openxmlformats.org/officeDocument/2006/relationships/hyperlink" Target="http://www.sec.gov/ix?doc=/Archives/edgar/data/0001832038/000095017025071974/ivvd-20250331.htm" TargetMode="External"/><Relationship Id="rId53" Type="http://schemas.openxmlformats.org/officeDocument/2006/relationships/hyperlink" Target="http://www.sec.gov/ix?doc=/Archives/edgar/data/1832038/000095017025109029/ivvd-20250630.htm" TargetMode="External"/><Relationship Id="rId54" Type="http://schemas.openxmlformats.org/officeDocument/2006/relationships/hyperlink" Target="http://www.sec.gov/ix?doc=/Archives/edgar/data/0001832038/000095017025003781/ivvd-20250110.htm" TargetMode="External"/><Relationship Id="rId55" Type="http://schemas.openxmlformats.org/officeDocument/2006/relationships/hyperlink" Target="http://www.sec.gov/ix?doc=/Archives/edgar/data/0001832038/000095017025068543/ivvd-20250512.htm" TargetMode="External"/><Relationship Id="rId56" Type="http://schemas.openxmlformats.org/officeDocument/2006/relationships/hyperlink" Target="http://www.sec.gov/ix?doc=/Archives/edgar/data/0001832038/000119312525120261/d66861d8k.htm" TargetMode="External"/><Relationship Id="rId57" Type="http://schemas.openxmlformats.org/officeDocument/2006/relationships/hyperlink" Target="http://www.sec.gov/ix?doc=/Archives/edgar/data/0001832038/000095017025075199/ivvd-20250520.htm" TargetMode="External"/><Relationship Id="rId58" Type="http://schemas.openxmlformats.org/officeDocument/2006/relationships/hyperlink" Target="http://www.sec.gov/ix?doc=/Archives/edgar/data/0001832038/000095017025090172/ivvd-20250626.htm" TargetMode="External"/><Relationship Id="rId59" Type="http://schemas.openxmlformats.org/officeDocument/2006/relationships/hyperlink" Target="http://www.sec.gov/ix?doc=/Archives/edgar/data/0001832038/000095017025092528/ivvd-20250702.htm" TargetMode="External"/><Relationship Id="rId60" Type="http://schemas.openxmlformats.org/officeDocument/2006/relationships/hyperlink" Target="http://www.sec.gov/ix?doc=/Archives/edgar/data/1832038/000119312525180890/d936404d8k.htm" TargetMode="External"/><Relationship Id="rId61" Type="http://schemas.openxmlformats.org/officeDocument/2006/relationships/hyperlink" Target="http://www.sec.gov/Archives/edgar/data/1832038/000095017024037610/ivvd-ex4_2.htm" TargetMode="External"/><Relationship Id="rId97" Type="http://schemas.openxmlformats.org/officeDocument/2006/relationships/hyperlink" Target="http://www.sec.gov/ix?doc=/Archives/edgar/data/1832038/000095017022005112/adgi-20211231.htm" TargetMode="External"/><Relationship Id="rId98" Type="http://schemas.openxmlformats.org/officeDocument/2006/relationships/hyperlink" Target="http://www.sec.gov/ix?doc=/Archives/edgar/data/1832038/000119312522134035/d304392d10ka.htm" TargetMode="External"/><Relationship Id="rId99" Type="http://schemas.openxmlformats.org/officeDocument/2006/relationships/hyperlink" Target="http://www.sec.gov/ix?doc=/Archives/edgar/data/1832038/000095017022009799/adgi-20220331.htm" TargetMode="External"/><Relationship Id="rId100" Type="http://schemas.openxmlformats.org/officeDocument/2006/relationships/hyperlink" Target="http://www.sec.gov/ix?doc=/Archives/edgar/data/1832038/000095017022017242/adgi-20220630.htm" TargetMode="External"/><Relationship Id="rId101" Type="http://schemas.openxmlformats.org/officeDocument/2006/relationships/hyperlink" Target="http://www.sec.gov/ix?doc=/Archives/edgar/data/1832038/000119312522008197/d277827d8k.htm" TargetMode="External"/><Relationship Id="rId102" Type="http://schemas.openxmlformats.org/officeDocument/2006/relationships/hyperlink" Target="http://www.sec.gov/ix?doc=/Archives/edgar/data/1832038/000119312522079997/d285779d8ka.htm" TargetMode="External"/><Relationship Id="rId103" Type="http://schemas.openxmlformats.org/officeDocument/2006/relationships/hyperlink" Target="http://www.sec.gov/ix?doc=/Archives/edgar/data/1832038/000119312522242433/d382910d8k.htm" TargetMode="External"/><Relationship Id="rId104" Type="http://schemas.openxmlformats.org/officeDocument/2006/relationships/hyperlink" Target="http://www.sec.gov/ix?doc=/Archives/edgar/data/1832038/000119312522243285/d388436d8k.htm" TargetMode="External"/><Relationship Id="rId105" Type="http://schemas.openxmlformats.org/officeDocument/2006/relationships/hyperlink" Target="http://www.sec.gov/Archives/edgar/data/1832038/000119312521233921/d109461d8a12b.htm" TargetMode="External"/><Relationship Id="rId106" Type="http://schemas.openxmlformats.org/officeDocument/2006/relationships/hyperlink" Target="http://www.sec.gov/Archives/edgar/data/1832038/000095017022005112/adgi-ex4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2025-08-20T15:21:46Z</dcterms:created>
  <dcterms:modified xsi:type="dcterms:W3CDTF">2025-08-20T15:21:46Z</dcterms:modified>
</cp:coreProperties>
</file>