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TERRANCE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4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21, 2024 and vests in full upon the earlier of (i) May 21, 2025 or (ii) the date of the Issuer's 2025 Annual Meeting of Stockholders, subject to the Reporting Person's continuous service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05/23/2024</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Terrance McGuire</w:t>
            </w:r>
          </w:p>
        </w:tc>
        <w:tc>
          <w:tcPr>
            <w:tcW w:w="4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2024-05-23T19:33:34Z</dcterms:created>
  <dcterms:modified xsi:type="dcterms:W3CDTF">2024-05-23T19:33:34Z</dcterms:modified>
</cp:coreProperties>
</file>