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Invivyd,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IVVD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0.8092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20, 2025 and vests in full upon the earlier of (i) May 20, 2026 or (ii) the date of the Issuer's 2026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05/22/2025</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Terrance McGuire</w:t>
            </w:r>
          </w:p>
        </w:tc>
        <w:tc>
          <w:tcPr>
            <w:tcW w:w="4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2025-05-22T15:22:10Z</dcterms:created>
  <dcterms:modified xsi:type="dcterms:W3CDTF">2025-05-22T15:22:10Z</dcterms:modified>
</cp:coreProperties>
</file>