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138430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154305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Invivyd,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139065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4"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001-40703</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85-1403134</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26"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6"/>
              </w:rPr>
              <w:t>1601 Trapelo Road, Suite 178</w:t>
            </w:r>
          </w:p>
        </w:tc>
        <w:tc>
          <w:tcPr>
            <w:tcW w:w="1860" w:type="dxa"/>
            <w:vAlign w:val="bottom"/>
          </w:tcPr>
          <w:p>
            <w:pPr>
              <w:spacing w:after="0"/>
              <w:rPr>
                <w:sz w:val="13"/>
                <w:szCs w:val="13"/>
                <w:color w:val="auto"/>
              </w:rPr>
            </w:pPr>
          </w:p>
        </w:tc>
      </w:tr>
      <w:tr>
        <w:trPr>
          <w:trHeight w:val="159"/>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7"/>
              </w:rPr>
              <w:t>Waltham, MA</w:t>
            </w: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02451</w:t>
            </w:r>
          </w:p>
        </w:tc>
      </w:tr>
      <w:tr>
        <w:trPr>
          <w:trHeight w:val="13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60" w:type="dxa"/>
            <w:vAlign w:val="bottom"/>
          </w:tcPr>
          <w:p>
            <w:pPr>
              <w:jc w:val="center"/>
              <w:ind w:left="134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(781) 819-0080</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134620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2"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45"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IVVD</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ind w:left="6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5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8.01.   Other Events.</w:t>
      </w:r>
    </w:p>
    <w:p>
      <w:pPr>
        <w:spacing w:after="0" w:line="80" w:lineRule="exact"/>
        <w:rPr>
          <w:sz w:val="20"/>
          <w:szCs w:val="20"/>
          <w:color w:val="auto"/>
        </w:rPr>
      </w:pPr>
    </w:p>
    <w:p>
      <w:pPr>
        <w:ind w:left="640" w:right="659" w:firstLine="309"/>
        <w:spacing w:after="0" w:line="221" w:lineRule="auto"/>
        <w:rPr>
          <w:sz w:val="20"/>
          <w:szCs w:val="20"/>
          <w:color w:val="auto"/>
        </w:rPr>
      </w:pPr>
      <w:r>
        <w:rPr>
          <w:rFonts w:ascii="Times New Roman" w:cs="Times New Roman" w:eastAsia="Times New Roman" w:hAnsi="Times New Roman"/>
          <w:sz w:val="13"/>
          <w:szCs w:val="13"/>
          <w:color w:val="auto"/>
        </w:rPr>
        <w:t>On April 4, 2024, Invivyd, Inc. (the “Company”) issued a press release entitled “Invivyd Provides 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Launch Update and Announces 2024 Net Product Revenue Guidance in the Range of $150 Million to $200 Million”. A copy of the press release is filed herewith as Exhibit 99.1 and is incorporated by reference in this Item 8.01.</w:t>
      </w:r>
    </w:p>
    <w:p>
      <w:pPr>
        <w:spacing w:after="0" w:line="141"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On April 4, 2024, the Company also posted an updated corporate presentation on its website at www.invivyd.com. A copy of the presentation is filed herewith as Exhibit 99.2 and is incorporated by reference in this Item 8.01.</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920" w:type="dxa"/>
            <w:vAlign w:val="bottom"/>
            <w:vMerge w:val="restart"/>
          </w:tcPr>
          <w:p>
            <w:pPr>
              <w:ind w:left="110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1"/>
        </w:trPr>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No.</w:t>
            </w:r>
          </w:p>
        </w:tc>
        <w:tc>
          <w:tcPr>
            <w:tcW w:w="300" w:type="dxa"/>
            <w:vAlign w:val="bottom"/>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0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Press Release, dated April 4, 2024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00" w:type="dxa"/>
            <w:vAlign w:val="bottom"/>
          </w:tcPr>
          <w:p>
            <w:pPr>
              <w:spacing w:after="0"/>
              <w:rPr>
                <w:sz w:val="18"/>
                <w:szCs w:val="18"/>
                <w:color w:val="auto"/>
              </w:rPr>
            </w:pPr>
          </w:p>
        </w:tc>
        <w:tc>
          <w:tcPr>
            <w:tcW w:w="2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5"/>
              </w:rPr>
              <w:t>Corporate Presentation, dated April 4, 2024</w:t>
            </w: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tcPr>
          <w:p>
            <w:pPr>
              <w:spacing w:after="0"/>
              <w:rPr>
                <w:sz w:val="20"/>
                <w:szCs w:val="20"/>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INVIVYD,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April 4,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Jill Andersen</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Legal Officer and Corporate Secretary</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Invivyd Provides PEMGARDA</w:t>
      </w:r>
      <w:r>
        <w:rPr>
          <w:rFonts w:ascii="Times New Roman" w:cs="Times New Roman" w:eastAsia="Times New Roman" w:hAnsi="Times New Roman"/>
          <w:sz w:val="18"/>
          <w:szCs w:val="18"/>
          <w:b w:val="1"/>
          <w:bCs w:val="1"/>
          <w:color w:val="auto"/>
          <w:vertAlign w:val="superscript"/>
        </w:rPr>
        <w:t>TM</w:t>
      </w:r>
      <w:r>
        <w:rPr>
          <w:rFonts w:ascii="Times New Roman" w:cs="Times New Roman" w:eastAsia="Times New Roman" w:hAnsi="Times New Roman"/>
          <w:sz w:val="13"/>
          <w:szCs w:val="13"/>
          <w:b w:val="1"/>
          <w:bCs w:val="1"/>
          <w:color w:val="auto"/>
        </w:rPr>
        <w:t xml:space="preserve"> Launch Update and Announces 2024 Net Product</w:t>
      </w:r>
    </w:p>
    <w:p>
      <w:pPr>
        <w:jc w:val="center"/>
        <w:spacing w:after="0"/>
        <w:rPr>
          <w:sz w:val="20"/>
          <w:szCs w:val="20"/>
          <w:color w:val="auto"/>
        </w:rPr>
      </w:pPr>
      <w:r>
        <w:rPr>
          <w:rFonts w:ascii="Times New Roman" w:cs="Times New Roman" w:eastAsia="Times New Roman" w:hAnsi="Times New Roman"/>
          <w:sz w:val="13"/>
          <w:szCs w:val="13"/>
          <w:b w:val="1"/>
          <w:bCs w:val="1"/>
          <w:color w:val="auto"/>
        </w:rPr>
        <w:t>Revenue Guidance in the Range of $150 Million to $200 Million</w:t>
      </w:r>
    </w:p>
    <w:p>
      <w:pPr>
        <w:spacing w:after="0" w:line="159" w:lineRule="exact"/>
        <w:rPr>
          <w:sz w:val="20"/>
          <w:szCs w:val="20"/>
          <w:color w:val="auto"/>
        </w:rPr>
      </w:pPr>
    </w:p>
    <w:p>
      <w:pPr>
        <w:ind w:left="1320" w:right="67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PEMGARDA now commercially available in the U.S. for pre-exposure prophylaxis (PrEP) of COVID-19 in certain adults and adolescents with moderate-to-severe immune compromise</w:t>
      </w:r>
    </w:p>
    <w:p>
      <w:pPr>
        <w:spacing w:after="0" w:line="55" w:lineRule="exact"/>
        <w:rPr>
          <w:rFonts w:ascii="Times New Roman" w:cs="Times New Roman" w:eastAsia="Times New Roman" w:hAnsi="Times New Roman"/>
          <w:sz w:val="13"/>
          <w:szCs w:val="13"/>
          <w:color w:val="auto"/>
        </w:rPr>
      </w:pPr>
    </w:p>
    <w:p>
      <w:pPr>
        <w:ind w:left="1320" w:right="75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anticipated net product revenue and continued optimization of operational expenses, company expects to end 2024 with at least $55 million in cash and cash equivalents</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Conference call today at 5 pm ET to discuss PEMGARDA launch progress</w:t>
      </w:r>
    </w:p>
    <w:p>
      <w:pPr>
        <w:spacing w:after="0" w:line="154" w:lineRule="exact"/>
        <w:rPr>
          <w:sz w:val="20"/>
          <w:szCs w:val="20"/>
          <w:color w:val="auto"/>
        </w:rPr>
      </w:pPr>
    </w:p>
    <w:p>
      <w:pPr>
        <w:ind w:left="640" w:right="739"/>
        <w:spacing w:after="0" w:line="295" w:lineRule="auto"/>
        <w:rPr>
          <w:sz w:val="20"/>
          <w:szCs w:val="20"/>
          <w:color w:val="auto"/>
        </w:rPr>
      </w:pPr>
      <w:r>
        <w:rPr>
          <w:rFonts w:ascii="Times New Roman" w:cs="Times New Roman" w:eastAsia="Times New Roman" w:hAnsi="Times New Roman"/>
          <w:sz w:val="13"/>
          <w:szCs w:val="13"/>
          <w:color w:val="auto"/>
        </w:rPr>
        <w:t>WALTHAM, Mass., April 4, 2024 (GLOBE NEWSWIRE) — Invivyd, Inc. (Nasdaq: IVVD), a biopharmaceutical company on a mission to protect the vulnerable from serious viral infectious diseases, today announced that 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is now available for purchase in the U.S.</w:t>
      </w:r>
    </w:p>
    <w:p>
      <w:pPr>
        <w:spacing w:after="0" w:line="17"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On March 22, 2024, PEMGARDA (pemivibart) injection, for intravenous use, received emergency use authorization (EUA) from the U.S. Food and Drug Administration (FDA)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 am very pleased to announce that, in less than two weeks from receiving EUA, PEMGARDA is now commercially available for order across the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U.S.,” said Dave Hering, Chief Executive Officer. “This is a remarkable achievement for our organization and for the immunocompromised individuals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we serve. With product now available, today we are providing initial PEMGARDA net product revenue guidance in the range of $150 million to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$200 million for the full year 2024. Based on this anticipated net product revenue and our continued optimization of operating expenses, we expect to</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end 2024 with at least $55 million in cash and cash equivalents.”</w:t>
      </w:r>
    </w:p>
    <w:p>
      <w:pPr>
        <w:spacing w:after="0" w:line="141"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PEMGARDA is available by prescription through a network of authorized specialty distributors. Healthcare professionals seeking to obtain PEMGARDA for their patients should contact their primary vendor for ordering information or contact Invivyd at 1-800-890-3385 for more information. For additional information about PEMGARDA, please see the full product Fact Sheet for Healthcare Providers, including important safety information and boxed warning.</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 &amp; Webcast</w:t>
      </w:r>
    </w:p>
    <w:p>
      <w:pPr>
        <w:spacing w:after="0" w:line="8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 xml:space="preserve">Invivyd will host a conference call and webcast today, Thursday, April 4 at 5 pm ET. A live audio webcast will be available at https://investors.invivyd.com/. Listeners can register for the webcast via this </w:t>
      </w:r>
      <w:r>
        <w:rPr>
          <w:rFonts w:ascii="Times New Roman" w:cs="Times New Roman" w:eastAsia="Times New Roman" w:hAnsi="Times New Roman"/>
          <w:sz w:val="13"/>
          <w:szCs w:val="13"/>
          <w:u w:val="single" w:color="auto"/>
          <w:color w:val="auto"/>
        </w:rPr>
        <w:t>link</w:t>
      </w:r>
      <w:r>
        <w:rPr>
          <w:rFonts w:ascii="Times New Roman" w:cs="Times New Roman" w:eastAsia="Times New Roman" w:hAnsi="Times New Roman"/>
          <w:sz w:val="13"/>
          <w:szCs w:val="13"/>
          <w:color w:val="auto"/>
        </w:rPr>
        <w:t xml:space="preserve">. Analysts wishing to participate in the question-and-answer session should use this </w:t>
      </w:r>
      <w:r>
        <w:rPr>
          <w:rFonts w:ascii="Times New Roman" w:cs="Times New Roman" w:eastAsia="Times New Roman" w:hAnsi="Times New Roman"/>
          <w:sz w:val="13"/>
          <w:szCs w:val="13"/>
          <w:u w:val="single" w:color="auto"/>
          <w:color w:val="auto"/>
        </w:rPr>
        <w:t>link</w:t>
      </w:r>
      <w:r>
        <w:rPr>
          <w:rFonts w:ascii="Times New Roman" w:cs="Times New Roman" w:eastAsia="Times New Roman" w:hAnsi="Times New Roman"/>
          <w:sz w:val="13"/>
          <w:szCs w:val="13"/>
          <w:color w:val="auto"/>
        </w:rPr>
        <w:t>. A replay of the webcast will be available in the investor section of the company’s website approximately two hours after the end of the call. Those who plan on participating are advised to join 15 minutes prior to the start time.</w:t>
      </w:r>
    </w:p>
    <w:p>
      <w:pPr>
        <w:sectPr>
          <w:pgSz w:w="11900" w:h="16838" w:orient="portrait"/>
          <w:cols w:equalWidth="0" w:num="1">
            <w:col w:w="9019"/>
          </w:cols>
          <w:pgMar w:left="1440" w:top="125"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PEMGARDA</w:t>
      </w:r>
    </w:p>
    <w:p>
      <w:pPr>
        <w:spacing w:after="0" w:line="80"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 xml:space="preserve">PEMGARDA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of COVID-19. PEMGARDA has demonstrated </w:t>
      </w:r>
      <w:r>
        <w:rPr>
          <w:rFonts w:ascii="Times New Roman" w:cs="Times New Roman" w:eastAsia="Times New Roman" w:hAnsi="Times New Roman"/>
          <w:sz w:val="13"/>
          <w:szCs w:val="13"/>
          <w:i w:val="1"/>
          <w:iCs w:val="1"/>
          <w:color w:val="auto"/>
        </w:rPr>
        <w:t>in vitro</w:t>
      </w:r>
      <w:r>
        <w:rPr>
          <w:rFonts w:ascii="Times New Roman" w:cs="Times New Roman" w:eastAsia="Times New Roman" w:hAnsi="Times New Roman"/>
          <w:sz w:val="13"/>
          <w:szCs w:val="13"/>
          <w:color w:val="auto"/>
        </w:rPr>
        <w:t xml:space="preserve"> neutralizing activity in pseudotyped virus-like particle and authentic virus neutralization assays against major SARS-CoV-2 variants, including JN.1, the dominant variant in the U.S. currently according to estimates from the Centers for Disease Control and Prevention. PEMGARDA targets the SARS-CoV-2 spike protein receptor binding domain (RBD), thereby inhibiting virus attachment to the human ACE2 receptor on host cells.</w:t>
      </w:r>
    </w:p>
    <w:p>
      <w:pPr>
        <w:spacing w:after="0" w:line="135"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2"/>
          <w:szCs w:val="12"/>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PEMGARDA is not authorized for use for treatment of COVID-19 or post-exposure prophylaxis of COVID-19. 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pacing w:after="0" w:line="127" w:lineRule="exact"/>
        <w:rPr>
          <w:sz w:val="20"/>
          <w:szCs w:val="20"/>
          <w:color w:val="auto"/>
        </w:rPr>
      </w:pPr>
    </w:p>
    <w:p>
      <w:pPr>
        <w:ind w:left="640" w:right="659"/>
        <w:spacing w:after="0" w:line="233" w:lineRule="auto"/>
        <w:rPr>
          <w:sz w:val="20"/>
          <w:szCs w:val="20"/>
          <w:color w:val="auto"/>
        </w:rPr>
      </w:pPr>
      <w:r>
        <w:rPr>
          <w:rFonts w:ascii="Times New Roman" w:cs="Times New Roman" w:eastAsia="Times New Roman" w:hAnsi="Times New Roman"/>
          <w:sz w:val="13"/>
          <w:szCs w:val="13"/>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Additionally, the variability associated with cell-based EC</w:t>
      </w:r>
      <w:r>
        <w:rPr>
          <w:rFonts w:ascii="Times New Roman" w:cs="Times New Roman" w:eastAsia="Times New Roman" w:hAnsi="Times New Roman"/>
          <w:sz w:val="18"/>
          <w:szCs w:val="18"/>
          <w:color w:val="auto"/>
          <w:vertAlign w:val="subscript"/>
        </w:rPr>
        <w:t>50</w:t>
      </w:r>
      <w:r>
        <w:rPr>
          <w:rFonts w:ascii="Times New Roman" w:cs="Times New Roman" w:eastAsia="Times New Roman" w:hAnsi="Times New Roman"/>
          <w:sz w:val="13"/>
          <w:szCs w:val="13"/>
          <w:color w:val="auto"/>
        </w:rPr>
        <w:t xml:space="preserve"> value determinations, along with limitations related to pharmacokinetic data and efficacy estimates for the mAbs in prior clinical trials, impact the ability to precisely estimate protective titer ranges.</w:t>
      </w:r>
    </w:p>
    <w:p>
      <w:pPr>
        <w:spacing w:after="0" w:line="141"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About Invivyd</w:t>
      </w:r>
    </w:p>
    <w:p>
      <w:pPr>
        <w:spacing w:after="0" w:line="80" w:lineRule="exact"/>
        <w:rPr>
          <w:sz w:val="20"/>
          <w:szCs w:val="20"/>
          <w:color w:val="auto"/>
        </w:rPr>
      </w:pPr>
    </w:p>
    <w:p>
      <w:pPr>
        <w:ind w:left="640" w:right="739"/>
        <w:spacing w:after="0" w:line="232" w:lineRule="auto"/>
        <w:rPr>
          <w:sz w:val="20"/>
          <w:szCs w:val="20"/>
          <w:color w:val="auto"/>
        </w:rPr>
      </w:pPr>
      <w:r>
        <w:rPr>
          <w:rFonts w:ascii="Times New Roman" w:cs="Times New Roman" w:eastAsia="Times New Roman" w:hAnsi="Times New Roman"/>
          <w:sz w:val="13"/>
          <w:szCs w:val="13"/>
          <w:color w:val="auto"/>
        </w:rPr>
        <w:t>Invivyd, Inc. (Nasdaq: IVVD) is commercial-stage company on a mission to rapidly and perpetually deliver antibody-based therapies that protect vulnerable people from the devastating consequences of circulating viral threats, beginning with SARS-CoV-2. The company’s proprietary INVYMAB</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platform approach combines state-of-the-art viral surveillance and predictive modeling with advanced antibody engineering. INVYMAB is designed to facilitate the rapid, serial generation of new monoclonal antibodies (mAbs) to keep pace with evolving viral threats. In March 2024, Invivyd received emergency use authorization (EUA) from the U.S. FDA for its first mAb in a planned series of innovative antibody candidates. Visit https://invivyd.com/ to learn more.</w:t>
      </w:r>
    </w:p>
    <w:p>
      <w:pPr>
        <w:sectPr>
          <w:pgSz w:w="11900" w:h="16838" w:orient="portrait"/>
          <w:cols w:equalWidth="0" w:num="1">
            <w:col w:w="9019"/>
          </w:cols>
          <w:pgMar w:left="1440" w:top="229"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Cautionary Note Regarding Forward 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potential of PEMGARDA as a mAb for pre-exposure prophylaxis (prevention) of COVID-19 in certain adults and adolescents (12 years of age and older weighing at least 40 kg) with moderate-to-severe immune compromise; the company’s plans related to the commercialization of PEMGARDA, including expectations regarding availability of PEMGARDA; 2024 financial guidance, including the company’s anticipated net product revenue and projected cash and cash equivalents balance; the company’s anticipated continued optimization of operating expenses; the company’s ongoing research and clinical development efforts, and the timing thereof; the company’s mission to rapidly and perpetually deliver antibody-based therapies that protect vulnerable people from the devastating consequences of circulating viral threats, beginning with SARS-CoV-2; the design of the company’s INVYMAB platform approach to facilitate the rapid, serial generation of new mAbs to keep pace with evolving viral threats; the company’s expectation that PEMGARDA is the first mAb in a planned series of innovative antibody candidates;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how long the EUA granted by the FDA for PEMGARDA will remain in effect and whether the EUA is revoked or revised by the FDA; the company’s ability to build and maintain sales, marketing and distribution capabilities to successfully commercialize PEMGARDA; changes in expected or existing competition; the timing and progress of the company’s discovery, preclinical and clinical development activities; the uncertainties and timing of the regulatory authorization or approval process, and available development and regulatory pathways for authorization or approval of the company’s product candidates; changes in the regulatory environment; unexpected safety or efficacy data observed during preclinical studies or clinical trials; the ability to maintain a continued acceptable safety, tolerability and efficacy profile of PEMGARDA or any other product candidate following regulatory authorization or approval; the predictability of clinical success of the company’s product candidates based on neutralizing activity in preclinical studies; the risk that results of preclinical studies or clinical trials may not be predictive of future results, and interim data are subject to further analysis; the company’s reliance on third parties with respect to virus assay creation and product candidate testing and with respect to its clinical trials; variability of results in models used to predict activity against SARS-CoV-2 variants; whether PEMGARDA or any other product candidate is able to demonstrate and sustain neutralizing activity against major SARS-CoV-2 variants, particularly in the face of viral evolution; the complexities of manufacturing mAb therapies; the company’s dependence on third parties to manufacture, label, package, store and distribute clinical and commercial supplies of its product candidates; whether the company is able to provide sufficient commercial supply of PEMGARDA to meet market demand; whether the company can obtain and maintain third-party coverage and adequate reimbursement for PEMGARDA or any other product candidate; the company’s ability to leverage its INVYMAB platform approach to facilitate the rapid, serial generation of new mAbs to keep pace with evolving viral threats; any litigation and other proceedings or government investigations relating to the company; the company’s ability to continue as a going concern; the company’s ability to optimize operating expenses;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200" w:lineRule="exact"/>
        <w:rPr>
          <w:sz w:val="20"/>
          <w:szCs w:val="20"/>
          <w:color w:val="auto"/>
        </w:rPr>
      </w:pP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This press release contains hyperlinks to information that is not deemed to be incorporated by reference in this press release.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Media Relations</w:t>
      </w:r>
    </w:p>
    <w:p>
      <w:pPr>
        <w:spacing w:after="0" w:line="15" w:lineRule="exact"/>
        <w:rPr>
          <w:sz w:val="20"/>
          <w:szCs w:val="20"/>
          <w:color w:val="auto"/>
        </w:rPr>
      </w:pPr>
    </w:p>
    <w:p>
      <w:pPr>
        <w:ind w:left="640" w:right="7319" w:hanging="3"/>
        <w:spacing w:after="0" w:line="287" w:lineRule="auto"/>
        <w:tabs>
          <w:tab w:leader="none" w:pos="945"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208-1747 media@invivyd.com</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 Relations</w:t>
      </w:r>
    </w:p>
    <w:p>
      <w:pPr>
        <w:spacing w:after="0" w:line="15" w:lineRule="exact"/>
        <w:rPr>
          <w:sz w:val="20"/>
          <w:szCs w:val="20"/>
          <w:color w:val="auto"/>
        </w:rPr>
      </w:pPr>
    </w:p>
    <w:p>
      <w:pPr>
        <w:ind w:left="640" w:right="7179" w:hanging="3"/>
        <w:spacing w:after="0" w:line="287" w:lineRule="auto"/>
        <w:tabs>
          <w:tab w:leader="none" w:pos="94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208-1747 investors@invivyd.com</w:t>
      </w:r>
    </w:p>
    <w:p>
      <w:pPr>
        <w:sectPr>
          <w:pgSz w:w="11900" w:h="16838" w:orient="portrait"/>
          <w:cols w:equalWidth="0" w:num="1">
            <w:col w:w="9019"/>
          </w:cols>
          <w:pgMar w:left="1440" w:top="229" w:right="1440" w:bottom="1440" w:gutter="0" w:footer="0" w:header="0"/>
        </w:sectPr>
      </w:pPr>
    </w:p>
    <w:bookmarkStart w:id="6" w:name="page7"/>
    <w:bookmarkEnd w:id="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781"/>
    </w:lvl>
  </w:abstractNum>
  <w:abstractNum w:abstractNumId="3">
    <w:nsid w:val="625558EC"/>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2024-04-04T16:46:45Z</dcterms:created>
  <dcterms:modified xsi:type="dcterms:W3CDTF">2024-04-04T16:46:45Z</dcterms:modified>
</cp:coreProperties>
</file>