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Royan Ajay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TRAPELO ROAD, SUITE 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IVVD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0.724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March 24, 2025 and vests over a three-year period, with one-third of the shares subject to the grant vesting on the first anniversary of the grant date and 1/36th of the total shares subject to the grant vesting in substantially equal monthly installments thereafter, subject to the Reporting Person's continuous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Andersen attorney-in-fact for Ajay Royan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614" TargetMode="External"/><Relationship Id="rId5" Type="http://schemas.openxmlformats.org/officeDocument/2006/relationships/hyperlink" Target="http://www.sec.gov/cgi-bin/browse-edgar?action=getcompany&amp;CIK=0001832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3413</Characters>
  <CharactersWithSpaces>3982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