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21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2188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Lindenboom Christine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INVIVYD,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1601 TRAPELO ROAD, SUITE 178</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Invivyd,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IVVD</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7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40" w:type="dxa"/>
            <w:vAlign w:val="bottom"/>
            <w:tcBorders>
              <w:bottom w:val="single" w:sz="8" w:color="0000EE"/>
            </w:tcBorders>
          </w:tcPr>
          <w:p>
            <w:pPr>
              <w:spacing w:after="0"/>
              <w:rPr>
                <w:sz w:val="3"/>
                <w:szCs w:val="3"/>
                <w:color w:val="auto"/>
              </w:rPr>
            </w:pPr>
          </w:p>
        </w:tc>
        <w:tc>
          <w:tcPr>
            <w:tcW w:w="2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line="159"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8"/>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270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11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05/21/2024</w:t>
            </w:r>
          </w:p>
        </w:tc>
        <w:tc>
          <w:tcPr>
            <w:tcW w:w="2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27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2.21</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05/21/2024</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50,000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05/20/2034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50,000</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50,000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7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May 21, 2024 and vests in full upon the earlier of (i) May 21, 2025 or (ii) the date of the Issuer's 2025 Annual Meeting of Stockholders, subject to the Reporting Person's continuous service through such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Jill Andersen attorney-in-</w:t>
            </w:r>
          </w:p>
        </w:tc>
        <w:tc>
          <w:tcPr>
            <w:tcW w:w="280" w:type="dxa"/>
            <w:vAlign w:val="bottom"/>
            <w:gridSpan w:val="2"/>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05/23/2024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40" w:type="dxa"/>
            <w:vAlign w:val="bottom"/>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7"/>
              </w:rPr>
              <w:t>fact for Christine Lindenboom</w:t>
            </w:r>
          </w:p>
        </w:tc>
        <w:tc>
          <w:tcPr>
            <w:tcW w:w="16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40" w:type="dxa"/>
            <w:vAlign w:val="bottom"/>
            <w:tcBorders>
              <w:bottom w:val="single" w:sz="8" w:color="auto"/>
            </w:tcBorders>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gridSpan w:val="2"/>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950692" TargetMode="External"/><Relationship Id="rId13"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2024-05-23T19:27:15Z</dcterms:created>
  <dcterms:modified xsi:type="dcterms:W3CDTF">2024-05-23T19:27:15Z</dcterms:modified>
</cp:coreProperties>
</file>