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27, 2025, Invivyd, Inc. issued a press release entitled “Invivyd Provides Another Positive SARS-CoV-2 Variant Data Analysis to Satisfy U.S. FDA’s Gating Request for Completing Its Review of EUA Request for PEMGARDA™ (pemivibart) for the Treatment of Mild-to-Moderate COVID-19 in Certain Immunocompromised Patients.” A copy of the press release is filed herewith as Exhibit 99.1 and is incorporated by reference in this Item 8.01.</w:t>
      </w:r>
    </w:p>
    <w:p>
      <w:pPr>
        <w:spacing w:after="0" w:line="172"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January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-20320</wp:posOffset>
            </wp:positionV>
            <wp:extent cx="174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27, 2025</w:t>
            </w:r>
          </w:p>
        </w:tc>
        <w:tc>
          <w:tcPr>
            <w:tcW w:w="76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54"/>
        </w:trPr>
        <w:tc>
          <w:tcPr>
            <w:tcW w:w="3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42" w:lineRule="auto"/>
        <w:rPr>
          <w:sz w:val="20"/>
          <w:szCs w:val="20"/>
          <w:color w:val="auto"/>
        </w:rPr>
      </w:pPr>
      <w:r>
        <w:rPr>
          <w:rFonts w:ascii="Calibri" w:cs="Calibri" w:eastAsia="Calibri" w:hAnsi="Calibri"/>
          <w:sz w:val="25"/>
          <w:szCs w:val="25"/>
          <w:color w:val="auto"/>
        </w:rPr>
        <w:t>Invivyd Provides Another Positve SARS-CoV-2 Variant Data Analysis to Satsfy U.S. FDA’s Gatng Request for Completng Its Review of EUA Request for PEMGARDA™ (pemivibart) for the Treatment of Mild-to-Moderate COVID-19 in Certain Immunocompromised Patents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760" w:right="180" w:hanging="378"/>
        <w:spacing w:after="0" w:line="236"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Treatment immunobridging analysis, routnely updated for contemporary SARS-CoV-2 variants, compares pemivibart antviral tters to adintrevimab antviral tters from the company’s previous Phase 2/3 clinical trial of adintrevimab for the treatment of COVID-19 (STAMP), in which adintrevimab conferred a 66% to 74% reducton in risk of hospitalizaton or death from COVID-19 compared to placebo depending on tme of therapy start</w:t>
      </w:r>
    </w:p>
    <w:p>
      <w:pPr>
        <w:spacing w:after="0" w:line="25" w:lineRule="exact"/>
        <w:rPr>
          <w:rFonts w:ascii="Times New Roman" w:cs="Times New Roman" w:eastAsia="Times New Roman" w:hAnsi="Times New Roman"/>
          <w:sz w:val="20"/>
          <w:szCs w:val="20"/>
          <w:color w:val="auto"/>
        </w:rPr>
      </w:pPr>
    </w:p>
    <w:p>
      <w:pPr>
        <w:ind w:left="760" w:right="360" w:hanging="378"/>
        <w:spacing w:after="0" w:line="236"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Most recent updated analysis provided to FDA, incorporatng current dominant SARS-CoV-2 variant XEC neutralizaton data, demonstrated substantally higher pemivibart tters in the critcal early phase post-dosing (Days 0-5) as compared to adintrevimab</w:t>
      </w:r>
    </w:p>
    <w:p>
      <w:pPr>
        <w:spacing w:after="0" w:line="22" w:lineRule="exact"/>
        <w:rPr>
          <w:rFonts w:ascii="Times New Roman" w:cs="Times New Roman" w:eastAsia="Times New Roman" w:hAnsi="Times New Roman"/>
          <w:sz w:val="20"/>
          <w:szCs w:val="20"/>
          <w:color w:val="auto"/>
        </w:rPr>
      </w:pPr>
    </w:p>
    <w:p>
      <w:pPr>
        <w:ind w:left="760" w:right="48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Data provided to FDA includes supportve data showing atractve comparison of antviral actvity between pemivibart and monoclonal antbodies previously authorized for treatment of COVID-19</w:t>
      </w:r>
    </w:p>
    <w:p>
      <w:pPr>
        <w:spacing w:after="0" w:line="23" w:lineRule="exact"/>
        <w:rPr>
          <w:rFonts w:ascii="Times New Roman" w:cs="Times New Roman" w:eastAsia="Times New Roman" w:hAnsi="Times New Roman"/>
          <w:sz w:val="20"/>
          <w:szCs w:val="20"/>
          <w:color w:val="auto"/>
        </w:rPr>
      </w:pPr>
    </w:p>
    <w:p>
      <w:pPr>
        <w:ind w:left="760" w:right="200" w:hanging="378"/>
        <w:spacing w:after="0" w:line="236"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Pemivibart safety profle demonstrated in the company’s CANOPY Phase 3 clinical trial supports the EUA amendment request; further, no additonal reports of anaphylaxis have been identfed during post-authorizaton use of PEMGARDA for COVID-19 pre-exposure prophylaxis (PrEP) to date</w:t>
      </w:r>
    </w:p>
    <w:p>
      <w:pPr>
        <w:spacing w:after="0" w:line="22" w:lineRule="exact"/>
        <w:rPr>
          <w:rFonts w:ascii="Times New Roman" w:cs="Times New Roman" w:eastAsia="Times New Roman" w:hAnsi="Times New Roman"/>
          <w:sz w:val="20"/>
          <w:szCs w:val="20"/>
          <w:color w:val="auto"/>
        </w:rPr>
      </w:pPr>
    </w:p>
    <w:p>
      <w:pPr>
        <w:ind w:left="760" w:right="42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i w:val="1"/>
          <w:iCs w:val="1"/>
          <w:color w:val="auto"/>
        </w:rPr>
        <w:t>Updated analysis builds upon multple comparable analyses submited to the FDA beginning July 2024 for prior SARS-CoV-2 variants, all showing consistent antviral tter relatonships and a favorable risk-beneft profle</w:t>
      </w:r>
    </w:p>
    <w:p>
      <w:pPr>
        <w:spacing w:after="0" w:line="200" w:lineRule="exact"/>
        <w:rPr>
          <w:sz w:val="20"/>
          <w:szCs w:val="20"/>
          <w:color w:val="auto"/>
        </w:rPr>
      </w:pPr>
    </w:p>
    <w:p>
      <w:pPr>
        <w:spacing w:after="0" w:line="350"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WALTHAM, Mass., Jan. 27, 2025 (GLOBE NEWSWIRE) -- Invivyd, Inc. (Nasdaq: IVVD), a biopharmaceutcal company devoted to delivering protecton from serious viral infectous diseases, today announced the submission to the U.S. Food and Drug Administraton (FDA) of an updated immunobridging analysis of pemivibart as ongoing support of a potental amendment to the Emergency Use Authorizaton (EUA) for pemivibart, a half-life extended investgatonal monoclonal antbody (mAb), to include the treatment of mild-to-moderate symptomatc COVID-19 in certain immunocompromised patents for whom alternatve COVID-19 treatment optons are not accessible or clinically appropriate. PEMGARDA™ (pemivibart) received an EUA from the FDA in March 2024 for pre-exposure prophylaxis (PrEP) of COVID-19 in certain adults and adolescents with moderate-to-severe immune compromise.</w:t>
      </w:r>
    </w:p>
    <w:p>
      <w:pPr>
        <w:spacing w:after="0" w:line="148" w:lineRule="exact"/>
        <w:rPr>
          <w:sz w:val="20"/>
          <w:szCs w:val="20"/>
          <w:color w:val="auto"/>
        </w:rPr>
      </w:pPr>
    </w:p>
    <w:p>
      <w:pPr>
        <w:ind w:right="180"/>
        <w:spacing w:after="0" w:line="236" w:lineRule="auto"/>
        <w:rPr>
          <w:sz w:val="20"/>
          <w:szCs w:val="20"/>
          <w:color w:val="auto"/>
        </w:rPr>
      </w:pPr>
      <w:r>
        <w:rPr>
          <w:rFonts w:ascii="Calibri" w:cs="Calibri" w:eastAsia="Calibri" w:hAnsi="Calibri"/>
          <w:sz w:val="20"/>
          <w:szCs w:val="20"/>
          <w:color w:val="auto"/>
        </w:rPr>
        <w:t>This updated treatment immunobridging analysis, incorporatng dominant SARS-CoV-2 variant XEC neutralizaton data, is similar to the approach and data that supported the PEMGARDA PrEP EUA. The updated analysis is in line with the prior, positve treatment immunobridging analyses of pemivibart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ind w:right="100"/>
        <w:spacing w:after="0" w:line="234" w:lineRule="auto"/>
        <w:rPr>
          <w:sz w:val="20"/>
          <w:szCs w:val="20"/>
          <w:color w:val="auto"/>
        </w:rPr>
      </w:pPr>
      <w:r>
        <w:rPr>
          <w:rFonts w:ascii="Calibri" w:cs="Calibri" w:eastAsia="Calibri" w:hAnsi="Calibri"/>
          <w:sz w:val="20"/>
          <w:szCs w:val="20"/>
          <w:color w:val="auto"/>
        </w:rPr>
        <w:t>versus its parent molecule, adintrevimab, and other comparator mAbs based on prior virus variants, previously submited to the FDA in mid-2024 and late-2024 in support of the company’s EUA amendment request for COVID-19 treatment.</w:t>
      </w:r>
    </w:p>
    <w:p>
      <w:pPr>
        <w:spacing w:after="0" w:line="158"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The comparison between pemivibart and adintrevimab illustrates serum virus neutralizing antbody (sVNA) tters, the clinical measure of antviral actvity, conferred by pemivibart substantally exceed those of adintrevimab for the frst four days post dosing, afer which tters fall modestly below. As a long-actng mAb, pemivibart would be expected to exert meaningful antviral actvity for many months following a single dose. In the STAMP clinical trial, adintrevimab conferred the majority of its maximum antviral efect by Day 5 and demonstrated a viral load reducton generally in line with PAXLOVID®</w:t>
      </w:r>
      <w:r>
        <w:rPr>
          <w:rFonts w:ascii="Calibri" w:cs="Calibri" w:eastAsia="Calibri" w:hAnsi="Calibri"/>
          <w:sz w:val="26"/>
          <w:szCs w:val="26"/>
          <w:color w:val="auto"/>
          <w:vertAlign w:val="superscript"/>
        </w:rPr>
        <w:t>1</w:t>
      </w:r>
      <w:r>
        <w:rPr>
          <w:rFonts w:ascii="Calibri" w:cs="Calibri" w:eastAsia="Calibri" w:hAnsi="Calibri"/>
          <w:sz w:val="20"/>
          <w:szCs w:val="20"/>
          <w:color w:val="auto"/>
        </w:rPr>
        <w:t>. Because pemivibart is dosed intravenously, higher serum drug concentraton and corresponding antviral actvity are delivered immediately, compared to the slower distributon of intramuscularly administered adintrevimab. Pemivibart’s pharmacodynamic profle therefore may have some beneft in modifying viral infecton and associated clinical outcomes as compared to adintrevimab. Prior randomized control trials of COVID-19 mAbs have underscored the beneft of deploying maximum antviral actvity as early as possible in the treatment of actve infecton in avoiding hospitalizaton and adverse morbid/mortal outcomes</w:t>
      </w:r>
      <w:r>
        <w:rPr>
          <w:rFonts w:ascii="Calibri" w:cs="Calibri" w:eastAsia="Calibri" w:hAnsi="Calibri"/>
          <w:sz w:val="26"/>
          <w:szCs w:val="26"/>
          <w:color w:val="auto"/>
          <w:vertAlign w:val="superscript"/>
        </w:rPr>
        <w:t>2</w:t>
      </w:r>
      <w:r>
        <w:rPr>
          <w:rFonts w:ascii="Calibri" w:cs="Calibri" w:eastAsia="Calibri" w:hAnsi="Calibri"/>
          <w:sz w:val="20"/>
          <w:szCs w:val="20"/>
          <w:color w:val="auto"/>
        </w:rPr>
        <w:t>. If an EUA amendment for COVID-19 treatment is granted, Invivyd intends to assess the virologic profle of pemivibart in a clinical study designed in collaboraton with the FDA.</w:t>
      </w:r>
    </w:p>
    <w:p>
      <w:pPr>
        <w:spacing w:after="0" w:line="145"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The standing treatment EUA request supportng pemivibart for the treatment of COVID-19 in certain immunocompromised patents for whom alternatve COVID-19 treatment optons, such as PAXLOVID® (nirmatrelvir) therapy, are not accessible or clinically appropriate, relies on the safety profle and sVNA tters of PEMGARDA demonstrated in the CANOPY Phase 3 clinical trial. Following the four cases of anaphylaxis seen in the CANOPY clinical trial, no reports of anaphylaxis have been identfed to date during post-authorizaton use of PEMGARDA across potentally thousands of PEMGARDA doses administered in clinical practce.</w:t>
      </w:r>
    </w:p>
    <w:p>
      <w:pPr>
        <w:spacing w:after="0" w:line="158"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“Current therapies for COVID-19 have signifcant limitatons, for example the drug-drug interacton complicatons imposed by nirmatrelvir create clinical circumstances in which standard of care may not be possible or appropriate for patents in need. Patents – partcularly the millions of Americans who are immunocompromised – desperately need more and beter therapeutc optons because COVID-19 is not going away. Monoclonal antbodies have been highly atractve therapeutc optons in the past and the community would welcome the return of a therapeutc mAb,” said Amesh Adalja, MD, FIDSA, FACP, FACEP, Senior Scholar, Johns Hopkins Center for Health Security.</w:t>
      </w:r>
    </w:p>
    <w:p>
      <w:pPr>
        <w:spacing w:after="0" w:line="386"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The EUA process does not rely on a statutory tmeline such as the tmelines embedded into the Prescripton Drug User Fee Act (PDUFA)-based regulatory actons such as New Drug Applicaton (NDA) or Biologics License Applicaton (BLA) approval processes. Invivyd initally submited a package to the FDA in support of a COVID-19 treatment EUA amendment request in July 2024, and since has provided consistent, tmely updates to the FDA as SARS-CoV-2 virus variaton has presented and as Invivyd has generated data in its ongoing industrial virology efort. Of note, given robust and consistent generaton of sVNA tters, the direct expression of antbody antviral actvity, and comparability across multple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16884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26" w:lineRule="exact"/>
        <w:rPr>
          <w:sz w:val="20"/>
          <w:szCs w:val="20"/>
          <w:color w:val="auto"/>
        </w:rPr>
      </w:pPr>
    </w:p>
    <w:p>
      <w:pPr>
        <w:ind w:left="100" w:hanging="92"/>
        <w:spacing w:after="0"/>
        <w:tabs>
          <w:tab w:leader="none" w:pos="100" w:val="left"/>
        </w:tabs>
        <w:numPr>
          <w:ilvl w:val="0"/>
          <w:numId w:val="3"/>
        </w:numPr>
        <w:rPr>
          <w:rFonts w:ascii="Calibri" w:cs="Calibri" w:eastAsia="Calibri" w:hAnsi="Calibri"/>
          <w:sz w:val="24"/>
          <w:szCs w:val="24"/>
          <w:color w:val="auto"/>
          <w:vertAlign w:val="superscript"/>
        </w:rPr>
      </w:pPr>
      <w:r>
        <w:rPr>
          <w:rFonts w:ascii="Calibri" w:cs="Calibri" w:eastAsia="Calibri" w:hAnsi="Calibri"/>
          <w:sz w:val="18"/>
          <w:szCs w:val="18"/>
          <w:color w:val="auto"/>
        </w:rPr>
        <w:t>Hammond et al NEJM 2022;386:1397-1408</w:t>
      </w:r>
    </w:p>
    <w:p>
      <w:pPr>
        <w:ind w:left="100" w:hanging="92"/>
        <w:spacing w:after="0" w:line="211" w:lineRule="auto"/>
        <w:tabs>
          <w:tab w:leader="none" w:pos="100" w:val="left"/>
        </w:tabs>
        <w:numPr>
          <w:ilvl w:val="0"/>
          <w:numId w:val="4"/>
        </w:numPr>
        <w:rPr>
          <w:rFonts w:ascii="Times New Roman" w:cs="Times New Roman" w:eastAsia="Times New Roman" w:hAnsi="Times New Roman"/>
          <w:sz w:val="24"/>
          <w:szCs w:val="24"/>
          <w:color w:val="auto"/>
          <w:vertAlign w:val="superscript"/>
        </w:rPr>
      </w:pPr>
      <w:r>
        <w:rPr>
          <w:rFonts w:ascii="Calibri" w:cs="Calibri" w:eastAsia="Calibri" w:hAnsi="Calibri"/>
          <w:sz w:val="18"/>
          <w:szCs w:val="18"/>
          <w:color w:val="auto"/>
        </w:rPr>
        <w:t xml:space="preserve">Ison et al </w:t>
      </w:r>
      <w:r>
        <w:rPr>
          <w:rFonts w:ascii="Calibri" w:cs="Calibri" w:eastAsia="Calibri" w:hAnsi="Calibri"/>
          <w:sz w:val="18"/>
          <w:szCs w:val="18"/>
          <w:color w:val="1B1B1B"/>
        </w:rPr>
        <w:t>Open Forum Infect Dis. 2023 May 24;10(6):ofad279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5" w:name="page6"/>
    <w:bookmarkEnd w:id="5"/>
    <w:p>
      <w:pPr>
        <w:ind w:right="420"/>
        <w:spacing w:after="0" w:line="236" w:lineRule="auto"/>
        <w:rPr>
          <w:sz w:val="20"/>
          <w:szCs w:val="20"/>
          <w:color w:val="auto"/>
        </w:rPr>
      </w:pPr>
      <w:r>
        <w:rPr>
          <w:rFonts w:ascii="Calibri" w:cs="Calibri" w:eastAsia="Calibri" w:hAnsi="Calibri"/>
          <w:sz w:val="20"/>
          <w:szCs w:val="20"/>
          <w:color w:val="auto"/>
        </w:rPr>
        <w:t>antbodies, Invivyd believes that the performance of Invivyd antbodies based on sVNA tters represents a well-supported surrogate endpoint and should be considered for approval beyond EUA to enable pemivibart to remain a long-term opton for vulnerable, immunocompromised persons.</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PEMGARDA</w:t>
      </w:r>
    </w:p>
    <w:p>
      <w:pPr>
        <w:spacing w:after="0" w:line="9" w:lineRule="exact"/>
        <w:rPr>
          <w:sz w:val="20"/>
          <w:szCs w:val="20"/>
          <w:color w:val="auto"/>
        </w:rPr>
      </w:pPr>
    </w:p>
    <w:p>
      <w:pPr>
        <w:ind w:right="100"/>
        <w:spacing w:after="0" w:line="237" w:lineRule="auto"/>
        <w:rPr>
          <w:sz w:val="20"/>
          <w:szCs w:val="20"/>
          <w:color w:val="auto"/>
        </w:rPr>
      </w:pPr>
      <w:r>
        <w:rPr>
          <w:rFonts w:ascii="Calibri" w:cs="Calibri" w:eastAsia="Calibri" w:hAnsi="Calibri"/>
          <w:sz w:val="20"/>
          <w:szCs w:val="20"/>
          <w:color w:val="auto"/>
        </w:rPr>
        <w:t>PEMGARDA™ (pemivibart) is a half-life extended investgatonal monoclonal antbody (mAb). PEMGARDA was engineered from adintrevimab, Invivyd’s investgatonal mAb that has a robust safety data package and provided evidence of clinical efcacy in global Phase 2/3 clinical trials for the preventon and treatment of COVID-19. PEMGARDA has demonstrated in vitro neutralizing actvity against major SARS-CoV-2 variants, including JN.1, KP.3.1.1 and XEC. PEMGARDA targets the SARS-CoV-2 spike protein receptor binding domain (RBD), thereby inhibitng virus atachment to the human ACE2 receptor on host cells.</w:t>
      </w:r>
    </w:p>
    <w:p>
      <w:pPr>
        <w:spacing w:after="0" w:line="145"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color w:val="auto"/>
        </w:rPr>
        <w:t>PEMGARDA (pemivibart) injecton (4500 mg), for intravenous use is an investgatonal mAb that has not been approved, but has been authorized for emergency use by the U.S. FDA under an EUA for the pre-exposure prophylaxis (preventon) of COVID-19 in adults and adolescents (12 years of age and older weighing at least 40 kg) who have moderate-to-severe immune compromise due to certain medical conditons or receipt of certain immunosuppressive medicatons or treatments and are unlikely to mount an adequate immune response to COVID-19 vaccinaton. Recipients should not be currently infected with or have had a known recent exposure to an individual infected with SARS-CoV-2.</w:t>
      </w:r>
    </w:p>
    <w:p>
      <w:pPr>
        <w:spacing w:after="0" w:line="160"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PEMGARDA is not authorized for use for treatment of COVID-19 or post-exposure prophylaxis of COVID-19. Pre-exposure prophylaxis with PEMGARDA is not a substtute for vaccinaton in individuals for whom COVID-19 vaccinaton is recommended. Individuals for whom COVID-19 vaccinaton is recommended, including individuals with moderate-to-severe immune compromise who may derive beneft from COVID-19 vaccinatons, should receive COVID-19 vaccinaton. In individuals who have recently received a COVID-19 vaccine, PEMGARDA should be administered at least 2 weeks afer vaccinaton.</w:t>
      </w:r>
    </w:p>
    <w:p>
      <w:pPr>
        <w:spacing w:after="0" w:line="158"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Anaphylaxis has been observed with PEMGARDA and the PEMGARDA Fact Sheet for Healthcare Providers includes a boxed warning for anaphylaxis. The most common adverse events (all grades, incidence ≥2%) observed in partcipants who have moderate-to-severe immune compromise treated with PEMGARDA included systemic and local infusion-related or hypersensitvity reactons, upper respiratory tract infecton, viral infecton, infuenza-like illness, fatgue, headache, and nausea. For additonal informaton, please see the PEMGARDA full product Fact Sheet for Healthcare Providers, including important safety informaton and boxed warning.</w:t>
      </w:r>
    </w:p>
    <w:p>
      <w:pPr>
        <w:spacing w:after="0" w:line="145"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To support the EUA for PEMGARDA, an immunobridging approach was used to determine if PEMGARDA may be efectve for pre-exposure prophylaxis of COVID-19. Immunobridging is based on the serum virus neutralizing tter-efcacy relatonships identfed with other neutralizing human mAbs against SARS-CoV-2. This includes adintrevimab, the parent mAb of pemivibart, and other mAbs that were previously authorized for EUA. There are limitatons of the data supportng the benefts of PEMGARDA. Evidence of clinical efcacy for other neutralizing human mAbs against SARS-CoV-2 was based on diferent populatons and SARS-CoV-2 variants that are no longer circulatng. Further, the variability associated with cell-based EC50 value determinatons, along with limitatons related to pharmacokinetc data and efcacy estmates for the mAbs in prior clinical trials, impact the ability to precisely estmate protectve tter ranges. Additonally, certain SARS-CoV-2 viral variants may emerge that have substantally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color w:val="auto"/>
        </w:rPr>
        <w:t>susceptbility to PEMGARDA, and PEMGARDA may not be efectve at preventng COVID-19 caused by these SARS-CoV-2 viral variants.</w:t>
      </w:r>
    </w:p>
    <w:p>
      <w:pPr>
        <w:spacing w:after="0" w:line="157"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The emergency use of PEMGARDA is only authorized for the duraton of the declaraton that circumstances exist justfying the authorizaton of the emergency use of drugs and biological products during the COVID-19 pandemic under Secton 564(b)(1) of the Federal Food, Drug, and Cosmetc Act, 21 U.S.C. § 360bbb-3(b)(1), unless the declaraton is terminated or authorizaton revoked sooner. PEMGARDA is authorized for use only when the combined natonal frequency of variants with substantally reduced susceptbility to PEMGARDA is less than or equal to 90%, based on available informaton including variant susceptbility to PEMGARDA and natonal variant frequencies.</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Invivyd</w:t>
      </w:r>
    </w:p>
    <w:p>
      <w:pPr>
        <w:spacing w:after="0" w:line="9"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Invivyd, Inc. (Nasdaq: IVVD) is a biopharmaceutcal company devoted to delivering protecton from serious viral infectous diseases, beginning with SARS-CoV-2. Invivyd deploys a proprietary integrated technology platorm unique in the industry designed to assess, monitor, develop, and adapt to create best in class antbodies. In March 2024, Invivyd received emergency use authorizaton (EUA) from the U.S. FDA for a monoclonal antbody (mAb) in its pipeline of innovatve antbody candidates. Visit htps://invivyd.com/ to learn more.</w:t>
      </w:r>
    </w:p>
    <w:p>
      <w:pPr>
        <w:spacing w:after="0" w:line="151" w:lineRule="exact"/>
        <w:rPr>
          <w:sz w:val="20"/>
          <w:szCs w:val="20"/>
          <w:color w:val="auto"/>
        </w:rPr>
      </w:pPr>
    </w:p>
    <w:p>
      <w:pPr>
        <w:spacing w:after="0"/>
        <w:rPr>
          <w:sz w:val="20"/>
          <w:szCs w:val="20"/>
          <w:color w:val="auto"/>
        </w:rPr>
      </w:pPr>
      <w:r>
        <w:rPr>
          <w:rFonts w:ascii="Calibri" w:cs="Calibri" w:eastAsia="Calibri" w:hAnsi="Calibri"/>
          <w:sz w:val="20"/>
          <w:szCs w:val="20"/>
          <w:color w:val="auto"/>
        </w:rPr>
        <w:t>Trademarks are the property of their respectve owners.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 Looking Statements</w:t>
      </w:r>
    </w:p>
    <w:p>
      <w:pPr>
        <w:spacing w:after="0" w:line="9" w:lineRule="exact"/>
        <w:rPr>
          <w:sz w:val="20"/>
          <w:szCs w:val="20"/>
          <w:color w:val="auto"/>
        </w:rPr>
      </w:pPr>
    </w:p>
    <w:p>
      <w:pPr>
        <w:ind w:right="20"/>
        <w:spacing w:after="0" w:line="238"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Words such as “antcipates,” “believes,” “could,” “expects,” “estmates,” “intends,” “potental,” “projects,” and “future” or similar expressions (as well as other words or expressions referencing future events, conditons or circumstances) are intended to identfy forward-looking statements. Forward-looking statements include statements concerning, among other things, the company’s ongoing research and development actvites, as well as future potental research and development eforts; the company’s emergency use authorizaton (EUA) amendment request for PEMGARDA™ (pemivibart) for the treatment of mild-to-moderate COVID-19 in certain immunocompromised patents, and the company’s beliefs regarding data supportve thereof; expectatons regarding the duraton of antviral actvity of pemivibart, and the potental benefts of pemivibart’s pharmacodynamic profle; the company’s intenton to assess the virologic profle of pemivibart in a clinical study, if an EUA amendment for COVID-19 treatment is granted; expectatons regarding the COVID-19 landscape, limitatons of current therapies for COVID-19, and the potental of mAbs as a therapeutc opton for COVID-19; the company’s beliefs about possible regulatory pathways for Invivyd antbodies, and the potental for pemivibart as a long-term opton for vulnerable, immunocompromised patents; the company’s ongoing industrial virology efort; the potental of PEMGARDA as a mAb for pre-exposure prophylaxis (preventon) of COVID-19 in certain adults and adolescents who have moderate-to-severe immune compromise; the company’s devoton to delivering protecton from serious viral infectous diseases, beginning with SARS-CoV-2; and other statements that are not historical fact. The company may not actually achieve the plans, intentons or expectatons disclosed in the company’s forward-looking statements and you should not place undue reliance on the company’s forward-looking statements. These forward-looking statements involve risks and uncertaintes that could cause the company’s actual results to difer materially from the results described in or implied by the forward-looking statements, including, without limitaton: the outcome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1" w:right="37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color w:val="auto"/>
        </w:rPr>
        <w:t>the company’s EUA amendment request for pemivibart for treatment of mild-to-moderate COVID-19 in certain immunocompromised patents, and the tming thereof; how long the EUA granted by the FDA for PEMGARDA will remain in efect and whether the EUA is revised or revoked by the FDA; uncertaintes related to the regulatory authorizaton or approval process, and available development and regulatory pathways for authorizaton or approval of the company’s product candidates; the ability to maintain a contnued acceptable safety, tolerability and efcacy profle of any product candidate following regulatory authorizaton or approval; changes in the regulatory environment; the tming and progress of the company’s discovery, preclinical and clinical development actvites; the risk that results of nonclinical studies or clinical trials may not be predictve of future results, and interim data are subject to further analysis; unexpected safety or efcacy data observed during preclinical studies or clinical trials; the predictability of clinical success of the company’s product candidates based on neutralizing actvity in nonclinical studies; potental variability in neutralizing actvity of product candidates tested in diferent assays, such as pseudovirus assays and authentc assays; the company’s reliance on third partes with respect to virus assay creaton and product candidate testng and with respect to its clinical trials; variability of results in models and methods used to predict actvity against SARS-CoV-2 variants; whether the epitope that pemivibart targets remains structurally intact; whether pemivibart or any other product candidate is able to demonstrate and sustain neutralizing actvity against major SARS-CoV-2 variants, partcularly in the face of viral evoluton; the company’s ability to maintain and expand sales, marketng and distributon capabilites to successfully commercialize PEMGARDA; changes in expected or existng competton; the company’s ability to contnue as a going concern; and whether the company has adequate funding to meet future operatng expenses and capital expenditure requirements. Other factors that may cause the company’s actual results to difer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September 30, 2024, each fled with the Securites and Exchange Commission (SEC), and in the company’s other flings with the SEC, and in its future reports to be fled with the SEC and available at www.sec.gov. Forward-looking statements contained in this press release are made as of this date, and Invivyd undertakes no duty to update such informaton whether as a result of new informaton, future events or otherwise, except as required under applicable law.</w:t>
      </w:r>
    </w:p>
    <w:p>
      <w:pPr>
        <w:spacing w:after="0" w:line="357"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hyperlinks to informaton that is not deemed to be incorporated by reference in this press release.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Media Relatons</w:t>
      </w:r>
    </w:p>
    <w:p>
      <w:pPr>
        <w:spacing w:after="0" w:line="9" w:lineRule="exact"/>
        <w:rPr>
          <w:sz w:val="20"/>
          <w:szCs w:val="20"/>
          <w:color w:val="auto"/>
        </w:rPr>
      </w:pPr>
    </w:p>
    <w:p>
      <w:pPr>
        <w:ind w:right="9560" w:firstLine="8"/>
        <w:spacing w:after="0" w:line="254" w:lineRule="auto"/>
        <w:tabs>
          <w:tab w:leader="none" w:pos="476" w:val="left"/>
        </w:tabs>
        <w:numPr>
          <w:ilvl w:val="0"/>
          <w:numId w:val="5"/>
        </w:numPr>
        <w:rPr>
          <w:rFonts w:ascii="Calibri" w:cs="Calibri" w:eastAsia="Calibri" w:hAnsi="Calibri"/>
          <w:sz w:val="19"/>
          <w:szCs w:val="19"/>
          <w:color w:val="auto"/>
        </w:rPr>
      </w:pPr>
      <w:r>
        <w:rPr>
          <w:rFonts w:ascii="Calibri" w:cs="Calibri" w:eastAsia="Calibri" w:hAnsi="Calibri"/>
          <w:sz w:val="19"/>
          <w:szCs w:val="19"/>
          <w:color w:val="auto"/>
        </w:rPr>
        <w:t>208-1747 media@invivyd .com</w:t>
      </w:r>
    </w:p>
    <w:p>
      <w:pPr>
        <w:spacing w:after="0" w:line="120"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9" w:lineRule="exact"/>
        <w:rPr>
          <w:sz w:val="20"/>
          <w:szCs w:val="20"/>
          <w:color w:val="auto"/>
        </w:rPr>
      </w:pPr>
    </w:p>
    <w:p>
      <w:pPr>
        <w:ind w:right="9320" w:firstLine="8"/>
        <w:spacing w:after="0" w:line="234" w:lineRule="auto"/>
        <w:tabs>
          <w:tab w:leader="none" w:pos="476"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1226185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1)"/>
      <w:numFmt w:val="decimal"/>
      <w:start w:val="781"/>
    </w:lvl>
  </w:abstractNum>
  <w:abstractNum w:abstractNumId="5">
    <w:nsid w:val="507ED7A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2025-01-27T06:13:56Z</dcterms:created>
  <dcterms:modified xsi:type="dcterms:W3CDTF">2025-01-27T06:13:56Z</dcterms:modified>
</cp:coreProperties>
</file>