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Royan Ajay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INVIVYD,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209 CHURCH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HAVEN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06510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Invivyd, Inc.</w:t>
              </w:r>
            </w:hyperlink>
            <w:r>
              <w:rPr/>
              <w:t xml:space="preserve"> [ </w:t>
            </w:r>
            <w:r>
              <w:rPr>
                <w:rFonts w:ascii="Times;serif" w:hAnsi="Times;serif"/>
                <w:color w:val="0000FF"/>
                <w:sz w:val="24"/>
                <w:shd w:fill="FFFFFF" w:val="clear"/>
              </w:rPr>
              <w:t>IVVD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was granted on May 19, 2026 and vests in full upon the earlier of (i) May 19, 2027 or (ii) the date of the Issuer's 2027 Annual Meeting of Stockholders, subject to the Reporting Person's continuous service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Jill Andersen attorney-in-fact for Ajay Royan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5614" TargetMode="External"/><Relationship Id="rId5" Type="http://schemas.openxmlformats.org/officeDocument/2006/relationships/hyperlink" Target="http://www.sec.gov/cgi-bin/browse-edgar?action=getcompany&amp;CIK=00018320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3288</Characters>
  <CharactersWithSpaces>3839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