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Shah Anand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06/29/2031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125,380</w:t>
            </w:r>
          </w:p>
        </w:tc>
        <w:tc>
          <w:tcPr>
            <w:tcW w:w="1000" w:type="dxa"/>
            <w:vAlign w:val="bottom"/>
          </w:tcPr>
          <w:p>
            <w:pPr>
              <w:ind w:left="340"/>
              <w:spacing w:after="0"/>
              <w:rPr>
                <w:sz w:val="20"/>
                <w:szCs w:val="20"/>
                <w:color w:val="auto"/>
              </w:rPr>
            </w:pPr>
            <w:r>
              <w:rPr>
                <w:rFonts w:ascii="Arial" w:cs="Arial" w:eastAsia="Arial" w:hAnsi="Arial"/>
                <w:sz w:val="20"/>
                <w:szCs w:val="20"/>
                <w:color w:val="0000FF"/>
              </w:rPr>
              <w:t>12.8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46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One quarter (1/4) of the options shall vest on June 30, 2022, and thereafter, the remainder of the options shall vest in 36 equal monthly installments on the 30th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16,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Anand Shah</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Anand Shah</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2"/>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450"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2021-08-05T20:35:18Z</dcterms:created>
  <dcterms:modified xsi:type="dcterms:W3CDTF">2021-08-05T20:35:18Z</dcterms:modified>
</cp:coreProperties>
</file>