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8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Pursuant to Section 13 or 15(d)</w:t>
      </w:r>
    </w:p>
    <w:p>
      <w:pPr>
        <w:jc w:val="center"/>
        <w:ind w:right="-28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364"/>
        <w:spacing w:after="0"/>
        <w:rPr>
          <w:sz w:val="20"/>
          <w:szCs w:val="20"/>
          <w:color w:val="auto"/>
        </w:rPr>
      </w:pPr>
      <w:r>
        <w:rPr>
          <w:rFonts w:ascii="Arial" w:cs="Arial" w:eastAsia="Arial" w:hAnsi="Arial"/>
          <w:sz w:val="22"/>
          <w:szCs w:val="22"/>
          <w:b w:val="1"/>
          <w:bCs w:val="1"/>
          <w:color w:val="auto"/>
        </w:rPr>
        <w:t>Date of Report (Date of earliest event reported): September 20,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83"/>
        <w:spacing w:after="0"/>
        <w:rPr>
          <w:sz w:val="20"/>
          <w:szCs w:val="20"/>
          <w:color w:val="auto"/>
        </w:rPr>
      </w:pPr>
      <w:r>
        <w:rPr>
          <w:rFonts w:ascii="Arial" w:cs="Arial" w:eastAsia="Arial" w:hAnsi="Arial"/>
          <w:sz w:val="43"/>
          <w:szCs w:val="43"/>
          <w:b w:val="1"/>
          <w:bCs w:val="1"/>
          <w:color w:val="auto"/>
        </w:rPr>
        <w:t>Adagio Therapeutics, Inc.</w:t>
      </w:r>
    </w:p>
    <w:p>
      <w:pPr>
        <w:spacing w:after="0" w:line="50"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001-40703</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85-1403134</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303 Wyman Street, Suite 300</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Waltham,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02451</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(781) 819-0080</w:t>
      </w:r>
    </w:p>
    <w:p>
      <w:pPr>
        <w:spacing w:after="0" w:line="21" w:lineRule="exact"/>
        <w:rPr>
          <w:sz w:val="24"/>
          <w:szCs w:val="24"/>
          <w:color w:val="auto"/>
        </w:rPr>
      </w:pPr>
    </w:p>
    <w:p>
      <w:pPr>
        <w:jc w:val="center"/>
        <w:ind w:right="-28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8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444" w:right="2260" w:hanging="3444"/>
        <w:spacing w:after="0" w:line="425" w:lineRule="auto"/>
        <w:tabs>
          <w:tab w:leader="none" w:pos="44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564" w:type="dxa"/>
        <w:tblCellMar>
          <w:top w:w="0" w:type="dxa"/>
          <w:left w:w="0" w:type="dxa"/>
          <w:bottom w:w="0" w:type="dxa"/>
          <w:right w:w="0" w:type="dxa"/>
        </w:tblCellMar>
      </w:tblPr>
      <w:tr>
        <w:trPr>
          <w:trHeight w:val="150"/>
        </w:trPr>
        <w:tc>
          <w:tcPr>
            <w:tcW w:w="760" w:type="dxa"/>
            <w:vAlign w:val="bottom"/>
          </w:tcPr>
          <w:p>
            <w:pPr>
              <w:spacing w:after="0"/>
              <w:rPr>
                <w:sz w:val="13"/>
                <w:szCs w:val="13"/>
                <w:color w:val="auto"/>
              </w:rPr>
            </w:pPr>
          </w:p>
        </w:tc>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89"/>
              </w:rPr>
              <w:t>Title of each class</w:t>
            </w:r>
          </w:p>
        </w:tc>
        <w:tc>
          <w:tcPr>
            <w:tcW w:w="1820" w:type="dxa"/>
            <w:vAlign w:val="bottom"/>
            <w:vMerge w:val="restart"/>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3"/>
              </w:rPr>
              <w:t>Trading</w:t>
            </w:r>
          </w:p>
        </w:tc>
        <w:tc>
          <w:tcPr>
            <w:tcW w:w="4520" w:type="dxa"/>
            <w:vAlign w:val="bottom"/>
            <w:gridSpan w:val="3"/>
          </w:tcPr>
          <w:p>
            <w:pPr>
              <w:jc w:val="center"/>
              <w:ind w:left="2022"/>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7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1700" w:type="dxa"/>
            <w:vAlign w:val="bottom"/>
            <w:gridSpan w:val="2"/>
          </w:tcPr>
          <w:p>
            <w:pPr>
              <w:jc w:val="center"/>
              <w:ind w:left="988"/>
              <w:spacing w:after="0"/>
              <w:rPr>
                <w:sz w:val="20"/>
                <w:szCs w:val="20"/>
                <w:color w:val="auto"/>
              </w:rPr>
            </w:pPr>
            <w:r>
              <w:rPr>
                <w:rFonts w:ascii="Arial" w:cs="Arial" w:eastAsia="Arial" w:hAnsi="Arial"/>
                <w:sz w:val="14"/>
                <w:szCs w:val="14"/>
                <w:b w:val="1"/>
                <w:bCs w:val="1"/>
                <w:color w:val="auto"/>
                <w:w w:val="88"/>
              </w:rPr>
              <w:t>Symbol(s)</w:t>
            </w:r>
          </w:p>
        </w:tc>
        <w:tc>
          <w:tcPr>
            <w:tcW w:w="4520" w:type="dxa"/>
            <w:vAlign w:val="bottom"/>
            <w:gridSpan w:val="3"/>
          </w:tcPr>
          <w:p>
            <w:pPr>
              <w:jc w:val="center"/>
              <w:ind w:left="2022"/>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0"/>
        </w:trPr>
        <w:tc>
          <w:tcPr>
            <w:tcW w:w="760" w:type="dxa"/>
            <w:vAlign w:val="bottom"/>
            <w:vMerge w:val="restart"/>
          </w:tcPr>
          <w:p>
            <w:pPr>
              <w:spacing w:after="0"/>
              <w:rPr>
                <w:sz w:val="20"/>
                <w:szCs w:val="20"/>
                <w:color w:val="auto"/>
              </w:rPr>
            </w:pPr>
            <w:r>
              <w:rPr>
                <w:rFonts w:ascii="Arial" w:cs="Arial" w:eastAsia="Arial" w:hAnsi="Arial"/>
                <w:sz w:val="18"/>
                <w:szCs w:val="18"/>
                <w:b w:val="1"/>
                <w:bCs w:val="1"/>
                <w:color w:val="auto"/>
                <w:w w:val="94"/>
              </w:rPr>
              <w:t>Common</w:t>
            </w:r>
          </w:p>
        </w:tc>
        <w:tc>
          <w:tcPr>
            <w:tcW w:w="1100" w:type="dxa"/>
            <w:vAlign w:val="bottom"/>
            <w:shd w:val="clear" w:color="auto" w:fill="000000"/>
          </w:tcPr>
          <w:p>
            <w:pPr>
              <w:spacing w:after="0" w:line="20" w:lineRule="exact"/>
              <w:rPr>
                <w:sz w:val="1"/>
                <w:szCs w:val="1"/>
                <w:color w:val="auto"/>
              </w:rPr>
            </w:pPr>
          </w:p>
        </w:tc>
        <w:tc>
          <w:tcPr>
            <w:tcW w:w="18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par value</w:t>
            </w:r>
          </w:p>
        </w:tc>
        <w:tc>
          <w:tcPr>
            <w:tcW w:w="10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60" w:type="dxa"/>
            <w:vAlign w:val="bottom"/>
            <w:vMerge w:val="continue"/>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8"/>
                <w:szCs w:val="18"/>
                <w:b w:val="1"/>
                <w:bCs w:val="1"/>
                <w:color w:val="auto"/>
                <w:w w:val="87"/>
              </w:rPr>
              <w:t>Stock, $0.0001</w:t>
            </w:r>
          </w:p>
        </w:tc>
        <w:tc>
          <w:tcPr>
            <w:tcW w:w="182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rPr>
              <w:t>ADGI</w:t>
            </w:r>
          </w:p>
        </w:tc>
        <w:tc>
          <w:tcPr>
            <w:tcW w:w="4520" w:type="dxa"/>
            <w:vAlign w:val="bottom"/>
            <w:gridSpan w:val="3"/>
          </w:tcPr>
          <w:p>
            <w:pPr>
              <w:jc w:val="center"/>
              <w:ind w:left="2022"/>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75"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4"/>
          </w:cols>
          <w:pgMar w:left="436" w:top="368" w:right="7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September 20, 2021, Adagio Therapeutics, Inc. (the “Company”) provided a corporate update and announced its financial results for the quarter ended June 30, 2021 in the press release attached hereto as Exhibit 99.1, which is incorporated herein by reference.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in this Item 2.02, including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shall be expressly set forth by specific reference in such a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ind w:left="100"/>
        <w:spacing w:after="0"/>
        <w:tabs>
          <w:tab w:leader="none" w:pos="82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81" w:lineRule="exact"/>
        <w:rPr>
          <w:sz w:val="20"/>
          <w:szCs w:val="20"/>
          <w:color w:val="auto"/>
        </w:rPr>
      </w:pPr>
    </w:p>
    <w:p>
      <w:pPr>
        <w:spacing w:after="0"/>
        <w:tabs>
          <w:tab w:leader="none" w:pos="8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September 20, 2021.</w:t>
        </w:r>
      </w:hyperlink>
    </w:p>
    <w:p>
      <w:pPr>
        <w:sectPr>
          <w:pgSz w:w="11900" w:h="16838" w:orient="portrait"/>
          <w:cols w:equalWidth="0" w:num="1">
            <w:col w:w="10920"/>
          </w:cols>
          <w:pgMar w:left="440" w:top="270" w:right="5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September 20,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Jane Pritchett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Jane Pritchett Henderson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00"/>
          </w:cols>
          <w:pgMar w:left="440" w:top="27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4943475</wp:posOffset>
            </wp:positionH>
            <wp:positionV relativeFrom="paragraph">
              <wp:posOffset>171450</wp:posOffset>
            </wp:positionV>
            <wp:extent cx="2049145"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4914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Adagio Therapeutics Provides COVID-19 Antibody Program Updates as well as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Highlights and Second Quarter 2021 Financial Results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New Data Supporting Potential of ADG20 for Both the Treatment and Prevention of COVID-19 to be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Presented at IDWeek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Patient Population in Global EVADE Phase 2/3 Clinical Trial of ADG20 Expanded following IDMC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Assessment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$355.8 Million IPO Completed to Fund Continued Advancement of Portfolio of Antibody-based Solutions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for Infectious Diseases with Pandemic Potential</w:t>
      </w:r>
    </w:p>
    <w:p>
      <w:pPr>
        <w:spacing w:after="0" w:line="207"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b w:val="1"/>
          <w:bCs w:val="1"/>
          <w:color w:val="auto"/>
        </w:rPr>
        <w:t xml:space="preserve">Waltham, MA – Sept. 20, 2021 – </w:t>
      </w:r>
      <w:r>
        <w:rPr>
          <w:rFonts w:ascii="Arial" w:cs="Arial" w:eastAsia="Arial" w:hAnsi="Arial"/>
          <w:sz w:val="17"/>
          <w:szCs w:val="17"/>
          <w:color w:val="auto"/>
        </w:rPr>
        <w:t>Adagio Therapeutics, Inc., (Nasdaq: ADGI) a clinical-stage biopharmaceutical company focused on the discovery,</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and commercialization of antibody-based solutions for infectious diseases with pandemic potential, today reported updates on its lead COVID-19 antibody program, ADG20, as well as recent business highlights and second quarter 2021 financial results.</w:t>
      </w:r>
    </w:p>
    <w:p>
      <w:pPr>
        <w:spacing w:after="0" w:line="1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“Across the globe, COVID-19 continues to be a significant health crisis affecting nearly every age group. With the continued emergence of new variants, broadly neutralizing therapies that can be used for both the treatment and prevention of the disease are critical to address the current endemic as well as potential future outbreaks,” said Tillman Gerngross, Ph.D., co-founder and chief executive officer of Adagio. “Our team is working closely with our global CRO partners on the execution of our ongoing global clinical trials of ADG20, STAMP and EVADE, while also preparing for the anticipated worldwide commercialization of ADG20, if approved.</w:t>
      </w:r>
    </w:p>
    <w:p>
      <w:pPr>
        <w:spacing w:after="0" w:line="18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“ADG20 is a highly differentiated antibody that we are advancing through pivotal trials for both the treatment and prevention of COVID-19. We are pleased by the recent assessment of unblinded data by the IDMC for the EVADE trial, and their support of our plans to expand enrollment to include adolescents and pregnant or nursing women,” said Lynn Connolly, M.D., Ph.D., chief medical officer of Adagio. “To date, we have generated a compelling data package for ADG20 that includes broad neutralization of the original SARS-CoV-2 virus and the known variants of concerns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models as well as a favorable pharmacokinetic and tolerability profile in our Phase 1 trial. Further, at this year’s IDWeek, we will release additional data from our Phase 1 trial as well as details regarding our dose selection process for treatment and prevention, which we believe further support the important role this novel antibody can play in combatting the ongoing pandemic.”</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5222875</wp:posOffset>
            </wp:positionH>
            <wp:positionV relativeFrom="page">
              <wp:posOffset>183515</wp:posOffset>
            </wp:positionV>
            <wp:extent cx="2049145" cy="514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049145" cy="514350"/>
                    </a:xfrm>
                    <a:prstGeom prst="rect">
                      <a:avLst/>
                    </a:prstGeom>
                    <a:noFill/>
                  </pic:spPr>
                </pic:pic>
              </a:graphicData>
            </a:graphic>
          </wp:anchor>
        </w:drawing>
        <w:t>ADG20 COVID-19 Program Highlights</w:t>
      </w:r>
    </w:p>
    <w:p>
      <w:pPr>
        <w:spacing w:after="0" w:line="127" w:lineRule="exact"/>
        <w:rPr>
          <w:sz w:val="20"/>
          <w:szCs w:val="20"/>
          <w:color w:val="auto"/>
        </w:rPr>
      </w:pPr>
    </w:p>
    <w:p>
      <w:pPr>
        <w:ind w:left="960" w:right="240" w:hanging="424"/>
        <w:spacing w:after="0" w:line="255"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New ADG20 Data to be Presented in Multiple Posters during IDWeek: </w:t>
      </w:r>
      <w:r>
        <w:rPr>
          <w:rFonts w:ascii="Arial" w:cs="Arial" w:eastAsia="Arial" w:hAnsi="Arial"/>
          <w:sz w:val="18"/>
          <w:szCs w:val="18"/>
          <w:color w:val="auto"/>
        </w:rPr>
        <w:t>At the IDWeek 2021 Virtual Conference, Adagio plans to</w:t>
      </w:r>
      <w:r>
        <w:rPr>
          <w:rFonts w:ascii="Arial" w:cs="Arial" w:eastAsia="Arial" w:hAnsi="Arial"/>
          <w:sz w:val="18"/>
          <w:szCs w:val="18"/>
          <w:b w:val="1"/>
          <w:bCs w:val="1"/>
          <w:color w:val="auto"/>
        </w:rPr>
        <w:t xml:space="preserve"> </w:t>
      </w:r>
      <w:r>
        <w:rPr>
          <w:rFonts w:ascii="Arial" w:cs="Arial" w:eastAsia="Arial" w:hAnsi="Arial"/>
          <w:sz w:val="18"/>
          <w:szCs w:val="18"/>
          <w:color w:val="auto"/>
        </w:rPr>
        <w:t>present additional data highlighting the potential for ADG20 to provide protection from COVID-19 for up to one year based on its extended half-life in humans combined with its broad and potent neutralizing ability demonstrated in laboratory testing. In addition, the data support the evaluation of a 300mg dose, delivered as a single intramuscular injection, in the ongoing Phase 2/3 STAMP (treatment) and EVADE (prevention) global clinical trials. The data will be presented in multiple posters, which will be available to registered attendees on the virtual platform throughout the duration of the conference, being held from September 29 – October 3, 2021. The presentations include:</w:t>
      </w:r>
    </w:p>
    <w:p>
      <w:pPr>
        <w:spacing w:after="0" w:line="94" w:lineRule="exact"/>
        <w:rPr>
          <w:rFonts w:ascii="Arial" w:cs="Arial" w:eastAsia="Arial" w:hAnsi="Arial"/>
          <w:sz w:val="18"/>
          <w:szCs w:val="18"/>
          <w:color w:val="auto"/>
        </w:rPr>
      </w:pPr>
    </w:p>
    <w:p>
      <w:pPr>
        <w:ind w:left="1420" w:hanging="331"/>
        <w:spacing w:after="0"/>
        <w:tabs>
          <w:tab w:leader="none" w:pos="1420" w:val="left"/>
        </w:tabs>
        <w:numPr>
          <w:ilvl w:val="1"/>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1086: </w:t>
      </w:r>
      <w:r>
        <w:rPr>
          <w:rFonts w:ascii="Arial" w:cs="Arial" w:eastAsia="Arial" w:hAnsi="Arial"/>
          <w:sz w:val="16"/>
          <w:szCs w:val="16"/>
          <w:color w:val="auto"/>
        </w:rPr>
        <w:t>A Whole-Body Quantitative System Pharmacology Physicologically-Based Pharmacokinetic (QSP/PBPK) Model that a priori</w:t>
      </w:r>
    </w:p>
    <w:p>
      <w:pPr>
        <w:spacing w:after="0" w:line="50" w:lineRule="exact"/>
        <w:rPr>
          <w:rFonts w:ascii="Arial" w:cs="Arial" w:eastAsia="Arial" w:hAnsi="Arial"/>
          <w:sz w:val="16"/>
          <w:szCs w:val="16"/>
          <w:color w:val="auto"/>
        </w:rPr>
      </w:pPr>
    </w:p>
    <w:p>
      <w:pPr>
        <w:ind w:left="1420" w:right="340"/>
        <w:spacing w:after="0" w:line="260" w:lineRule="auto"/>
        <w:rPr>
          <w:rFonts w:ascii="Arial" w:cs="Arial" w:eastAsia="Arial" w:hAnsi="Arial"/>
          <w:sz w:val="16"/>
          <w:szCs w:val="16"/>
          <w:color w:val="auto"/>
        </w:rPr>
      </w:pPr>
      <w:r>
        <w:rPr>
          <w:rFonts w:ascii="Arial" w:cs="Arial" w:eastAsia="Arial" w:hAnsi="Arial"/>
          <w:sz w:val="18"/>
          <w:szCs w:val="18"/>
          <w:color w:val="auto"/>
        </w:rPr>
        <w:t>Predicts Intramuscular (IM) Pharmacokinetics of ADG20: an Extended Half-life Monoclonal Antibody Being Developed for the Treatment and Prevention of Coronavirus Disease (COVID-19)</w:t>
      </w:r>
    </w:p>
    <w:p>
      <w:pPr>
        <w:spacing w:after="0" w:line="86" w:lineRule="exact"/>
        <w:rPr>
          <w:rFonts w:ascii="Arial" w:cs="Arial" w:eastAsia="Arial" w:hAnsi="Arial"/>
          <w:sz w:val="16"/>
          <w:szCs w:val="16"/>
          <w:color w:val="auto"/>
        </w:rPr>
      </w:pPr>
    </w:p>
    <w:p>
      <w:pPr>
        <w:ind w:left="1420" w:hanging="331"/>
        <w:spacing w:after="0"/>
        <w:tabs>
          <w:tab w:leader="none" w:pos="1420" w:val="left"/>
        </w:tabs>
        <w:numPr>
          <w:ilvl w:val="1"/>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633: </w:t>
      </w:r>
      <w:r>
        <w:rPr>
          <w:rFonts w:ascii="Arial" w:cs="Arial" w:eastAsia="Arial" w:hAnsi="Arial"/>
          <w:sz w:val="16"/>
          <w:szCs w:val="16"/>
          <w:color w:val="auto"/>
        </w:rPr>
        <w:t>Preliminary Results from a Phase 1 Single Ascending-Dose Study Assessing Safety, Serum Viral Neutralizing Antibody Titers</w:t>
      </w:r>
    </w:p>
    <w:p>
      <w:pPr>
        <w:spacing w:after="0" w:line="50" w:lineRule="exact"/>
        <w:rPr>
          <w:rFonts w:ascii="Arial" w:cs="Arial" w:eastAsia="Arial" w:hAnsi="Arial"/>
          <w:sz w:val="16"/>
          <w:szCs w:val="16"/>
          <w:color w:val="auto"/>
        </w:rPr>
      </w:pPr>
    </w:p>
    <w:p>
      <w:pPr>
        <w:ind w:left="1420" w:right="500"/>
        <w:spacing w:after="0" w:line="260" w:lineRule="auto"/>
        <w:rPr>
          <w:rFonts w:ascii="Arial" w:cs="Arial" w:eastAsia="Arial" w:hAnsi="Arial"/>
          <w:sz w:val="16"/>
          <w:szCs w:val="16"/>
          <w:color w:val="auto"/>
        </w:rPr>
      </w:pPr>
      <w:r>
        <w:rPr>
          <w:rFonts w:ascii="Arial" w:cs="Arial" w:eastAsia="Arial" w:hAnsi="Arial"/>
          <w:sz w:val="18"/>
          <w:szCs w:val="18"/>
          <w:color w:val="auto"/>
        </w:rPr>
        <w:t>(sVNA), and Pharmacokinetic (PK) Profile of ADG20: an Extended Half-Life Monoclonal Antibody Being Developed for the Treatment and Prevention of Coronavirus Disease (COVID-19)</w:t>
      </w:r>
    </w:p>
    <w:p>
      <w:pPr>
        <w:spacing w:after="0" w:line="86" w:lineRule="exact"/>
        <w:rPr>
          <w:rFonts w:ascii="Arial" w:cs="Arial" w:eastAsia="Arial" w:hAnsi="Arial"/>
          <w:sz w:val="16"/>
          <w:szCs w:val="16"/>
          <w:color w:val="auto"/>
        </w:rPr>
      </w:pPr>
    </w:p>
    <w:p>
      <w:pPr>
        <w:ind w:left="1420" w:hanging="331"/>
        <w:spacing w:after="0"/>
        <w:tabs>
          <w:tab w:leader="none" w:pos="1420" w:val="left"/>
        </w:tabs>
        <w:numPr>
          <w:ilvl w:val="1"/>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1089: </w:t>
      </w:r>
      <w:r>
        <w:rPr>
          <w:rFonts w:ascii="Arial" w:cs="Arial" w:eastAsia="Arial" w:hAnsi="Arial"/>
          <w:sz w:val="17"/>
          <w:szCs w:val="17"/>
          <w:color w:val="auto"/>
        </w:rPr>
        <w:t>Use of a Whole-Body Quantitative System Pharmacology Physiologically-Based Pharmacokinetic (QSP/PBPK) Model to</w:t>
      </w:r>
    </w:p>
    <w:p>
      <w:pPr>
        <w:spacing w:after="0" w:line="38" w:lineRule="exact"/>
        <w:rPr>
          <w:rFonts w:ascii="Arial" w:cs="Arial" w:eastAsia="Arial" w:hAnsi="Arial"/>
          <w:sz w:val="17"/>
          <w:szCs w:val="17"/>
          <w:color w:val="auto"/>
        </w:rPr>
      </w:pPr>
    </w:p>
    <w:p>
      <w:pPr>
        <w:ind w:left="1420" w:right="880"/>
        <w:spacing w:after="0" w:line="260" w:lineRule="auto"/>
        <w:rPr>
          <w:rFonts w:ascii="Arial" w:cs="Arial" w:eastAsia="Arial" w:hAnsi="Arial"/>
          <w:sz w:val="17"/>
          <w:szCs w:val="17"/>
          <w:color w:val="auto"/>
        </w:rPr>
      </w:pPr>
      <w:r>
        <w:rPr>
          <w:rFonts w:ascii="Arial" w:cs="Arial" w:eastAsia="Arial" w:hAnsi="Arial"/>
          <w:sz w:val="18"/>
          <w:szCs w:val="18"/>
          <w:color w:val="auto"/>
        </w:rPr>
        <w:t>Support Dose Selection of ADG20: an Extended Half-Life Monoclonal Antibody Being Developed for the Prevention of Coronavirus Disease (COVID-19)</w:t>
      </w:r>
    </w:p>
    <w:p>
      <w:pPr>
        <w:spacing w:after="0" w:line="86" w:lineRule="exact"/>
        <w:rPr>
          <w:rFonts w:ascii="Arial" w:cs="Arial" w:eastAsia="Arial" w:hAnsi="Arial"/>
          <w:sz w:val="17"/>
          <w:szCs w:val="17"/>
          <w:color w:val="auto"/>
        </w:rPr>
      </w:pPr>
    </w:p>
    <w:p>
      <w:pPr>
        <w:ind w:left="1420" w:hanging="331"/>
        <w:spacing w:after="0"/>
        <w:tabs>
          <w:tab w:leader="none" w:pos="1420" w:val="left"/>
        </w:tabs>
        <w:numPr>
          <w:ilvl w:val="1"/>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1088: </w:t>
      </w:r>
      <w:r>
        <w:rPr>
          <w:rFonts w:ascii="Arial" w:cs="Arial" w:eastAsia="Arial" w:hAnsi="Arial"/>
          <w:sz w:val="16"/>
          <w:szCs w:val="16"/>
          <w:color w:val="auto"/>
        </w:rPr>
        <w:t>A Whole-Body Quantitative System Pharmacology Physiologically-Based Pharmacokinetic (QSP/PBPK) Model to Support</w:t>
      </w:r>
    </w:p>
    <w:p>
      <w:pPr>
        <w:spacing w:after="0" w:line="50" w:lineRule="exact"/>
        <w:rPr>
          <w:rFonts w:ascii="Arial" w:cs="Arial" w:eastAsia="Arial" w:hAnsi="Arial"/>
          <w:sz w:val="16"/>
          <w:szCs w:val="16"/>
          <w:color w:val="auto"/>
        </w:rPr>
      </w:pPr>
    </w:p>
    <w:p>
      <w:pPr>
        <w:ind w:left="1420"/>
        <w:spacing w:after="0" w:line="260" w:lineRule="auto"/>
        <w:rPr>
          <w:rFonts w:ascii="Arial" w:cs="Arial" w:eastAsia="Arial" w:hAnsi="Arial"/>
          <w:sz w:val="16"/>
          <w:szCs w:val="16"/>
          <w:color w:val="auto"/>
        </w:rPr>
      </w:pPr>
      <w:r>
        <w:rPr>
          <w:rFonts w:ascii="Arial" w:cs="Arial" w:eastAsia="Arial" w:hAnsi="Arial"/>
          <w:sz w:val="18"/>
          <w:szCs w:val="18"/>
          <w:color w:val="auto"/>
        </w:rPr>
        <w:t>Dose Selection of ADG20: an Extended Half-Life Monoclonal Antibody Being Developed for the Treatment of Coronavirus Disease (COVID-19)</w:t>
      </w:r>
    </w:p>
    <w:p>
      <w:pPr>
        <w:spacing w:after="0" w:line="86" w:lineRule="exact"/>
        <w:rPr>
          <w:rFonts w:ascii="Arial" w:cs="Arial" w:eastAsia="Arial" w:hAnsi="Arial"/>
          <w:sz w:val="16"/>
          <w:szCs w:val="16"/>
          <w:color w:val="auto"/>
        </w:rPr>
      </w:pPr>
    </w:p>
    <w:p>
      <w:pPr>
        <w:ind w:left="960" w:right="100" w:hanging="424"/>
        <w:spacing w:after="0" w:line="298"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Patient Population Expanded in EVADE following IDMC Data Assessment: </w:t>
      </w:r>
      <w:r>
        <w:rPr>
          <w:rFonts w:ascii="Arial" w:cs="Arial" w:eastAsia="Arial" w:hAnsi="Arial"/>
          <w:sz w:val="16"/>
          <w:szCs w:val="16"/>
          <w:color w:val="auto"/>
        </w:rPr>
        <w:t>The independent data monitoring committee (IDMC)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EVADE Phase 2/3 trial of ADG20 for the prevention of COVID-19 recently provided a recommendation to expand Phase 3 trial enrollment to include adolescents 12 years and older and pregnant or nursing women, as well as a decrease in the protocol-specified, in-clinic post injection monitoring time. The IDMC’s recommendations were based on their review of unblinded safety and tolerability data through the Day 28 post-treatment visit from 200 participants enrolled in the Phase 2 lead-in portion of the trial.</w:t>
      </w:r>
    </w:p>
    <w:p>
      <w:pPr>
        <w:spacing w:after="0" w:line="59" w:lineRule="exact"/>
        <w:rPr>
          <w:rFonts w:ascii="Arial" w:cs="Arial" w:eastAsia="Arial" w:hAnsi="Arial"/>
          <w:sz w:val="16"/>
          <w:szCs w:val="16"/>
          <w:color w:val="auto"/>
        </w:rPr>
      </w:pPr>
    </w:p>
    <w:p>
      <w:pPr>
        <w:ind w:left="960" w:hanging="424"/>
        <w:spacing w:after="0" w:line="255"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Partnership with Biocon Biologics Expands the Reach of a Potent and Broadly Neutralizing COVID-19 Antibody Treatment to Patients in India and Select Emerging Markets: </w:t>
      </w:r>
      <w:r>
        <w:rPr>
          <w:rFonts w:ascii="Arial" w:cs="Arial" w:eastAsia="Arial" w:hAnsi="Arial"/>
          <w:sz w:val="18"/>
          <w:szCs w:val="18"/>
          <w:color w:val="auto"/>
        </w:rPr>
        <w:t>In the second quarter of 2021, Adagio partnered with Biocon Biologics Ltd. to combat</w:t>
      </w:r>
      <w:r>
        <w:rPr>
          <w:rFonts w:ascii="Arial" w:cs="Arial" w:eastAsia="Arial" w:hAnsi="Arial"/>
          <w:sz w:val="18"/>
          <w:szCs w:val="18"/>
          <w:b w:val="1"/>
          <w:bCs w:val="1"/>
          <w:color w:val="auto"/>
        </w:rPr>
        <w:t xml:space="preserve"> </w:t>
      </w:r>
      <w:r>
        <w:rPr>
          <w:rFonts w:ascii="Arial" w:cs="Arial" w:eastAsia="Arial" w:hAnsi="Arial"/>
          <w:sz w:val="18"/>
          <w:szCs w:val="18"/>
          <w:color w:val="auto"/>
        </w:rPr>
        <w:t>the ongoing COVID-19 crisis in southern Asia. The partnership provides Biocon rights to manufacture and commercialize an antibody therapy based on ADG20 in India and additional select emerging markets based on the commercial manufacturing process developed for ADG20. As part of the agreement, Biocon will be granted access to data from Adagio’s Phase 2/3 clinical trials as well as its anticipated Emergency Use Authorization package and other regulatory submissions to support approval or emergency authorization in India and other select emerging markets.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Business Highlights</w:t>
      </w:r>
    </w:p>
    <w:p>
      <w:pPr>
        <w:spacing w:after="0" w:line="127" w:lineRule="exact"/>
        <w:rPr>
          <w:sz w:val="20"/>
          <w:szCs w:val="20"/>
          <w:color w:val="auto"/>
        </w:rPr>
      </w:pPr>
    </w:p>
    <w:p>
      <w:pPr>
        <w:ind w:left="960" w:right="180" w:hanging="424"/>
        <w:spacing w:after="0" w:line="261"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$355.8 Million Initial Public Offering (IPO) Successfully Completed</w:t>
      </w:r>
      <w:r>
        <w:rPr>
          <w:rFonts w:ascii="Arial" w:cs="Arial" w:eastAsia="Arial" w:hAnsi="Arial"/>
          <w:sz w:val="18"/>
          <w:szCs w:val="18"/>
          <w:color w:val="auto"/>
        </w:rPr>
        <w:t>: In August 2021, Adagio sold 20,930,000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including the full exercise of the underwriters’ option to purchase an additional 2,730,000 shares of common stock at a public offering price of $17.00 per share. The gross proceeds of the offering, before underwriting discounts and commissions and other offering expenses payable by Adagio, were approximately $355.8 million.</w:t>
      </w:r>
    </w:p>
    <w:p>
      <w:pPr>
        <w:spacing w:after="0" w:line="85" w:lineRule="exact"/>
        <w:rPr>
          <w:rFonts w:ascii="Arial" w:cs="Arial" w:eastAsia="Arial" w:hAnsi="Arial"/>
          <w:sz w:val="18"/>
          <w:szCs w:val="18"/>
          <w:color w:val="auto"/>
        </w:rPr>
      </w:pPr>
    </w:p>
    <w:p>
      <w:pPr>
        <w:ind w:left="960" w:right="20" w:hanging="424"/>
        <w:spacing w:after="0" w:line="256"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David Hering, Global COVID-19 Vaccine Expert, Appointed as Chief Operating Officer: </w:t>
      </w:r>
      <w:r>
        <w:rPr>
          <w:rFonts w:ascii="Arial" w:cs="Arial" w:eastAsia="Arial" w:hAnsi="Arial"/>
          <w:sz w:val="18"/>
          <w:szCs w:val="18"/>
          <w:color w:val="auto"/>
        </w:rPr>
        <w:t>Adagio recently appointed David Hering as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chief operating officer. Mr. Hering joins Adagio from Pfizer, where he most recently served as the global mRNA business lead, a business specifically created to manage global COVID-19 efforts as well as future vaccines utilizing mRNA technology, and led the launch of the first-ever COVID-19 vaccine in the United States. Prior to his most recent role at Pfizer, Mr. Hering was president, North America at Pfizer, where he led a 700-person organization across a portfolio of vaccine products for COVID-19 and meningococcal and pneumococcal diseases.</w:t>
      </w:r>
    </w:p>
    <w:p>
      <w:pPr>
        <w:sectPr>
          <w:pgSz w:w="11900" w:h="16838" w:orient="portrait"/>
          <w:cols w:equalWidth="0" w:num="1">
            <w:col w:w="11000"/>
          </w:cols>
          <w:pgMar w:left="440" w:top="1232" w:right="459" w:bottom="1440" w:gutter="0" w:footer="0" w:header="0"/>
        </w:sectPr>
      </w:pPr>
    </w:p>
    <w:bookmarkStart w:id="5" w:name="page6"/>
    <w:bookmarkEnd w:id="5"/>
    <w:p>
      <w:pPr>
        <w:ind w:left="960" w:hanging="424"/>
        <w:spacing w:after="0" w:line="282"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5222875</wp:posOffset>
            </wp:positionH>
            <wp:positionV relativeFrom="page">
              <wp:posOffset>182880</wp:posOffset>
            </wp:positionV>
            <wp:extent cx="2049145" cy="514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049145" cy="514350"/>
                    </a:xfrm>
                    <a:prstGeom prst="rect">
                      <a:avLst/>
                    </a:prstGeom>
                    <a:noFill/>
                  </pic:spPr>
                </pic:pic>
              </a:graphicData>
            </a:graphic>
          </wp:anchor>
        </w:drawing>
        <w:t xml:space="preserve">Collaboration with Scripps: </w:t>
      </w:r>
      <w:r>
        <w:rPr>
          <w:rFonts w:ascii="Arial" w:cs="Arial" w:eastAsia="Arial" w:hAnsi="Arial"/>
          <w:sz w:val="18"/>
          <w:szCs w:val="18"/>
          <w:color w:val="auto"/>
        </w:rPr>
        <w:t>Adagio entered into an exclusive research agreement with The Scripps Research Institute to identify broadly</w:t>
      </w:r>
      <w:r>
        <w:rPr>
          <w:rFonts w:ascii="Arial" w:cs="Arial" w:eastAsia="Arial" w:hAnsi="Arial"/>
          <w:sz w:val="18"/>
          <w:szCs w:val="18"/>
          <w:b w:val="1"/>
          <w:bCs w:val="1"/>
          <w:color w:val="auto"/>
        </w:rPr>
        <w:t xml:space="preserve"> </w:t>
      </w:r>
      <w:r>
        <w:rPr>
          <w:rFonts w:ascii="Arial" w:cs="Arial" w:eastAsia="Arial" w:hAnsi="Arial"/>
          <w:sz w:val="18"/>
          <w:szCs w:val="18"/>
          <w:color w:val="auto"/>
        </w:rPr>
        <w:t>protective vaccine candidates for the prevention of influenza and beta coronaviruses.</w:t>
      </w:r>
    </w:p>
    <w:p>
      <w:pPr>
        <w:spacing w:after="0" w:line="67" w:lineRule="exact"/>
        <w:rPr>
          <w:rFonts w:ascii="Arial" w:cs="Arial" w:eastAsia="Arial" w:hAnsi="Arial"/>
          <w:sz w:val="18"/>
          <w:szCs w:val="18"/>
          <w:color w:val="auto"/>
        </w:rPr>
      </w:pPr>
    </w:p>
    <w:p>
      <w:pPr>
        <w:ind w:left="960" w:right="180" w:hanging="424"/>
        <w:spacing w:after="0" w:line="282"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Board of Directors Expanded with Industry Leaders to Support Future Growth: </w:t>
      </w:r>
      <w:r>
        <w:rPr>
          <w:rFonts w:ascii="Arial" w:cs="Arial" w:eastAsia="Arial" w:hAnsi="Arial"/>
          <w:sz w:val="18"/>
          <w:szCs w:val="18"/>
          <w:color w:val="auto"/>
        </w:rPr>
        <w:t>Adagio recently announced appointments of three</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veterans and area experts to its board of directors:</w:t>
      </w:r>
    </w:p>
    <w:p>
      <w:pPr>
        <w:spacing w:after="0" w:line="71" w:lineRule="exact"/>
        <w:rPr>
          <w:rFonts w:ascii="Arial" w:cs="Arial" w:eastAsia="Arial" w:hAnsi="Arial"/>
          <w:sz w:val="18"/>
          <w:szCs w:val="18"/>
          <w:color w:val="auto"/>
        </w:rPr>
      </w:pPr>
    </w:p>
    <w:p>
      <w:pPr>
        <w:ind w:left="1420" w:hanging="331"/>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Tom Heyman, former president of the Johnson &amp; Johnson Development Corporation (JJDC);</w:t>
      </w:r>
    </w:p>
    <w:p>
      <w:pPr>
        <w:spacing w:after="0" w:line="130" w:lineRule="exact"/>
        <w:rPr>
          <w:rFonts w:ascii="Arial" w:cs="Arial" w:eastAsia="Arial" w:hAnsi="Arial"/>
          <w:sz w:val="18"/>
          <w:szCs w:val="18"/>
          <w:color w:val="auto"/>
        </w:rPr>
      </w:pPr>
    </w:p>
    <w:p>
      <w:pPr>
        <w:ind w:left="1420" w:hanging="331"/>
        <w:spacing w:after="0" w:line="277" w:lineRule="auto"/>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Anand Shah, M.D., former deputy commissioner for medical and scientific affairs at the U.S. Food and Drug Administration (FDA); and</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Michael S. Wyzga, president of MSW Consulting, Inc. and former CFO of Genzyme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2021 Financial Results</w:t>
      </w:r>
    </w:p>
    <w:p>
      <w:pPr>
        <w:spacing w:after="0" w:line="135" w:lineRule="exact"/>
        <w:rPr>
          <w:sz w:val="20"/>
          <w:szCs w:val="20"/>
          <w:color w:val="auto"/>
        </w:rPr>
      </w:pPr>
    </w:p>
    <w:p>
      <w:pPr>
        <w:ind w:left="960" w:right="80" w:hanging="424"/>
        <w:spacing w:after="0" w:line="263"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June 30, 2021, Adagio had cash, cash equivalents and marketable securities of $392.5 million, which includes net proceeds from its Series C financing completed in April. Pro forma cash, cash equivalents and marketable securities as of June 30, 2021 is $719.6 million after giving effect to our initial public offering which closed on August 10, 2021.</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Research &amp; development expenses including in-process research and development for the second quarter of 2021 were $37.6 million.</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Selling, general &amp; administrative expenses for the second quarter of 2021 were $7.1 million.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Loss for the second quarter was $44.7 million, or $0.18 per share.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ADG20</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ADG20, a monoclonal antibody targeting the spike protein of SARS-CoV-2 and related coronaviruses, is being developed for the prevention and treatment of COVID-19, the disease caused by SARS-CoV-2. ADG20 was designed and engineered to possess high potency and broad neutralization against SARS-CoV-2 and additional clade 1 sarbecoviruses, by targeting a highly conserved epitope in the receptor binding domain. ADG20 displays potent neutralizing activity against the original SARS-CoV-2 strain as well as all known variants of concern. ADG20 has the potential to impact viral replication and subsequent disease through multiple mechanisms of action, including direct blocking of viral entry into the host cell (neutralization) and elimination of infected host cells through Fc-mediated innate immune effector activity. ADG20 is administered by a single intramuscular injection, and was engineered to have a long half-life, with a goal of providing both rapid and durable protection. Adagio is advancing ADG20 through multiple clinical trials on a global basis.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Adagio Therapeutics</w:t>
      </w:r>
    </w:p>
    <w:p>
      <w:pPr>
        <w:spacing w:after="0" w:line="12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Adagio (Nasdaq: ADGI) is a clinical-stage biopharmaceutical company focused on the discovery, development and commercialization of antibody-based solutions for infectious diseases with pandemic potential. The company’s portfolio of antibodies has been optimized using Adimab’s industry-leading antibody engineering capabilities and is designed to provide patients and clinicians with a powerful combination of potency, breadth, durable protection (via half-life extension), manufacturability and</w:t>
      </w:r>
    </w:p>
    <w:p>
      <w:pPr>
        <w:sectPr>
          <w:pgSz w:w="11900" w:h="16838" w:orient="portrait"/>
          <w:cols w:equalWidth="0" w:num="1">
            <w:col w:w="10960"/>
          </w:cols>
          <w:pgMar w:left="440" w:top="1228" w:right="499" w:bottom="1440" w:gutter="0" w:footer="0" w:header="0"/>
        </w:sectPr>
      </w:pPr>
    </w:p>
    <w:bookmarkStart w:id="6" w:name="page7"/>
    <w:bookmarkEnd w:id="6"/>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5222875</wp:posOffset>
            </wp:positionH>
            <wp:positionV relativeFrom="page">
              <wp:posOffset>182880</wp:posOffset>
            </wp:positionV>
            <wp:extent cx="2049145" cy="514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049145" cy="514350"/>
                    </a:xfrm>
                    <a:prstGeom prst="rect">
                      <a:avLst/>
                    </a:prstGeom>
                    <a:noFill/>
                  </pic:spPr>
                </pic:pic>
              </a:graphicData>
            </a:graphic>
          </wp:anchor>
        </w:drawing>
        <w:t xml:space="preserve">affordability. Adagio’s portfolio of SARS-CoV-2 antibodies includes multiple, non-competing broadly neutralizing antibodies with distinct binding epitopes, led by ADG20. Adagio has secured manufacturing capacity for the production of ADG20 with third-party contract manufacturers through the completion of clinical trials and, if approved by regulatory authorities, through initial commercial launch. For more information, please visit </w:t>
      </w:r>
      <w:r>
        <w:rPr>
          <w:rFonts w:ascii="Arial" w:cs="Arial" w:eastAsia="Arial" w:hAnsi="Arial"/>
          <w:sz w:val="18"/>
          <w:szCs w:val="18"/>
          <w:u w:val="single" w:color="auto"/>
          <w:color w:val="auto"/>
        </w:rPr>
        <w:t>www.adagiotx.com</w:t>
      </w:r>
      <w:r>
        <w:rPr>
          <w:rFonts w:ascii="Arial" w:cs="Arial" w:eastAsia="Arial" w:hAnsi="Arial"/>
          <w:sz w:val="18"/>
          <w:szCs w:val="18"/>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This press release contains forward-looking statements within the meaning of the Private Securities Litigation Reform Act of 1995. Words such as “anticipates,” “believes,” “expects,” “intends,” “projects,” and “future” or similar expressions are intended to identify forward-looking statements. Forward-looking statements include statements concerning, among other things, the timing, progress and results of our preclinical studies and clinical trials of ADG20, including the timing of our planned IND submissions, initiation and completion of studies or trials and related preparatory work, the period during which the results of the trials will become available and our research and development programs; our ability to obtain and maintain regulatory approvals for, our product candidates; our ability to identify patients with the diseases treated by our product candidates and to enroll these patients in our clinical trials; our manufacturing capabilities and strategy; and our ability to successfully commercialize our product candidates. We may not actually achieve the plans, intentions or expectations disclosed in our forward-looking statements and you should not place undue reliance on our forward-looking statements. These forward-looking statements involve risks and uncertainties that could cause our actual results to differ materially from the results described in or implied by the forward-looking statements, including, without limitation, those risks described under the heading “Risk Factors” in Adagio’s prospectus filed with the Securities and Exchange Commission (“SEC”) on August 6, 2021 and in Adagio’s future reports to be filed with the SEC, including Adagio’s Quarterly Report on Form 10-Q for the quarter ended June 30, 2021. Such risks may be amplified by the impacts of the COVID-19 pandemic. Forward-looking statements contained in this press release are made as of this date, and Adagio undertakes no duty to update such information except as required under applicable law.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Dan Budwick, 1AB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Dan@1abmedia.com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Monique Allaire, THRUST Strategic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monique@thrustsc.com</w:t>
      </w:r>
    </w:p>
    <w:p>
      <w:pPr>
        <w:sectPr>
          <w:pgSz w:w="11900" w:h="16838" w:orient="portrait"/>
          <w:cols w:equalWidth="0" w:num="1">
            <w:col w:w="10980"/>
          </w:cols>
          <w:pgMar w:left="440" w:top="1232" w:right="479" w:bottom="1440" w:gutter="0" w:footer="0" w:header="0"/>
        </w:sectPr>
      </w:pPr>
    </w:p>
    <w:bookmarkStart w:id="7" w:name="page8"/>
    <w:bookmarkEnd w:id="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5222875</wp:posOffset>
            </wp:positionH>
            <wp:positionV relativeFrom="page">
              <wp:posOffset>182880</wp:posOffset>
            </wp:positionV>
            <wp:extent cx="2049145" cy="514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049145" cy="514350"/>
                    </a:xfrm>
                    <a:prstGeom prst="rect">
                      <a:avLst/>
                    </a:prstGeom>
                    <a:noFill/>
                  </pic:spPr>
                </pic:pic>
              </a:graphicData>
            </a:graphic>
          </wp:anchor>
        </w:drawing>
        <w:t>ADAGIO THERAPEUTICS,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June 30,</w:t>
            </w:r>
          </w:p>
        </w:tc>
        <w:tc>
          <w:tcPr>
            <w:tcW w:w="140" w:type="dxa"/>
            <w:vAlign w:val="bottom"/>
          </w:tcPr>
          <w:p>
            <w:pPr>
              <w:spacing w:after="0"/>
              <w:rPr>
                <w:sz w:val="14"/>
                <w:szCs w:val="1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220" w:type="dxa"/>
            <w:vAlign w:val="bottom"/>
            <w:tcBorders>
              <w:bottom w:val="single" w:sz="8" w:color="CCEEFF"/>
            </w:tcBorders>
          </w:tcPr>
          <w:p>
            <w:pPr>
              <w:spacing w:after="0"/>
              <w:rPr>
                <w:sz w:val="14"/>
                <w:szCs w:val="14"/>
                <w:color w:val="auto"/>
              </w:rPr>
            </w:pPr>
          </w:p>
        </w:tc>
        <w:tc>
          <w:tcPr>
            <w:tcW w:w="75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15"/>
                <w:szCs w:val="15"/>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392,509</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20"/>
                <w:szCs w:val="20"/>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w w:val="96"/>
              </w:rPr>
              <w:t>114,988</w:t>
            </w:r>
          </w:p>
        </w:tc>
        <w:tc>
          <w:tcPr>
            <w:tcW w:w="0" w:type="dxa"/>
            <w:vAlign w:val="bottom"/>
          </w:tcPr>
          <w:p>
            <w:pPr>
              <w:spacing w:after="0"/>
              <w:rPr>
                <w:sz w:val="1"/>
                <w:szCs w:val="1"/>
                <w:color w:val="auto"/>
              </w:rPr>
            </w:pPr>
          </w:p>
        </w:tc>
      </w:tr>
      <w:tr>
        <w:trPr>
          <w:trHeight w:val="216"/>
        </w:trPr>
        <w:tc>
          <w:tcPr>
            <w:tcW w:w="8780" w:type="dxa"/>
            <w:vAlign w:val="bottom"/>
            <w:gridSpan w:val="2"/>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117,382</w:t>
            </w:r>
          </w:p>
        </w:tc>
        <w:tc>
          <w:tcPr>
            <w:tcW w:w="0" w:type="dxa"/>
            <w:vAlign w:val="bottom"/>
          </w:tcPr>
          <w:p>
            <w:pPr>
              <w:spacing w:after="0"/>
              <w:rPr>
                <w:sz w:val="1"/>
                <w:szCs w:val="1"/>
                <w:color w:val="auto"/>
              </w:rPr>
            </w:pPr>
          </w:p>
        </w:tc>
      </w:tr>
      <w:tr>
        <w:trPr>
          <w:trHeight w:val="223"/>
        </w:trPr>
        <w:tc>
          <w:tcPr>
            <w:tcW w:w="8780" w:type="dxa"/>
            <w:vAlign w:val="bottom"/>
            <w:gridSpan w:val="2"/>
          </w:tcPr>
          <w:p>
            <w:pPr>
              <w:ind w:left="360"/>
              <w:spacing w:after="0"/>
              <w:rPr>
                <w:sz w:val="20"/>
                <w:szCs w:val="20"/>
                <w:color w:val="auto"/>
              </w:rPr>
            </w:pPr>
            <w:r>
              <w:rPr>
                <w:rFonts w:ascii="Arial" w:cs="Arial" w:eastAsia="Arial" w:hAnsi="Arial"/>
                <w:sz w:val="18"/>
                <w:szCs w:val="18"/>
                <w:color w:val="auto"/>
              </w:rPr>
              <w:t>Deferred offering costs</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397,992</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20"/>
                <w:szCs w:val="20"/>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w w:val="96"/>
              </w:rPr>
              <w:t>117,382</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8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20"/>
                <w:szCs w:val="20"/>
                <w:color w:val="auto"/>
              </w:rPr>
              <w:t>10,716</w:t>
            </w:r>
          </w:p>
        </w:tc>
        <w:tc>
          <w:tcPr>
            <w:tcW w:w="320" w:type="dxa"/>
            <w:vAlign w:val="bottom"/>
            <w:gridSpan w:val="2"/>
          </w:tcPr>
          <w:p>
            <w:pPr>
              <w:jc w:val="right"/>
              <w:ind w:right="8"/>
              <w:spacing w:after="0"/>
              <w:rPr>
                <w:sz w:val="20"/>
                <w:szCs w:val="20"/>
                <w:color w:val="auto"/>
              </w:rPr>
            </w:pPr>
            <w:r>
              <w:rPr>
                <w:rFonts w:ascii="Arial" w:cs="Arial" w:eastAsia="Arial" w:hAnsi="Arial"/>
                <w:sz w:val="20"/>
                <w:szCs w:val="20"/>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20"/>
                <w:szCs w:val="20"/>
                <w:color w:val="auto"/>
              </w:rPr>
              <w:t>8,153</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27,181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4,919</w:t>
            </w:r>
          </w:p>
        </w:tc>
        <w:tc>
          <w:tcPr>
            <w:tcW w:w="0" w:type="dxa"/>
            <w:vAlign w:val="bottom"/>
          </w:tcPr>
          <w:p>
            <w:pPr>
              <w:spacing w:after="0"/>
              <w:rPr>
                <w:sz w:val="1"/>
                <w:szCs w:val="1"/>
                <w:color w:val="auto"/>
              </w:rPr>
            </w:pPr>
          </w:p>
        </w:tc>
      </w:tr>
      <w:tr>
        <w:trPr>
          <w:trHeight w:val="223"/>
        </w:trPr>
        <w:tc>
          <w:tcPr>
            <w:tcW w:w="8780" w:type="dxa"/>
            <w:vAlign w:val="bottom"/>
            <w:gridSpan w:val="2"/>
          </w:tcPr>
          <w:p>
            <w:pPr>
              <w:ind w:left="7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37,897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Early-exercise liability</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8780" w:type="dxa"/>
            <w:vAlign w:val="bottom"/>
            <w:gridSpan w:val="2"/>
          </w:tcPr>
          <w:p>
            <w:pPr>
              <w:ind w:left="7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37,905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80" w:type="dxa"/>
            <w:vAlign w:val="bottom"/>
            <w:gridSpan w:val="2"/>
          </w:tcPr>
          <w:p>
            <w:pPr>
              <w:spacing w:after="0" w:line="201" w:lineRule="exact"/>
              <w:rPr>
                <w:sz w:val="20"/>
                <w:szCs w:val="20"/>
                <w:color w:val="auto"/>
              </w:rPr>
            </w:pPr>
            <w:r>
              <w:rPr>
                <w:rFonts w:ascii="Arial" w:cs="Arial" w:eastAsia="Arial" w:hAnsi="Arial"/>
                <w:sz w:val="18"/>
                <w:szCs w:val="18"/>
                <w:color w:val="auto"/>
              </w:rPr>
              <w:t>Convertible preferred stock (Series A, B and C) $0.0001 par value; 16,944,484 shares authorized, issued and</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ind w:left="180"/>
              <w:spacing w:after="0"/>
              <w:rPr>
                <w:sz w:val="20"/>
                <w:szCs w:val="20"/>
                <w:color w:val="auto"/>
              </w:rPr>
            </w:pPr>
            <w:r>
              <w:rPr>
                <w:rFonts w:ascii="Arial" w:cs="Arial" w:eastAsia="Arial" w:hAnsi="Arial"/>
                <w:sz w:val="18"/>
                <w:szCs w:val="18"/>
                <w:color w:val="auto"/>
                <w:w w:val="99"/>
              </w:rPr>
              <w:t>outstanding at June 30, 2021; 12,647,934 shares authorized, issued and outstanding at December 31, 2020;</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80" w:type="dxa"/>
            <w:vAlign w:val="bottom"/>
            <w:gridSpan w:val="2"/>
          </w:tcPr>
          <w:p>
            <w:pPr>
              <w:ind w:left="180"/>
              <w:spacing w:after="0"/>
              <w:rPr>
                <w:sz w:val="20"/>
                <w:szCs w:val="20"/>
                <w:color w:val="auto"/>
              </w:rPr>
            </w:pPr>
            <w:r>
              <w:rPr>
                <w:rFonts w:ascii="Arial" w:cs="Arial" w:eastAsia="Arial" w:hAnsi="Arial"/>
                <w:sz w:val="18"/>
                <w:szCs w:val="18"/>
                <w:color w:val="auto"/>
                <w:w w:val="93"/>
              </w:rPr>
              <w:t>aggregate liquidation preference of $505,399 and $169,900 at June 30, 2021 and December 31, 2020, respectively</w:t>
            </w: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504,711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169,548</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8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6"/>
              </w:rPr>
              <w:t>Common stock, $0.0001 par value; 150,000,000 shares authorized at June 30, 2021 and December 31, 2020;</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ind w:left="540"/>
              <w:spacing w:after="0"/>
              <w:rPr>
                <w:sz w:val="20"/>
                <w:szCs w:val="20"/>
                <w:color w:val="auto"/>
              </w:rPr>
            </w:pPr>
            <w:r>
              <w:rPr>
                <w:rFonts w:ascii="Arial" w:cs="Arial" w:eastAsia="Arial" w:hAnsi="Arial"/>
                <w:sz w:val="18"/>
                <w:szCs w:val="18"/>
                <w:color w:val="auto"/>
                <w:w w:val="95"/>
              </w:rPr>
              <w:t>5,599,240 shares issued and outstanding at June 30, 2021; 28,193,240 shares issued and 5,593,240 shares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80" w:type="dxa"/>
            <w:vAlign w:val="bottom"/>
            <w:gridSpan w:val="2"/>
          </w:tcPr>
          <w:p>
            <w:pPr>
              <w:ind w:left="540"/>
              <w:spacing w:after="0"/>
              <w:rPr>
                <w:sz w:val="20"/>
                <w:szCs w:val="20"/>
                <w:color w:val="auto"/>
              </w:rPr>
            </w:pPr>
            <w:r>
              <w:rPr>
                <w:rFonts w:ascii="Arial" w:cs="Arial" w:eastAsia="Arial" w:hAnsi="Arial"/>
                <w:sz w:val="18"/>
                <w:szCs w:val="18"/>
                <w:color w:val="auto"/>
              </w:rPr>
              <w:t>outstanding at December 31, 2020</w:t>
            </w: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4"/>
              </w:rPr>
              <w:t>Treasury stock, at cost; 0 shares and 22,600,000 shares at June 30, 2021 and December 31, 2020, respectively</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8780" w:type="dxa"/>
            <w:vAlign w:val="bottom"/>
            <w:gridSpan w:val="2"/>
          </w:tcPr>
          <w:p>
            <w:pPr>
              <w:ind w:left="3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4,067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(148,692)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(65,319)</w:t>
            </w:r>
          </w:p>
        </w:tc>
        <w:tc>
          <w:tcPr>
            <w:tcW w:w="0" w:type="dxa"/>
            <w:vAlign w:val="bottom"/>
          </w:tcPr>
          <w:p>
            <w:pPr>
              <w:spacing w:after="0"/>
              <w:rPr>
                <w:sz w:val="1"/>
                <w:szCs w:val="1"/>
                <w:color w:val="auto"/>
              </w:rPr>
            </w:pPr>
          </w:p>
        </w:tc>
      </w:tr>
      <w:tr>
        <w:trPr>
          <w:trHeight w:val="230"/>
        </w:trPr>
        <w:tc>
          <w:tcPr>
            <w:tcW w:w="8780" w:type="dxa"/>
            <w:vAlign w:val="bottom"/>
            <w:gridSpan w:val="2"/>
          </w:tcPr>
          <w:p>
            <w:pPr>
              <w:ind w:left="720"/>
              <w:spacing w:after="0"/>
              <w:rPr>
                <w:sz w:val="20"/>
                <w:szCs w:val="20"/>
                <w:color w:val="auto"/>
              </w:rPr>
            </w:pPr>
            <w:r>
              <w:rPr>
                <w:rFonts w:ascii="Arial" w:cs="Arial" w:eastAsia="Arial" w:hAnsi="Arial"/>
                <w:sz w:val="18"/>
                <w:szCs w:val="18"/>
                <w:color w:val="auto"/>
              </w:rPr>
              <w:t>Total stockholders’ deficit</w:t>
            </w: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(144,624)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397,992</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20"/>
                <w:szCs w:val="20"/>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w w:val="96"/>
              </w:rPr>
              <w:t>117,382</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4" w:right="260" w:hanging="544"/>
        <w:spacing w:after="0" w:line="263" w:lineRule="auto"/>
        <w:tabs>
          <w:tab w:leader="none" w:pos="544"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 forma cash, cash equivalents and marketable securities as of June 30, 2021 is $719.6 million after giving effect to our issuance and sale of 20,930,000 shares of our common stock in our initial public offering at the price of $17.00 per share after deducting underwriting discounts, commissions and estimated offering costs which closed on August 10, 2021.</w:t>
      </w:r>
    </w:p>
    <w:p>
      <w:pPr>
        <w:sectPr>
          <w:pgSz w:w="11900" w:h="16838" w:orient="portrait"/>
          <w:cols w:equalWidth="0" w:num="1">
            <w:col w:w="11024"/>
          </w:cols>
          <w:pgMar w:left="436" w:top="1296" w:right="439" w:bottom="1440" w:gutter="0" w:footer="0" w:header="0"/>
        </w:sectPr>
      </w:pPr>
    </w:p>
    <w:bookmarkStart w:id="8" w:name="page9"/>
    <w:bookmarkEnd w:id="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5222875</wp:posOffset>
            </wp:positionH>
            <wp:positionV relativeFrom="page">
              <wp:posOffset>182880</wp:posOffset>
            </wp:positionV>
            <wp:extent cx="2049145" cy="514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049145" cy="514350"/>
                    </a:xfrm>
                    <a:prstGeom prst="rect">
                      <a:avLst/>
                    </a:prstGeom>
                    <a:noFill/>
                  </pic:spPr>
                </pic:pic>
              </a:graphicData>
            </a:graphic>
          </wp:anchor>
        </w:drawing>
        <w:t>ADAGIO THERAPEUTICS,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Six Months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June 30,</w:t>
            </w:r>
          </w:p>
        </w:tc>
        <w:tc>
          <w:tcPr>
            <w:tcW w:w="12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1220" w:type="dxa"/>
            <w:vAlign w:val="bottom"/>
            <w:tcBorders>
              <w:bottom w:val="single" w:sz="8" w:color="CCEEFF"/>
            </w:tcBorders>
          </w:tcPr>
          <w:p>
            <w:pPr>
              <w:spacing w:after="0"/>
              <w:rPr>
                <w:sz w:val="14"/>
                <w:szCs w:val="14"/>
                <w:color w:val="auto"/>
              </w:rPr>
            </w:pPr>
          </w:p>
        </w:tc>
        <w:tc>
          <w:tcPr>
            <w:tcW w:w="490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5"/>
              </w:rPr>
              <w:t>2020</w:t>
            </w:r>
            <w:r>
              <w:rPr>
                <w:rFonts w:ascii="Arial" w:cs="Arial" w:eastAsia="Arial" w:hAnsi="Arial"/>
                <w:sz w:val="12"/>
                <w:szCs w:val="12"/>
                <w:b w:val="1"/>
                <w:bCs w:val="1"/>
                <w:color w:val="auto"/>
                <w:w w:val="95"/>
              </w:rPr>
              <w:t>(3)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1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2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20"/>
                <w:szCs w:val="20"/>
                <w:color w:val="auto"/>
              </w:rPr>
              <w:t>35,067</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20"/>
                <w:szCs w:val="20"/>
                <w:color w:val="auto"/>
              </w:rPr>
              <w:t>69,204</w:t>
            </w:r>
          </w:p>
        </w:tc>
        <w:tc>
          <w:tcPr>
            <w:tcW w:w="1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20"/>
                <w:szCs w:val="20"/>
                <w:color w:val="auto"/>
              </w:rPr>
              <w:t>48</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Acquired in-process research and development</w:t>
            </w:r>
            <w:r>
              <w:rPr>
                <w:rFonts w:ascii="Arial" w:cs="Arial" w:eastAsia="Arial" w:hAnsi="Arial"/>
                <w:sz w:val="15"/>
                <w:szCs w:val="15"/>
                <w:color w:val="auto"/>
              </w:rPr>
              <w:t>(2)</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7,124</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10,695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44,691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83,399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(44,691)</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(83,399)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360"/>
              <w:spacing w:after="0"/>
              <w:rPr>
                <w:sz w:val="20"/>
                <w:szCs w:val="20"/>
                <w:color w:val="auto"/>
              </w:rPr>
            </w:pPr>
            <w:r>
              <w:rPr>
                <w:rFonts w:ascii="Arial" w:cs="Arial" w:eastAsia="Arial" w:hAnsi="Arial"/>
                <w:sz w:val="18"/>
                <w:szCs w:val="18"/>
                <w:color w:val="auto"/>
              </w:rPr>
              <w:t>Interest income</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20" w:type="dxa"/>
            <w:vAlign w:val="bottom"/>
            <w:gridSpan w:val="2"/>
          </w:tcPr>
          <w:p>
            <w:pPr>
              <w:ind w:left="360"/>
              <w:spacing w:after="0"/>
              <w:rPr>
                <w:sz w:val="20"/>
                <w:szCs w:val="20"/>
                <w:color w:val="auto"/>
              </w:rPr>
            </w:pPr>
            <w:r>
              <w:rPr>
                <w:rFonts w:ascii="Arial" w:cs="Arial" w:eastAsia="Arial" w:hAnsi="Arial"/>
                <w:sz w:val="18"/>
                <w:szCs w:val="18"/>
                <w:color w:val="auto"/>
              </w:rPr>
              <w:t>Total other income (expense), net</w:t>
            </w:r>
          </w:p>
        </w:tc>
        <w:tc>
          <w:tcPr>
            <w:tcW w:w="1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(44,673)</w:t>
            </w: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(83,373)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(98)</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w:t>
            </w:r>
          </w:p>
        </w:tc>
        <w:tc>
          <w:tcPr>
            <w:tcW w:w="1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20" w:type="dxa"/>
            <w:vAlign w:val="bottom"/>
            <w:gridSpan w:val="2"/>
            <w:vMerge w:val="continue"/>
          </w:tcPr>
          <w:p>
            <w:pPr>
              <w:spacing w:after="0"/>
              <w:rPr>
                <w:sz w:val="17"/>
                <w:szCs w:val="17"/>
                <w:color w:val="auto"/>
              </w:rPr>
            </w:pPr>
          </w:p>
        </w:tc>
        <w:tc>
          <w:tcPr>
            <w:tcW w:w="156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(0.18)</w:t>
            </w:r>
          </w:p>
        </w:tc>
        <w:tc>
          <w:tcPr>
            <w:tcW w:w="120" w:type="dxa"/>
            <w:vAlign w:val="bottom"/>
            <w:vMerge w:val="restart"/>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20"/>
                <w:szCs w:val="20"/>
                <w:color w:val="auto"/>
              </w:rPr>
              <w:t>(0.66)</w:t>
            </w:r>
          </w:p>
        </w:tc>
        <w:tc>
          <w:tcPr>
            <w:tcW w:w="18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1560" w:type="dxa"/>
            <w:vAlign w:val="bottom"/>
            <w:gridSpan w:val="2"/>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80" w:type="dxa"/>
            <w:vAlign w:val="bottom"/>
            <w:gridSpan w:val="2"/>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249,769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125,574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21,250,000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9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24" w:right="360" w:hanging="424"/>
        <w:spacing w:after="0" w:line="258"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related-party amounts of $247 for the three months ended June 30, 2021, $435 for the six months ended June 30, 2021 and $0 for the period from June 3, 2020 (inception) to June 30, 2020.</w:t>
      </w:r>
    </w:p>
    <w:p>
      <w:pPr>
        <w:spacing w:after="0" w:line="1" w:lineRule="exact"/>
        <w:rPr>
          <w:rFonts w:ascii="Arial" w:cs="Arial" w:eastAsia="Arial" w:hAnsi="Arial"/>
          <w:sz w:val="18"/>
          <w:szCs w:val="18"/>
          <w:color w:val="auto"/>
        </w:rPr>
      </w:pPr>
    </w:p>
    <w:p>
      <w:pPr>
        <w:ind w:left="424" w:right="100" w:hanging="424"/>
        <w:spacing w:after="0" w:line="250"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related-party amounts of $2,500 for the three months ended June 30, 2021, $3,500 for the six months ended June 30, 2021 and $0 for the period from June 3, 2020 (inception) to June 30, 2020.</w:t>
      </w:r>
    </w:p>
    <w:p>
      <w:pPr>
        <w:ind w:left="424" w:hanging="424"/>
        <w:spacing w:after="0"/>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results for the period from June 3, 2020 (inception) to June 30, 2020 are the same for the three and six months ended June 30, 2020.</w:t>
      </w:r>
    </w:p>
    <w:sectPr>
      <w:pgSz w:w="11900" w:h="16838" w:orient="portrait"/>
      <w:cols w:equalWidth="0" w:num="1">
        <w:col w:w="11024"/>
      </w:cols>
      <w:pgMar w:left="436" w:top="129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2021-09-20T15:26:38Z</dcterms:created>
  <dcterms:modified xsi:type="dcterms:W3CDTF">2021-09-20T15:26:38Z</dcterms:modified>
</cp:coreProperties>
</file>