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Lindenboom Christine</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WALTHAM</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gridSpan w:val="6"/>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05/23/2023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29,589</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29,589</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29,589</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/s/ Jill Andersen attorney-in-</w:t>
            </w:r>
          </w:p>
        </w:tc>
        <w:tc>
          <w:tcPr>
            <w:tcW w:w="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8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2"/>
              </w:rPr>
              <w:t>fact for Christine Lindenboom</w:t>
            </w:r>
          </w:p>
        </w:tc>
        <w:tc>
          <w:tcPr>
            <w:tcW w:w="60" w:type="dxa"/>
            <w:vAlign w:val="bottom"/>
            <w:vMerge w:val="restart"/>
          </w:tcPr>
          <w:p>
            <w:pPr>
              <w:spacing w:after="0"/>
              <w:rPr>
                <w:sz w:val="7"/>
                <w:szCs w:val="7"/>
                <w:color w:val="auto"/>
              </w:rPr>
            </w:pPr>
          </w:p>
        </w:tc>
        <w:tc>
          <w:tcPr>
            <w:tcW w:w="60" w:type="dxa"/>
            <w:vAlign w:val="bottom"/>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50692" TargetMode="External"/><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2023-05-25T17:46:32Z</dcterms:created>
  <dcterms:modified xsi:type="dcterms:W3CDTF">2023-05-25T17:46:32Z</dcterms:modified>
</cp:coreProperties>
</file>