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vvd-20240331.htm"/>
      <w:bookmarkStart w:id="1" w:name="ksivvd2024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001-40703</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887" w:type="dxa"/>
        <w:jc w:val="left"/>
        <w:tblInd w:w="0" w:type="dxa"/>
        <w:tblLayout w:type="fixed"/>
        <w:tblCellMar>
          <w:top w:w="28" w:type="dxa"/>
          <w:left w:w="28" w:type="dxa"/>
          <w:bottom w:w="28" w:type="dxa"/>
          <w:right w:w="28" w:type="dxa"/>
        </w:tblCellMar>
      </w:tblPr>
      <w:tblGrid>
        <w:gridCol w:w="2641"/>
        <w:gridCol w:w="1246"/>
      </w:tblGrid>
      <w:tr>
        <w:trPr/>
        <w:tc>
          <w:tcPr>
            <w:tcW w:w="26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6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41" w:type="dxa"/>
            <w:tcBorders/>
            <w:tcMar>
              <w:top w:w="0" w:type="dxa"/>
              <w:left w:w="0" w:type="dxa"/>
              <w:bottom w:w="0" w:type="dxa"/>
              <w:right w:w="0" w:type="dxa"/>
            </w:tcMar>
            <w:vAlign w:val="center"/>
          </w:tcPr>
          <w:p>
            <w:pPr>
              <w:pStyle w:val="TableContents"/>
              <w:bidi w:val="0"/>
              <w:spacing w:before="80" w:after="15"/>
              <w:jc w:val="center"/>
              <w:rPr>
                <w:rFonts w:ascii="Times New Roman" w:hAnsi="Times New Roman"/>
                <w:b/>
                <w:color w:val="000000"/>
                <w:sz w:val="20"/>
              </w:rPr>
            </w:pPr>
            <w:r>
              <w:rPr>
                <w:rFonts w:ascii="Times New Roman" w:hAnsi="Times New Roman"/>
                <w:b/>
                <w:color w:val="000000"/>
                <w:sz w:val="20"/>
              </w:rPr>
              <w:t>1601 Trapelo Road, Suite 178</w:t>
              <w:br/>
              <w:t>Waltham, MA</w:t>
            </w:r>
          </w:p>
        </w:tc>
        <w:tc>
          <w:tcPr>
            <w:tcW w:w="124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02451</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(781) 819-0080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IVVD</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As of May 2, 2024, the registrant had 119,315,787</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Table of Contents</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nvertible">
              <w:r>
                <w:rPr>
                  <w:rStyle w:val="InternetLink"/>
                  <w:rFonts w:ascii="Times New Roman" w:hAnsi="Times New Roman"/>
                  <w:color w:val="0000FF"/>
                  <w:sz w:val="20"/>
                  <w:u w:val="single"/>
                </w:rPr>
                <w:t>Condensed Consolidated Statements of Stockholders’ Equity (Deficit)</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consolidated_balance_sheets"/>
      <w:bookmarkEnd w:id="5"/>
      <w:r>
        <w:rPr>
          <w:rFonts w:ascii="Times New Roman" w:hAnsi="Times New Roman"/>
          <w:b/>
          <w:caps/>
          <w:color w:val="000000"/>
          <w:sz w:val="20"/>
        </w:rPr>
        <w:t>Condensed Consolidated Balance Sheets</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120" w:after="8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tbl>
      <w:tblPr>
        <w:tblW w:w="9442" w:type="dxa"/>
        <w:jc w:val="left"/>
        <w:tblInd w:w="0" w:type="dxa"/>
        <w:tblLayout w:type="fixed"/>
        <w:tblCellMar>
          <w:top w:w="28" w:type="dxa"/>
          <w:left w:w="28" w:type="dxa"/>
          <w:bottom w:w="28" w:type="dxa"/>
          <w:right w:w="28" w:type="dxa"/>
        </w:tblCellMar>
      </w:tblPr>
      <w:tblGrid>
        <w:gridCol w:w="6226"/>
        <w:gridCol w:w="146"/>
        <w:gridCol w:w="211"/>
        <w:gridCol w:w="841"/>
        <w:gridCol w:w="166"/>
        <w:gridCol w:w="146"/>
        <w:gridCol w:w="219"/>
        <w:gridCol w:w="876"/>
        <w:gridCol w:w="6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224,881</w:t>
            </w:r>
          </w:p>
        </w:tc>
        <w:tc>
          <w:tcPr>
            <w:tcW w:w="611"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611"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611"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Preferred Stock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611"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226" w:type="dxa"/>
            <w:tcBorders/>
            <w:shd w:fill="CFF0FC" w:val="clear"/>
            <w:vAlign w:val="center"/>
          </w:tcPr>
          <w:p>
            <w:pPr>
              <w:pStyle w:val="TableContents"/>
              <w:bidi w:val="0"/>
              <w:spacing w:before="0" w:after="283"/>
              <w:jc w:val="left"/>
              <w:rPr/>
            </w:pPr>
            <w:r>
              <w:rPr>
                <w:color w:val="000000"/>
              </w:rPr>
              <w:t>        </w:t>
            </w:r>
            <w:r>
              <w:rPr>
                <w:rFonts w:ascii="Times New Roman" w:hAnsi="Times New Roman"/>
                <w:color w:val="000000"/>
                <w:sz w:val="20"/>
              </w:rPr>
              <w:t>Preferred stock (undesignated), $0.0001 par value; 10,000,000 shares</w:t>
              <w:br/>
              <w:t>           authorized and no shares issued and outstanding at March 31, 2024</w:t>
              <w:br/>
              <w:t>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Common stock, $0.0001 par value; 1,000,000,000 shares authorized, </w:t>
              <w:br/>
              <w:t xml:space="preserve">           119,221,230 shares issued and outstanding at March 31, 2024; </w:t>
              <w:br/>
              <w:t>           110,160,684 shares issued and outstanding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909,539</w:t>
            </w:r>
          </w:p>
        </w:tc>
        <w:tc>
          <w:tcPr>
            <w:tcW w:w="611"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preferred stock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6" w:name="statements_of_operations"/>
      <w:bookmarkEnd w:id="6"/>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solidated_statements_of_operations"/>
      <w:bookmarkEnd w:id="7"/>
      <w:r>
        <w:rPr>
          <w:rFonts w:ascii="Times New Roman" w:hAnsi="Times New Roman"/>
          <w:b/>
          <w:caps/>
          <w:color w:val="000000"/>
          <w:sz w:val="20"/>
        </w:rPr>
        <w:t>Condensed Consolidated Statements of Operations and Comprehensive Loss</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120" w:after="8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908"/>
        <w:gridCol w:w="146"/>
        <w:gridCol w:w="331"/>
        <w:gridCol w:w="1792"/>
        <w:gridCol w:w="166"/>
        <w:gridCol w:w="146"/>
        <w:gridCol w:w="331"/>
        <w:gridCol w:w="1792"/>
        <w:gridCol w:w="593"/>
      </w:tblGrid>
      <w:tr>
        <w:trPr/>
        <w:tc>
          <w:tcPr>
            <w:tcW w:w="4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9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3" w:type="dxa"/>
            <w:tcBorders/>
            <w:shd w:fill="FFFFFF" w:val="clear"/>
            <w:vAlign w:val="center"/>
          </w:tcPr>
          <w:p>
            <w:pPr>
              <w:pStyle w:val="TableContents"/>
              <w:bidi w:val="0"/>
              <w:spacing w:before="0" w:after="283"/>
              <w:jc w:val="center"/>
              <w:rPr/>
            </w:pPr>
            <w:r>
              <w:rPr/>
              <w:t> </w:t>
            </w:r>
          </w:p>
        </w:tc>
      </w:tr>
      <w:tr>
        <w:trPr/>
        <w:tc>
          <w:tcPr>
            <w:tcW w:w="49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2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490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490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Acquired in-process research and development</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7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7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49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0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1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2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49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0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21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2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49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available-for-sale securities, net of tax</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115,618,209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108,785,519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Includes related-party amounts of $1,135</w:t>
      </w:r>
      <w:r>
        <w:rPr>
          <w:color w:val="000000"/>
        </w:rPr>
        <w:t xml:space="preserve"> </w:t>
      </w:r>
      <w:r>
        <w:rPr>
          <w:rFonts w:ascii="Times New Roman" w:hAnsi="Times New Roman"/>
          <w:color w:val="000000"/>
          <w:sz w:val="20"/>
        </w:rPr>
        <w:t>and $2,960</w:t>
      </w:r>
      <w:r>
        <w:rPr>
          <w:color w:val="000000"/>
        </w:rPr>
        <w:t xml:space="preserve"> </w:t>
      </w:r>
      <w:r>
        <w:rPr>
          <w:rFonts w:ascii="Times New Roman" w:hAnsi="Times New Roman"/>
          <w:color w:val="000000"/>
          <w:sz w:val="20"/>
        </w:rPr>
        <w:t>for the three months ended March 31, 2024 and 2023, respectively (see Note 14).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Includes related-party amounts of $0</w:t>
      </w:r>
      <w:r>
        <w:rPr>
          <w:color w:val="000000"/>
        </w:rPr>
        <w:t xml:space="preserve"> </w:t>
      </w:r>
      <w:r>
        <w:rPr>
          <w:rFonts w:ascii="Times New Roman" w:hAnsi="Times New Roman"/>
          <w:color w:val="000000"/>
          <w:sz w:val="20"/>
        </w:rPr>
        <w:t>and $375</w:t>
      </w:r>
      <w:r>
        <w:rPr>
          <w:color w:val="000000"/>
        </w:rPr>
        <w:t xml:space="preserve"> </w:t>
      </w:r>
      <w:r>
        <w:rPr>
          <w:rFonts w:ascii="Times New Roman" w:hAnsi="Times New Roman"/>
          <w:color w:val="000000"/>
          <w:sz w:val="20"/>
        </w:rPr>
        <w:t>for the three months ended March 31, 2024</w:t>
      </w:r>
      <w:r>
        <w:rPr>
          <w:color w:val="000000"/>
        </w:rPr>
        <w:t xml:space="preserve"> </w:t>
      </w:r>
      <w:r>
        <w:rPr>
          <w:rFonts w:ascii="Times New Roman" w:hAnsi="Times New Roman"/>
          <w:color w:val="000000"/>
          <w:sz w:val="20"/>
        </w:rPr>
        <w:t xml:space="preserve">and 2023, respectively (see Note 14).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statements_of_equity"/>
      <w:bookmarkEnd w:id="8"/>
      <w:r>
        <w:rPr>
          <w:rFonts w:ascii="Times New Roman" w:hAnsi="Times New Roman"/>
          <w:b/>
          <w:color w:val="000000"/>
          <w:sz w:val="20"/>
        </w:rPr>
        <w:t>INVIVYD, INC.</w:t>
      </w:r>
    </w:p>
    <w:p>
      <w:pPr>
        <w:pStyle w:val="TextBody"/>
        <w:bidi w:val="0"/>
        <w:spacing w:before="40" w:after="283"/>
        <w:jc w:val="center"/>
        <w:rPr>
          <w:rFonts w:ascii="Times New Roman" w:hAnsi="Times New Roman"/>
          <w:sz w:val="20"/>
        </w:rPr>
      </w:pPr>
      <w:bookmarkStart w:id="9" w:name="consolidated_statements_of_convertible"/>
      <w:bookmarkEnd w:id="9"/>
      <w:r>
        <w:rPr>
          <w:rFonts w:ascii="Times New Roman" w:hAnsi="Times New Roman"/>
          <w:b/>
          <w:color w:val="000000"/>
          <w:sz w:val="20"/>
        </w:rPr>
        <w:t>CONDENSED CONSOLIDATED STATEMENTS OF STOCKHOLDERS’ EQUITY (DEFICIT)</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spacing w:before="40" w:after="283"/>
        <w:jc w:val="left"/>
        <w:rPr/>
      </w:pPr>
      <w:r>
        <w:rPr/>
        <w:t> </w:t>
      </w:r>
    </w:p>
    <w:tbl>
      <w:tblPr>
        <w:tblW w:w="11964" w:type="dxa"/>
        <w:jc w:val="left"/>
        <w:tblInd w:w="0" w:type="dxa"/>
        <w:tblLayout w:type="fixed"/>
        <w:tblCellMar>
          <w:top w:w="28" w:type="dxa"/>
          <w:left w:w="28" w:type="dxa"/>
          <w:bottom w:w="28" w:type="dxa"/>
          <w:right w:w="28" w:type="dxa"/>
        </w:tblCellMar>
      </w:tblPr>
      <w:tblGrid>
        <w:gridCol w:w="1531"/>
        <w:gridCol w:w="146"/>
        <w:gridCol w:w="146"/>
        <w:gridCol w:w="1141"/>
        <w:gridCol w:w="166"/>
        <w:gridCol w:w="146"/>
        <w:gridCol w:w="261"/>
        <w:gridCol w:w="430"/>
        <w:gridCol w:w="146"/>
        <w:gridCol w:w="146"/>
        <w:gridCol w:w="146"/>
        <w:gridCol w:w="841"/>
        <w:gridCol w:w="166"/>
        <w:gridCol w:w="146"/>
        <w:gridCol w:w="261"/>
        <w:gridCol w:w="430"/>
        <w:gridCol w:w="146"/>
        <w:gridCol w:w="146"/>
        <w:gridCol w:w="211"/>
        <w:gridCol w:w="781"/>
        <w:gridCol w:w="146"/>
        <w:gridCol w:w="146"/>
        <w:gridCol w:w="370"/>
        <w:gridCol w:w="846"/>
        <w:gridCol w:w="166"/>
        <w:gridCol w:w="146"/>
        <w:gridCol w:w="211"/>
        <w:gridCol w:w="841"/>
        <w:gridCol w:w="166"/>
        <w:gridCol w:w="146"/>
        <w:gridCol w:w="220"/>
        <w:gridCol w:w="816"/>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109,044,046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355,970</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common stock</w:t>
              <w:br/>
              <w:t>   from early-exercised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unvested restricted</w:t>
              <w:br/>
              <w:t>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21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available-for-sale</w:t>
              <w:br/>
              <w:t>   securities,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109,316,226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523" w:type="dxa"/>
        <w:jc w:val="left"/>
        <w:tblInd w:w="0" w:type="dxa"/>
        <w:tblLayout w:type="fixed"/>
        <w:tblCellMar>
          <w:top w:w="28" w:type="dxa"/>
          <w:left w:w="28" w:type="dxa"/>
          <w:bottom w:w="28" w:type="dxa"/>
          <w:right w:w="28" w:type="dxa"/>
        </w:tblCellMar>
      </w:tblPr>
      <w:tblGrid>
        <w:gridCol w:w="1531"/>
        <w:gridCol w:w="146"/>
        <w:gridCol w:w="146"/>
        <w:gridCol w:w="1141"/>
        <w:gridCol w:w="146"/>
        <w:gridCol w:w="146"/>
        <w:gridCol w:w="261"/>
        <w:gridCol w:w="430"/>
        <w:gridCol w:w="146"/>
        <w:gridCol w:w="146"/>
        <w:gridCol w:w="173"/>
        <w:gridCol w:w="413"/>
        <w:gridCol w:w="146"/>
        <w:gridCol w:w="146"/>
        <w:gridCol w:w="261"/>
        <w:gridCol w:w="430"/>
        <w:gridCol w:w="146"/>
        <w:gridCol w:w="146"/>
        <w:gridCol w:w="211"/>
        <w:gridCol w:w="781"/>
        <w:gridCol w:w="146"/>
        <w:gridCol w:w="146"/>
        <w:gridCol w:w="437"/>
        <w:gridCol w:w="779"/>
        <w:gridCol w:w="166"/>
        <w:gridCol w:w="146"/>
        <w:gridCol w:w="211"/>
        <w:gridCol w:w="841"/>
        <w:gridCol w:w="166"/>
        <w:gridCol w:w="146"/>
        <w:gridCol w:w="220"/>
        <w:gridCol w:w="816"/>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110,160,684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177,468</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21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 of</w:t>
              <w:br/>
              <w:t>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39,057</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available-for-sale</w:t>
              <w:br/>
              <w:t>   securities,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119,221,230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statements_of_cash_flows"/>
      <w:bookmarkEnd w:id="10"/>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1" w:name="consolidated_statements_of_cash_flows"/>
      <w:bookmarkEnd w:id="11"/>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120" w:after="8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091"/>
        <w:gridCol w:w="146"/>
        <w:gridCol w:w="408"/>
        <w:gridCol w:w="1513"/>
        <w:gridCol w:w="166"/>
        <w:gridCol w:w="146"/>
        <w:gridCol w:w="408"/>
        <w:gridCol w:w="1513"/>
        <w:gridCol w:w="814"/>
      </w:tblGrid>
      <w:tr>
        <w:trPr/>
        <w:tc>
          <w:tcPr>
            <w:tcW w:w="5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4" w:type="dxa"/>
            <w:tcBorders/>
            <w:shd w:fill="FFFFFF" w:val="clear"/>
            <w:vAlign w:val="center"/>
          </w:tcPr>
          <w:p>
            <w:pPr>
              <w:pStyle w:val="TableContents"/>
              <w:bidi w:val="0"/>
              <w:spacing w:before="0" w:after="283"/>
              <w:jc w:val="center"/>
              <w:rPr/>
            </w:pPr>
            <w:r>
              <w:rPr/>
              <w:t> </w:t>
            </w:r>
          </w:p>
        </w:tc>
      </w:tr>
      <w:tr>
        <w:trPr/>
        <w:tc>
          <w:tcPr>
            <w:tcW w:w="5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9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1"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5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1"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amortization of premiums and accretion of discounts on marketable securities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9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21"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400"/>
              <w:jc w:val="right"/>
              <w:rPr/>
            </w:pPr>
            <w:r>
              <w:rPr/>
              <w:t> </w:t>
            </w:r>
          </w:p>
        </w:tc>
      </w:tr>
      <w:tr>
        <w:trPr/>
        <w:tc>
          <w:tcPr>
            <w:tcW w:w="50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5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50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5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9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21"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5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75,660</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9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21"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5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under the employee stock purchase plan</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net of issuance costs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for offering costs</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34,397</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126,473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9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1"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5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 accrued expenses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shd w:fill="FFFFFF" w:val="clear"/>
            <w:vAlign w:val="center"/>
          </w:tcPr>
          <w:p>
            <w:pPr>
              <w:pStyle w:val="TableContents"/>
              <w:bidi w:val="0"/>
              <w:spacing w:before="0" w:after="283"/>
              <w:jc w:val="right"/>
              <w:rPr>
                <w:color w:val="000000"/>
              </w:rPr>
            </w:pPr>
            <w:r>
              <w:rPr>
                <w:color w:val="000000"/>
              </w:rPr>
              <w:t>—</w:t>
            </w:r>
          </w:p>
        </w:tc>
        <w:tc>
          <w:tcPr>
            <w:tcW w:w="814" w:type="dxa"/>
            <w:tcBorders/>
            <w:shd w:fill="FFFFFF" w:val="cle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2" w:name="notes_to_financial_statements"/>
      <w:bookmarkEnd w:id="12"/>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120"/>
        <w:jc w:val="both"/>
        <w:rPr>
          <w:rFonts w:ascii="Times New Roman" w:hAnsi="Times New Roman"/>
          <w:sz w:val="20"/>
        </w:rPr>
      </w:pPr>
      <w:r>
        <w:rPr>
          <w:rFonts w:ascii="Times New Roman" w:hAnsi="Times New Roman"/>
          <w:b/>
          <w:color w:val="000000"/>
          <w:sz w:val="20"/>
        </w:rPr>
        <w:t>1. Nature of the Business and</w:t>
      </w:r>
      <w:r>
        <w:rPr>
          <w:rFonts w:ascii="Times New Roman" w:hAnsi="Times New Roman"/>
          <w:color w:val="000000"/>
          <w:sz w:val="20"/>
        </w:rPr>
        <w:t xml:space="preserve"> </w:t>
      </w: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Invivyd, Inc. (together with its consolidated subsidiaries, the “Company”),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March 22, 2024, the Company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May 2024, the Company announced its intention to submit an EUA application to the FDA for pemivibart for the treatment of mild to moderate symptomatic COVID-19 in certain immunocompromised people utilizing a rapid immunobridging pathway, which was aligned in principle with the FDA and would leverage a similar approach as the Company used to achieve its current EUA for PEMGARDA for pre-exposure prophylaxis of COVID-19 in certain immunocompromised people. The immunobridging pathway for COVID-19 treatment is enabled by data from the Company’s previous Phase 2/3 clinical trial (STAMP) of adintrevimab, the prototype mAb, for the treatment of COVID-19 and data from the Company’s ongoing CANOPY Phase 3 clinical trial of VYD222 (pemivibart) for pre-exposure prophylaxis of COVID-19. The potential COVID-19 treatment EUA request would focus on the critical treatment needs of people in the U.S. who have moderate-to-severe immune compromise and for whom alternative COVID-19 treatment options are not clinically appropriate or accessible. Subsequent to the anticipated submission of an EUA request, the Company plans to initiate a compact clinical trial focused on confirmatory safety, pharmacokinetics, and clinical virology.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PEMGARDA is the Company’s first mAb in a planned series of innovative mAb candidates designed to keep pace with SARS-CoV-2 viral evolution. As the SARS-CoV-2 virus evolves over time, the Company anticipates leveraging its INVYMAB platform approach to periodically introduce new or engineered mAb candidates, an approach that would be analogous to the periodic updates made to influenza and COVID-19 vaccines. In January 2024, the Company nominated VYD2311, a mAb optimized for neutralization potency against recent SARS-CoV-2 lineages such as BA.2.86 and JN.1, as a drug candidate, and the Company expects it will be the next pipeline program to advance into clinical development. In addition to developing candidates for COVID-19, the Company expects to apply its INVYMAB platform approach to produce lead molecules for other viral diseases, such as influenza.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was incorporated in the State of Delaware in June 2020. The Company operates as a hybrid company with employees working at its corporate headquarters in Waltham, Massachusetts and remotely. In June 2022, and subsequently amended in September 2022, the Company entered into a lease for dedicated laboratory and office space in Newton, Massachusetts for research and development purposes. In 2022, the Company expanded its research team in order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Through March 31, 2024, the Company had not generated any revenue. 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VYD222 (pemivibart), all of the Company’s other product candidates, other than adintrevimab, are currently in preclinical development. The Company’s additional product candidates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Substantial Doubt about Ability to Continue as a Going Concern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and net proceeds received from shares of common stock solder under the Sales Agreement (defined below). In February 2024, the Company sold 9,000,000 shares of its common stock under the Sales Agreement at an average price of $4.50 per share for $39.3 million in net proceeds.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incurred losses and negative cash flows from operations since its inception, including a net loss of $43.5 million for the three months ended March 31, 2024. As of March 31, 2024, the Company had an accumulated deficit of $775.6 million. The Company may continue to generate operating losses for the foreseeable future.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Based on current operating plans and excluding any contribution from revenues or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 </w:t>
      </w:r>
    </w:p>
    <w:p>
      <w:pPr>
        <w:pStyle w:val="TextBody"/>
        <w:bidi w:val="0"/>
        <w:spacing w:before="120" w:after="120"/>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March 31, 2024, the Company’s significant accounting policies and estimates, which are detailed in the Company’s Annual Report on Form 10-K for the year ended December 31, 2023, as filed with the U.S. Securities and Exchange Commission (“SEC”) on March 28, 2024 (the “2023 Form 10-K”) have not changed, except as discussed below.</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Prior to receiving regulatory approval or authorization, costs related to the manufacturing of inventory are recorded as research and development expense on the Company’s consolidated statements of operations and comprehensive loss in the period incurred. In connection with the EUA for PEMGARDA in March 2024, the Company subsequently began capitalizing PEMGARDA inventory costs as it was determined that inventory costs incurred subsequent to the EUA had a probable future economic benefit.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Inventory is stated at the lower of cost or estimated net realizable value with cost determined on a first-in, first-out basis. Inventory costs include raw materials, third-party contract manufacturing, third-party packaging services, freight and overhead. The Company reduces its inventory to net realizable value for potentially excess, dated or obsolete inventory based on a quarterly assessment of the recoverability of its capitalized inventory. The Company periodically reviews inventory levels to identify what may expire prior to expected sale or has a cost basis in excess of its estimated realizable value and writes-down such inventories as appropriate as a component of costs of goods sold in the consolidated statements of operations and comprehensive loss.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accompanying condensed consolidated balance sheet as of March 31, 2024, the condensed consolidated statements of operations and comprehensive loss for the three months ended March 31, 2024 and 2023, the condensed consolidated statements of cash flows for the three months ended March 31, 2024 and 2023 and the condensed consolidated statements of stockholders’ equity (deficit) for the three months ended March 31, 2024 and 2023 are unaudited.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accompanying unaudited condensed consolidated financial statements as of March 31, 2024 and for the three months ended March 31, 2024 and 2023, have been prepared by the Company pursuant to the rules and regulations of the SEC for interim financial statements. The accompanying condensed consolidated balance sheet as of December 31, 2023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2023, which are included in the 2023 Form 10-K.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the opinion of management, all adjustments, consisting only of normal recurring adjustments necessary for a fair statement of the Company’s condensed consolidated financial position as of March 31, 2024 and December 31, 2023, the condensed consolidated results of operations for the three months ended March 31, 2024 and 2023, the condensed consolidated cash flows for the three months ended March 31, 2024 and 2023 and changes in stockholders’ equity (deficit) for the three months ended March 31, 2024 and 2023 have been made. The Company’s condensed consolidated results of operations for the three months ended March 31, 2024 are not necessarily indicative of the results of operations that may be expected for the year ending December 31, 2024.</w:t>
      </w:r>
    </w:p>
    <w:p>
      <w:pPr>
        <w:pStyle w:val="TextBody"/>
        <w:bidi w:val="0"/>
        <w:spacing w:before="120" w:after="12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and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Recently Issued and Adopted Accounting Pronouncements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is currently evaluating the potential impacts of ASU 2023-07 on the consolidated financial statements and related disclosures.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all entities for annual periods beginning after December 15, 2025. All entities should apply the guidance prospectively but have the option to apply it retrospectively. Early adoption is permitted. The Company is continuing to assess the timing of adoption and the potential impacts of ASU 2023-09 on the consolidated financial statements and related disclosures. </w:t>
      </w:r>
    </w:p>
    <w:p>
      <w:pPr>
        <w:pStyle w:val="TextBody"/>
        <w:bidi w:val="0"/>
        <w:spacing w:before="120" w:after="120"/>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642" w:type="dxa"/>
        <w:jc w:val="left"/>
        <w:tblInd w:w="0" w:type="dxa"/>
        <w:tblLayout w:type="fixed"/>
        <w:tblCellMar>
          <w:top w:w="28" w:type="dxa"/>
          <w:left w:w="28" w:type="dxa"/>
          <w:bottom w:w="28" w:type="dxa"/>
          <w:right w:w="28" w:type="dxa"/>
        </w:tblCellMar>
      </w:tblPr>
      <w:tblGrid>
        <w:gridCol w:w="161"/>
        <w:gridCol w:w="109"/>
        <w:gridCol w:w="146"/>
        <w:gridCol w:w="62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following tables present the Company’s fair value hierarchy for its assets and liabilities that are measured at fair value on a recurring basis (in thousands):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22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at </w:t>
              <w:b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22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money market funds were valued by the Company based on quoted market prices, which represent a Level 1 measurement within the fair value hierarchy.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There were no changes to the valuation methods during the three months ended March 31, 2024 or 2023.</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Company evaluates transfers between levels at the end of each reporting period. There were no transfers into or out of Level 1, Level 2 or Level 3 fair value measurements during the three months ended March 31, 2024 or 2023. </w:t>
      </w:r>
    </w:p>
    <w:p>
      <w:pPr>
        <w:pStyle w:val="TextBody"/>
        <w:bidi w:val="0"/>
        <w:jc w:val="both"/>
        <w:rPr>
          <w:rFonts w:ascii="Times New Roman" w:hAnsi="Times New Roman"/>
          <w:sz w:val="20"/>
        </w:rPr>
      </w:pPr>
      <w:r>
        <w:rPr>
          <w:rFonts w:ascii="Times New Roman" w:hAnsi="Times New Roman"/>
          <w:b/>
          <w:color w:val="000000"/>
          <w:sz w:val="20"/>
        </w:rPr>
        <w:t>4. Prepaid Expenses and Other Current Assets</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7937" w:type="dxa"/>
        <w:jc w:val="left"/>
        <w:tblInd w:w="0" w:type="dxa"/>
        <w:tblLayout w:type="fixed"/>
        <w:tblCellMar>
          <w:top w:w="28" w:type="dxa"/>
          <w:left w:w="28" w:type="dxa"/>
          <w:bottom w:w="28" w:type="dxa"/>
          <w:right w:w="28" w:type="dxa"/>
        </w:tblCellMar>
      </w:tblPr>
      <w:tblGrid>
        <w:gridCol w:w="5326"/>
        <w:gridCol w:w="146"/>
        <w:gridCol w:w="211"/>
        <w:gridCol w:w="676"/>
        <w:gridCol w:w="146"/>
        <w:gridCol w:w="146"/>
        <w:gridCol w:w="260"/>
        <w:gridCol w:w="835"/>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research, development and manufacturing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w:t>
            </w:r>
          </w:p>
        </w:tc>
        <w:tc>
          <w:tcPr>
            <w:tcW w:w="191"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91"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compensation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91"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5. Accrued Expenses</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Accrued expenses consisted of the following (in thousands): </w:t>
      </w:r>
    </w:p>
    <w:tbl>
      <w:tblPr>
        <w:tblW w:w="7997" w:type="dxa"/>
        <w:jc w:val="left"/>
        <w:tblInd w:w="0" w:type="dxa"/>
        <w:tblLayout w:type="fixed"/>
        <w:tblCellMar>
          <w:top w:w="28" w:type="dxa"/>
          <w:left w:w="28" w:type="dxa"/>
          <w:bottom w:w="28" w:type="dxa"/>
          <w:right w:w="28" w:type="dxa"/>
        </w:tblCellMar>
      </w:tblPr>
      <w:tblGrid>
        <w:gridCol w:w="5386"/>
        <w:gridCol w:w="146"/>
        <w:gridCol w:w="211"/>
        <w:gridCol w:w="676"/>
        <w:gridCol w:w="146"/>
        <w:gridCol w:w="146"/>
        <w:gridCol w:w="260"/>
        <w:gridCol w:w="835"/>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development and manufacturing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28,151</w:t>
            </w:r>
          </w:p>
        </w:tc>
        <w:tc>
          <w:tcPr>
            <w:tcW w:w="19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consultant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91" w:type="dxa"/>
            <w:tcBorders/>
            <w:shd w:fill="FFFFFF" w:val="cle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w:t>
            </w:r>
          </w:p>
        </w:tc>
        <w:tc>
          <w:tcPr>
            <w:tcW w:w="19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6. License and Collaboration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Adimab Assignment Agreement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Amounts paid with respect to services performed by Adimab on the Company’s behalf under the Adimab Assignment Agreement are recognized as research and development expense as such amounts are incurred. During both the three months ended March 31, 2024 and 2023, the Company did not recognize any research and development expense with respect to services performed by Adimab on the Company’s behalf under the Adimab Assignment Agreement. Please refer to Note 14 for additional information.</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March 31, 2024; however, milestone payments do not accrue for certain </w:t>
      </w:r>
      <w:r>
        <w:rPr>
          <w:rFonts w:ascii="Times New Roman" w:hAnsi="Times New Roman"/>
          <w:i/>
          <w:color w:val="000000"/>
          <w:sz w:val="20"/>
        </w:rPr>
        <w:t xml:space="preserve">in vitro </w:t>
      </w:r>
      <w:r>
        <w:rPr>
          <w:rFonts w:ascii="Times New Roman" w:hAnsi="Times New Roman"/>
          <w:color w:val="000000"/>
          <w:sz w:val="20"/>
        </w:rPr>
        <w:t xml:space="preserve">diagnostic devices consisting of or containing CoV Antibodies.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March 2023, the Company achieved the first specified milestone for the second product candidate under the Adimab Assignment Agreement upon dosing of the first subject in a Phase 1 clinical trial evaluating VYD222,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VYD222,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March 31,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the three months ended March 31, 2024, the Company did not recognize any in-process research and development (“IPR&amp;D”) expense with respect to contingent consideration payable under the Adimab Assignment Agreement. During the three months ended March 31, 2023, the Company recognized $0.4 million of IPR&amp;D expense with respect to contingent consideration payable under the Adimab Assignment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In addition, the Company is obligated to pay Adimab royalties of a specified percentage in the range of 45% to 55% of any compulsory sublicense consideration received by the Company in lieu of certain royalty payments. Except for milestone payments of $11.1 million incurred through December 31, 2023, no other milestone, royalty or other contingent payments had become due to Adimab through March 31,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Adimab Collaboration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the three months ended March 31, 2024 and 2023, the Company recognized $0.6 million and $1.3 million, respectively, of research and development expense related to the quarterly fee.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months ended March 31, 2024, the Company did not recognize any research and development expense with respect to services performed by Adimab on the Company’s behalf under the Adimab Collaboration Agreement. During the three months ended March 31, 2023, the Company recognized $0.2 million of research and development expense with respect to services performed by Adimab on the Company’s behalf under the Adimab Collaboration Agreement. During both the three months ended March 31, 2024 and 2023, the Company did not recognize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IPR&amp;D expense related to drug delivery fees, optimization completion fees or option exercise fees. Please refer to Note 14 for additional information.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March 31, 2024.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March 31, 2024, the Company had not paid any royalties to Adimab under the Adimab Collaboration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14 for additional information.</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Adimab Platform Transfer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the three months ended March 31, 2024, the Company recognized a portion of the first annual fee as research and development expense. Beginning in July 2027 and ending in June 2042, unless terminated earlier, the Company has the option to receive additional material improvements to the platform technology from Adimab, subject to a commercially reasonable fee to be negotiated by the parties.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March 31, 2024.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such product in such country. Through March 31, 2024, the Company had not paid any royalties to Adimab under the Adimab Platform Transfer Agreement.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14 for additional information.</w:t>
      </w:r>
    </w:p>
    <w:p>
      <w:pPr>
        <w:pStyle w:val="TextBody"/>
        <w:bidi w:val="0"/>
        <w:spacing w:before="120" w:after="120"/>
        <w:jc w:val="both"/>
        <w:rPr>
          <w:rFonts w:ascii="Times New Roman" w:hAnsi="Times New Roman"/>
          <w:sz w:val="20"/>
        </w:rPr>
      </w:pPr>
      <w:r>
        <w:rPr>
          <w:rFonts w:ascii="Times New Roman" w:hAnsi="Times New Roman"/>
          <w:b/>
          <w:i/>
          <w:color w:val="000000"/>
          <w:sz w:val="20"/>
        </w:rPr>
        <w:t>WuXi Biologics Cell Line License Agreement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December 2020, the Company recognized an upfront fee of $0.2 million upon completion of cell bank generation for the first Licensed Cell Line created under the Cell Line License Agreement.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March 31, 2024, no royalties had become due to WuXi Biologics.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months ended March 31, 2024. The Company recognized $0.4 million of IPR&amp;D expense under the Cell Line License Agreement during the three months ended March 31, 2023. </w:t>
      </w:r>
    </w:p>
    <w:p>
      <w:pPr>
        <w:pStyle w:val="TextBody"/>
        <w:bidi w:val="0"/>
        <w:spacing w:before="120" w:after="120"/>
        <w:jc w:val="both"/>
        <w:rPr/>
      </w:pPr>
      <w:r>
        <w:rPr/>
        <w:t>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7. Population Health Partners, L.P.</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renews for subsequent periods, until terminated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contains customary confidentiality provisions and representations and warranties of the parties, as well as mutual non-solicitation of certain employees during the term of the PHP MSA and for a period of one year thereafter.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compensation for the services and deliverables under the PHP Work Order, the Company paid PHP a cash fee of $0.5 million per month during the term of the PHP Work Order for an aggregate fee of $3.0 million (the “Aggregate Fee”).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March 31, 2024, the Company did not recognize any research and development expense related to the cash compensation paid to PHP. During the three months ended March 31, 2023, the Company recognized $1.5 million of research and development expense related to the cash compensation paid to PHP. Please refer to Note 14 for additional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(as defined in the PHP Warrant) of a share of the Company’s common stock on the trading day immediately prior to the PHP Effective Date. The PHP Warrant is exercisable for up to an aggregate of 6,824,712 shares of the Company’s common stock, and vests in three separate tranches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3,591,954 shares of the Company’s common stock underlying the PHP Warrant vests if the Company’s Market Capitalization (as defined below) equals or exceeds $758,517,511 by November 15, 2028;</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1,795,977 shares of the Company’s common stock underlying the PHP Warrant vests if the Company’s Market Capitalization equals or exceeds $1,137,776,266 by November 15, 2029;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1,436,781 shares of the Company’s common stock underlying the PHP Warrant vests if the Company’s Market Capitalization equals or exceeds $1,517,035,022 by November 15, 2030.</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Refer to Note 10 for additional information on the PHP Warrant.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Clive Meanwell, M.D. and Tamsin Berry, members of the Company’s board of directors, are Managing Partner and Limited Partner of PHP, respectively.</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Operating Lease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The components of operating lease expense were as follows (in thousands):</w:t>
      </w:r>
    </w:p>
    <w:tbl>
      <w:tblPr>
        <w:tblW w:w="10085" w:type="dxa"/>
        <w:jc w:val="left"/>
        <w:tblInd w:w="0" w:type="dxa"/>
        <w:tblLayout w:type="fixed"/>
        <w:tblCellMar>
          <w:top w:w="28" w:type="dxa"/>
          <w:left w:w="28" w:type="dxa"/>
          <w:bottom w:w="28" w:type="dxa"/>
          <w:right w:w="28" w:type="dxa"/>
        </w:tblCellMar>
      </w:tblPr>
      <w:tblGrid>
        <w:gridCol w:w="5866"/>
        <w:gridCol w:w="146"/>
        <w:gridCol w:w="564"/>
        <w:gridCol w:w="1131"/>
        <w:gridCol w:w="146"/>
        <w:gridCol w:w="146"/>
        <w:gridCol w:w="564"/>
        <w:gridCol w:w="113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16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related to operating leases</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80"/>
        <w:jc w:val="both"/>
        <w:rPr>
          <w:rFonts w:ascii="Times New Roman" w:hAnsi="Times New Roman"/>
          <w:color w:val="000000"/>
          <w:sz w:val="20"/>
        </w:rPr>
      </w:pPr>
      <w:r>
        <w:rPr>
          <w:rFonts w:ascii="Times New Roman" w:hAnsi="Times New Roman"/>
          <w:color w:val="000000"/>
          <w:sz w:val="20"/>
        </w:rPr>
        <w:t>Future minimum lease payments under the noncancelable leases as of March 31, 2024 was as follows (in thousands):</w:t>
      </w:r>
    </w:p>
    <w:tbl>
      <w:tblPr>
        <w:tblW w:w="6463" w:type="dxa"/>
        <w:jc w:val="left"/>
        <w:tblInd w:w="0" w:type="dxa"/>
        <w:tblLayout w:type="fixed"/>
        <w:tblCellMar>
          <w:top w:w="28" w:type="dxa"/>
          <w:left w:w="28" w:type="dxa"/>
          <w:bottom w:w="28" w:type="dxa"/>
          <w:right w:w="28" w:type="dxa"/>
        </w:tblCellMar>
      </w:tblPr>
      <w:tblGrid>
        <w:gridCol w:w="4801"/>
        <w:gridCol w:w="146"/>
        <w:gridCol w:w="350"/>
        <w:gridCol w:w="955"/>
        <w:gridCol w:w="2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Ending December 31,</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(excluding the three months ended March 31, 2024)</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21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11" w:type="dxa"/>
            <w:tcBorders/>
            <w:shd w:fill="FFFFFF" w:val="cle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211" w:type="dxa"/>
            <w:tcBorders/>
            <w:shd w:fill="FFFFFF" w:val="cle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liability</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As of March 31, 2024, the Company’s operating leases were measured using a weighted-average incremental borrowing rate of 6.0% over a weighted-average remaining lease term of 1.7 years.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As of March 31, 2023, the Company’s operating leases were measured using a weighted-average incremental borrowing rate of 6.0% over a weighted-average remaining lease term of 2.3 years.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total operating liabilities are presented on the Company’s condensed consolidated balance sheet based on maturity dates. $1.1 million is classified under “operating lease liabilities, current” for the portion due within twelve months, and $0.6 million is classified under “operating lease liabilities, non-current”.</w:t>
      </w:r>
    </w:p>
    <w:p>
      <w:pPr>
        <w:pStyle w:val="TextBody"/>
        <w:bidi w:val="0"/>
        <w:spacing w:before="120" w:after="120"/>
        <w:jc w:val="both"/>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entered into license agreements with Adimab and WuXi Biologics (see Note 6).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Other Agreements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November 2022, the Company entered into the PHP MSA (see Note 7).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paid PHP a cash fee of $0.5 million per month during the term of the PHP Work Order for an Aggregate Fee of $3.0 million.</w:t>
      </w:r>
    </w:p>
    <w:p>
      <w:pPr>
        <w:pStyle w:val="TextBody"/>
        <w:bidi w:val="0"/>
        <w:spacing w:before="120" w:after="120"/>
        <w:jc w:val="both"/>
        <w:rPr>
          <w:rFonts w:ascii="Times New Roman" w:hAnsi="Times New Roman"/>
          <w:sz w:val="20"/>
        </w:rPr>
      </w:pPr>
      <w:r>
        <w:rPr>
          <w:rFonts w:ascii="Times New Roman" w:hAnsi="Times New Roman"/>
          <w:b/>
          <w:i/>
          <w:color w:val="000000"/>
          <w:sz w:val="20"/>
        </w:rPr>
        <w:t>Manufacturing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Through March 31, 2024, the Company committed to noncancelable purchase obligations related to commercial drug substance and drug product manufacturing under the Commercial Manufacturing Agreement. As of March 31, 2024, the total remaining contractually binding commercial drug substance and drug product purchase obligations due to WuXi Biologics was $69.3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which is expected to be paid in 2024 and 2025. As of March 31, 2024, $18.4 million related to the contractually binding commercial drug substance and drug product batches was included in accounts payable and accrued expenses, which is expected to be paid in 2024.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Through March 31, 2024, the Company committed to noncancelable purchase obligations of $24.7 million related to the procurement of materials to be used in future drug substance and drug product manufacturing under the Commercial Manufacturing Agreement, which is expected to be paid in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pStyle w:val="TextBody"/>
        <w:bidi w:val="0"/>
        <w:spacing w:before="120" w:after="120"/>
        <w:jc w:val="both"/>
        <w:rPr>
          <w:rFonts w:ascii="Times New Roman" w:hAnsi="Times New Roman"/>
          <w:sz w:val="20"/>
        </w:rPr>
      </w:pPr>
      <w:r>
        <w:rPr>
          <w:rFonts w:ascii="Times New Roman" w:hAnsi="Times New Roman"/>
          <w:b/>
          <w:i/>
          <w:color w:val="000000"/>
          <w:sz w:val="20"/>
        </w:rPr>
        <w:t>Other Contracts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March 31, 2024 and December 31, 2023. </w:t>
      </w:r>
    </w:p>
    <w:p>
      <w:pPr>
        <w:pStyle w:val="TextBody"/>
        <w:bidi w:val="0"/>
        <w:spacing w:before="120" w:after="120"/>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makes allegations similar to those in the prior complaints and asserts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 The court has scheduled a hearing on the defendants’ motion to dismiss on May 10,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pStyle w:val="TextBody"/>
        <w:bidi w:val="0"/>
        <w:spacing w:before="120" w:after="120"/>
        <w:jc w:val="both"/>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its vendors, lessors, contract research organizations,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20"/>
        <w:jc w:val="both"/>
        <w:rPr>
          <w:rFonts w:ascii="Times New Roman" w:hAnsi="Times New Roman"/>
          <w:b/>
          <w:color w:val="000000"/>
          <w:sz w:val="20"/>
        </w:rPr>
      </w:pPr>
      <w:r>
        <w:rPr>
          <w:rFonts w:ascii="Times New Roman" w:hAnsi="Times New Roman"/>
          <w:b/>
          <w:color w:val="000000"/>
          <w:sz w:val="20"/>
        </w:rPr>
        <w:t>9. Common Stock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Shares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2024, the Company had reserved 46,292,290 shares of common stock for the exercise of outstanding stock options and the issuance of awards available for grant under the Company’s 2020 Equity Incentive Plan, 2021 Equity Incentive Plan and 2021 Employee Stock Purchase Plan (see Note 10).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Shelf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the Company filed a shelf registration statement on Form S-3 with the SEC (File No. 333-267643) and an accompanying base prospectus, which was declared effective by the SEC on October 5, 2022, for the offer and sale of up to $400 million of the Company’s securities. As of March 31, 2024, $325 million of the Company’s securities remained available for offer and sale under this shelf registration statement.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120"/>
        <w:jc w:val="both"/>
        <w:rPr>
          <w:rFonts w:ascii="Times New Roman" w:hAnsi="Times New Roman"/>
          <w:sz w:val="20"/>
        </w:rPr>
      </w:pPr>
      <w:r>
        <w:rPr>
          <w:rFonts w:ascii="Times New Roman" w:hAnsi="Times New Roman"/>
          <w:color w:val="000000"/>
          <w:sz w:val="20"/>
        </w:rPr>
        <w:t>In December 2023, the Company entered into a Controlled Equity Offering</w:t>
      </w:r>
      <w:r>
        <w:rPr>
          <w:rFonts w:ascii="Times New Roman" w:hAnsi="Times New Roman"/>
          <w:color w:val="000000"/>
          <w:sz w:val="13"/>
        </w:rPr>
        <w:t xml:space="preserve">SM </w:t>
      </w:r>
      <w:r>
        <w:rPr>
          <w:rFonts w:ascii="Times New Roman" w:hAnsi="Times New Roman"/>
          <w:color w:val="000000"/>
          <w:sz w:val="20"/>
        </w:rPr>
        <w:t xml:space="preserve">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February 2024, the Company sold 9,000,000 shares of its common stock under the Sales Agreement at an average price of $4.50 per share for $39.3 million in net proceeds. As of March 31, 2024, $34.5 million remained available for sale under the Sales Agreement.</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March 2023, the Company repurchased, and subsequently retired, 206,802 shares of unvested restricted common stock at the original purchase price upon a termination of service of an employee during the vesting period. The fair value of the repurchased common stock was insignificant. Upon retirement, the shares were redesignated as authorized but unissued shares of the Company’s common stock.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October 2023, the Company repurchased 31,765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December 2023, the Company retired the 31,765 shares of treasury stock. Upon retirement, the shares were redesignated as authorized but unissued shares of the Company’s common stock.</w:t>
      </w:r>
    </w:p>
    <w:p>
      <w:pPr>
        <w:pStyle w:val="TextBody"/>
        <w:bidi w:val="0"/>
        <w:spacing w:before="120" w:after="120"/>
        <w:jc w:val="both"/>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2020 Equity Incentive Plan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March 31, 2024, there were 4,298,068 shares authorized to be issued upon the exercise of outstanding stock option grants and no shares reserved for future issuance under the 2020 Plan.</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The number of shares to be issued under the 2021 Plan did not increase on January 1, 2023 as determined by the Company’s board of directors. On January 1, 2024, 3,304,820 shares of common stock were added to the shares authorized for issuance under the 2021 Plan, pursuant to the evergreen provision thereof,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March 31, 2024, there were an aggregate of 45,301,059 shares authorized to be issued under the 2020 Plan and the 2021 Plan, which included 4,298,068 and 22,065,965 shares authorized to be issued upon the exercise of outstanding stock option grants from the 2020 Plan and 2021 Plan, respectively, and 0 and 18,937,026 shares reserved for future issuance under the 2020 Plan and 2021 Plan, respectively.</w:t>
      </w:r>
    </w:p>
    <w:p>
      <w:pPr>
        <w:pStyle w:val="TextBody"/>
        <w:bidi w:val="0"/>
        <w:spacing w:before="120" w:after="120"/>
        <w:jc w:val="both"/>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The following table presents, on a weighted-average basis, the assumptions used in the Black-Scholes option-pricing model to determine the grant date fair value of stock options granted:</w:t>
      </w:r>
    </w:p>
    <w:tbl>
      <w:tblPr>
        <w:tblW w:w="7810" w:type="dxa"/>
        <w:jc w:val="left"/>
        <w:tblInd w:w="0" w:type="dxa"/>
        <w:tblLayout w:type="fixed"/>
        <w:tblCellMar>
          <w:top w:w="28" w:type="dxa"/>
          <w:left w:w="28" w:type="dxa"/>
          <w:bottom w:w="28" w:type="dxa"/>
          <w:right w:w="28" w:type="dxa"/>
        </w:tblCellMar>
      </w:tblPr>
      <w:tblGrid>
        <w:gridCol w:w="2131"/>
        <w:gridCol w:w="146"/>
        <w:gridCol w:w="572"/>
        <w:gridCol w:w="1828"/>
        <w:gridCol w:w="271"/>
        <w:gridCol w:w="146"/>
        <w:gridCol w:w="572"/>
        <w:gridCol w:w="182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following table summarizes the Company’s stock option activity since December 31, 2023: </w:t>
      </w:r>
    </w:p>
    <w:tbl>
      <w:tblPr>
        <w:tblW w:w="9503" w:type="dxa"/>
        <w:jc w:val="left"/>
        <w:tblInd w:w="0" w:type="dxa"/>
        <w:tblLayout w:type="fixed"/>
        <w:tblCellMar>
          <w:top w:w="28" w:type="dxa"/>
          <w:left w:w="28" w:type="dxa"/>
          <w:bottom w:w="28" w:type="dxa"/>
          <w:right w:w="28" w:type="dxa"/>
        </w:tblCellMar>
      </w:tblPr>
      <w:tblGrid>
        <w:gridCol w:w="3916"/>
        <w:gridCol w:w="146"/>
        <w:gridCol w:w="146"/>
        <w:gridCol w:w="1036"/>
        <w:gridCol w:w="166"/>
        <w:gridCol w:w="146"/>
        <w:gridCol w:w="266"/>
        <w:gridCol w:w="590"/>
        <w:gridCol w:w="146"/>
        <w:gridCol w:w="146"/>
        <w:gridCol w:w="285"/>
        <w:gridCol w:w="706"/>
        <w:gridCol w:w="146"/>
        <w:gridCol w:w="146"/>
        <w:gridCol w:w="267"/>
        <w:gridCol w:w="858"/>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23,065,514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33,249</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33,249</w:t>
            </w:r>
          </w:p>
        </w:tc>
        <w:tc>
          <w:tcPr>
            <w:tcW w:w="3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9,143,369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weighted-average grant date fair value of stock options granted during the three months ended March 31, 2024 and 2023 was $2.53 and $1.34, respectively, per share.</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market value of the common stock for the options that had exercise prices lower than the estimated fair value of the Company’s common stock at March 31, 2024 and 2023.</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total intrinsic value of stock options exercised was $0 and $0.3 million for the three months ended March 31, 2024 and 2023, respectively.</w:t>
      </w:r>
    </w:p>
    <w:p>
      <w:pPr>
        <w:pStyle w:val="TextBody"/>
        <w:bidi w:val="0"/>
        <w:spacing w:before="120" w:after="120"/>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Company recorded stock-based compensation expense (service-based stock options and employee stock purchase plan) in the following expense categories of its condensed consolidated statements of operations and comprehensive loss (in thousands): </w:t>
      </w:r>
    </w:p>
    <w:tbl>
      <w:tblPr>
        <w:tblW w:w="8385" w:type="dxa"/>
        <w:jc w:val="left"/>
        <w:tblInd w:w="0" w:type="dxa"/>
        <w:tblLayout w:type="fixed"/>
        <w:tblCellMar>
          <w:top w:w="28" w:type="dxa"/>
          <w:left w:w="28" w:type="dxa"/>
          <w:bottom w:w="28" w:type="dxa"/>
          <w:right w:w="28" w:type="dxa"/>
        </w:tblCellMar>
      </w:tblPr>
      <w:tblGrid>
        <w:gridCol w:w="2956"/>
        <w:gridCol w:w="146"/>
        <w:gridCol w:w="647"/>
        <w:gridCol w:w="1753"/>
        <w:gridCol w:w="146"/>
        <w:gridCol w:w="146"/>
        <w:gridCol w:w="647"/>
        <w:gridCol w:w="1753"/>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As of March 31, 2024, total unrecognized stock-based compensation expense related to unvested stock-based awards was $40.2 million, which is expected to be recognized over a weighted-average period of 2.4 years.</w:t>
      </w:r>
    </w:p>
    <w:p>
      <w:pPr>
        <w:pStyle w:val="TextBody"/>
        <w:bidi w:val="0"/>
        <w:spacing w:before="120" w:after="120"/>
        <w:jc w:val="both"/>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351,542 shares issued under the 2021 ESPP as of March 31, 2024.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2024 or January 1, 2023, pursuant to the evergreen provision thereof, as determined by the Company’s board of directors. The first offering under the 2021 ESPP was June 6, 2022. As of March 31, 2024, 991,231 shares remained available for issuance under the 2021 ESPP. During both the three months ended March 31, 2024 and 2023, the Company recognized less than $0.1 million in related stock-based compensation expense.</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Warrant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grant date fair value of the PHP Warrant was $17.4 million, which was recognized as warrant expense on the grant date in November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warrants issued during the three months ended March 31, 2024. As of March 31, 2024, there were 6,824,712 warrants outstanding at a weighted-average exercise price of $3.48, with a weighted-average remaining contractual term of 8.63 years.</w:t>
      </w:r>
    </w:p>
    <w:p>
      <w:pPr>
        <w:pStyle w:val="TextBody"/>
        <w:bidi w:val="0"/>
        <w:spacing w:before="120" w:after="120"/>
        <w:jc w:val="both"/>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the three months ended March 31, 2024 and 2023,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pStyle w:val="TextBody"/>
        <w:bidi w:val="0"/>
        <w:spacing w:before="120" w:after="120"/>
        <w:jc w:val="both"/>
        <w:rPr>
          <w:rFonts w:ascii="Times New Roman" w:hAnsi="Times New Roman"/>
          <w:sz w:val="20"/>
        </w:rPr>
      </w:pPr>
      <w:r>
        <w:rPr>
          <w:rFonts w:ascii="Times New Roman" w:hAnsi="Times New Roman"/>
          <w:b/>
          <w:color w:val="000000"/>
          <w:sz w:val="20"/>
        </w:rPr>
        <w:t>12. Defined Contribution Plan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both the three months ended March 31, 2024 and 2023, the Company contributed $0.2 million to the 401(k) Plan.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13. Net Loss per Share</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915"/>
        <w:gridCol w:w="346"/>
        <w:gridCol w:w="330"/>
        <w:gridCol w:w="1789"/>
        <w:gridCol w:w="166"/>
        <w:gridCol w:w="146"/>
        <w:gridCol w:w="330"/>
        <w:gridCol w:w="1789"/>
        <w:gridCol w:w="394"/>
      </w:tblGrid>
      <w:tr>
        <w:trPr/>
        <w:tc>
          <w:tcPr>
            <w:tcW w:w="49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11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4" w:type="dxa"/>
            <w:tcBorders/>
            <w:shd w:fill="FFFFFF" w:val="clear"/>
            <w:vAlign w:val="center"/>
          </w:tcPr>
          <w:p>
            <w:pPr>
              <w:pStyle w:val="TableContents"/>
              <w:bidi w:val="0"/>
              <w:spacing w:before="0" w:after="283"/>
              <w:jc w:val="center"/>
              <w:rPr/>
            </w:pPr>
            <w:r>
              <w:rPr/>
              <w:t> </w:t>
            </w:r>
          </w:p>
        </w:tc>
      </w:tr>
      <w:tr>
        <w:trPr/>
        <w:tc>
          <w:tcPr>
            <w:tcW w:w="49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vAlign w:val="center"/>
          </w:tcPr>
          <w:p>
            <w:pPr>
              <w:pStyle w:val="TableContents"/>
              <w:bidi w:val="0"/>
              <w:spacing w:before="0" w:after="283"/>
              <w:jc w:val="left"/>
              <w:rPr/>
            </w:pPr>
            <w:r>
              <w:rPr/>
              <w:t> </w:t>
            </w:r>
          </w:p>
        </w:tc>
        <w:tc>
          <w:tcPr>
            <w:tcW w:w="2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9"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9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vAlign w:val="center"/>
          </w:tcPr>
          <w:p>
            <w:pPr>
              <w:pStyle w:val="TableContents"/>
              <w:bidi w:val="0"/>
              <w:spacing w:before="0" w:after="283"/>
              <w:jc w:val="left"/>
              <w:rPr/>
            </w:pPr>
            <w:r>
              <w:rPr/>
              <w:t> </w:t>
            </w:r>
          </w:p>
        </w:tc>
        <w:tc>
          <w:tcPr>
            <w:tcW w:w="2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9"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9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115,618,209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108,785,519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3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Shares of unvested restricted common stock are not considered outstanding for accounting purposes until vested and were excluded from the calculations of basic net loss per share attributable to common stockholders for the three months ended March 31, 2023. There were no shares of unvested restricted common stock for the three months ended March 31, 2024.</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 </w:t>
      </w:r>
    </w:p>
    <w:tbl>
      <w:tblPr>
        <w:tblW w:w="7470" w:type="dxa"/>
        <w:jc w:val="left"/>
        <w:tblInd w:w="0" w:type="dxa"/>
        <w:tblLayout w:type="fixed"/>
        <w:tblCellMar>
          <w:top w:w="28" w:type="dxa"/>
          <w:left w:w="28" w:type="dxa"/>
          <w:bottom w:w="28" w:type="dxa"/>
          <w:right w:w="28" w:type="dxa"/>
        </w:tblCellMar>
      </w:tblPr>
      <w:tblGrid>
        <w:gridCol w:w="3451"/>
        <w:gridCol w:w="146"/>
        <w:gridCol w:w="209"/>
        <w:gridCol w:w="1486"/>
        <w:gridCol w:w="146"/>
        <w:gridCol w:w="146"/>
        <w:gridCol w:w="209"/>
        <w:gridCol w:w="148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23,883,782</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93,476</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6,824,712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33,188,745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30,801,970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14.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both March 31, 2024 and December 31, 2023, an aggregate of $0.7 million was due to Adimab under the Adimab Assignment Agreement, the Adimab Collaboration Agreement, the Adimab Platform Transfer Agreement and the Adimab DNA Sequencing Services Agreement (as defined below) by the Company. As of March 31, 2024 and December 31, 2023, no amounts were due to the Company from Adimab under the Adimab Assignment Agreement, the Adimab Collaboration Agreement, the Adimab Platform Transfer Agreement or the Adimab DNA Sequencing Services Agreement.</w:t>
      </w:r>
    </w:p>
    <w:p>
      <w:pPr>
        <w:pStyle w:val="TextBody"/>
        <w:bidi w:val="0"/>
        <w:spacing w:before="120" w:after="283"/>
        <w:jc w:val="both"/>
        <w:rPr>
          <w:rFonts w:ascii="Times New Roman" w:hAnsi="Times New Roman"/>
          <w:sz w:val="20"/>
        </w:rPr>
      </w:pPr>
      <w:r>
        <w:rPr>
          <w:rFonts w:ascii="Times New Roman" w:hAnsi="Times New Roman"/>
          <w:b/>
          <w:i/>
          <w:color w:val="000000"/>
          <w:sz w:val="20"/>
        </w:rPr>
        <w:t>Adimab Assignment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Adimab Assignment Agreement, Adimab, a principal stockholder of the Company, is entitled to receive milestone and royalty payments upon specified conditions and receives payments from the Company for providing ongoing services under the agreement (see Note 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March 31, 2024, the Company did not recognize any IPR&amp;D expense with respect to milestones payable under the Adimab Assignment Agreement. During the three months ended March 31, 2023, the Company recognized $0.4 million as IPR&amp;D expense with respect to a milestone payable under the Adimab Assignment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both the three months ended March 31, 2024 and 2023, the Company did not recognize any research and development expense with respect to services performed by Adimab on the Company’s behalf under the Adimab Assignment Agreement.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Adimab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Adimab Collaboration Agreement, the Company is obligated to pay Adimab for certain fees, milestones and royalty payments (see Note 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and 2023, the Company recognized $0.6 million and $1.3 million, respectively, of research and development expense related to the quarterly fee under the Adimab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2024, the Company did not recognize any research and development expense with respect to services performed by Adimab on the Company’s behalf under the Adimab Collaboration Agreement. During the three months ended March 31, 2023, the Company recognized $0.2 million of research and development expense with respect to services performed by Adimab on the Company’s behalf under the Adimab Collaboration Agreement. </w:t>
      </w:r>
    </w:p>
    <w:p>
      <w:pPr>
        <w:pStyle w:val="TextBody"/>
        <w:bidi w:val="0"/>
        <w:spacing w:before="120" w:after="283"/>
        <w:jc w:val="left"/>
        <w:rPr>
          <w:rFonts w:ascii="Times New Roman" w:hAnsi="Times New Roman"/>
          <w:sz w:val="20"/>
        </w:rPr>
      </w:pPr>
      <w:r>
        <w:rPr>
          <w:rFonts w:ascii="Times New Roman" w:hAnsi="Times New Roman"/>
          <w:b/>
          <w:i/>
          <w:color w:val="000000"/>
          <w:sz w:val="20"/>
        </w:rPr>
        <w:t>Adimab Platform Transfer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Adimab Platform Transfer Agreement, the Company is obligated to pay Adimab for certain fees, milestones and royalty payments (see Note 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the Company recognized a portion of the first annual fee as research and development expense. During the three months ended March 31, 2023, the Company did not recognize any research and development expense in connection with the Adimab Platform Transfer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Adimab DNA Sequencing Services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the Company recognized less than $0.1 million of research and development expense with respect to services performed by Adimab on the Company’s behalf under the Adimab DNA Sequencing Services Agreement. The Adimab DNA Sequencing Services Agreement was not effective during the three months ended March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Population Health Partners, 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PHP MSA and PHP Work Order, the Company was obligated to pay cash compensation for services and deliverables (see Note 7). Clive Meanwell, M.D. and Tamsin Berry, members of the Company’s board of directors, are Managing Partner and Limited Partner of PHP,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2023, the Company recognized $1.5 million of research and development expense related to services performed by PHP in connection with the PHP Work Order, which terminated in accordance with its terms in May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2024, no amounts were due to PHP by the Company, and no amounts were due from PHP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13" w:name="i_item2"/>
      <w:bookmarkEnd w:id="13"/>
      <w:r>
        <w:rPr>
          <w:rFonts w:ascii="Times New Roman" w:hAnsi="Times New Roman"/>
          <w:b/>
          <w:color w:val="000000"/>
          <w:sz w:val="20"/>
        </w:rPr>
        <w:t>Item 2. Management’s Discussion and Analysis of Financial Condition and Results of Operations.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2023, filed with the Securities and Exchange Commission (“SEC”) on March 28, 2024 (the “2023 Form 10-K”). Unless the context requires otherwise, references in this Quarterly Report on Form 10-Q to “we,” “us,” and “our” refer to Invivyd, Inc. together with its consolidated subsidiaries.</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Cautionary Note Regarding Forward-Looking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plans related to the commercialization of PEMGARDA (pemivibart), which received emergency use authorization (“EUA”) from the U.S. Food and Drug Administration (“FDA”) in March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 that PEMGARDA will be our first monoclonal antibody (“mAb”) in a planned series of innovative mAb candidates designed to keep pace with SARS-CoV-2 viral evolution, and our plans to leverage our INVYMAB platform approach to periodically introduce new or engineered mAb candidates as the SARS-CoV-2 virus evolves over time, including our expectation that VYD2311, a mAb optimized for neutralization potency against recent SARS-CoV-2 lineages such as BA.2.86 and JN.1, will be the next pipeline program to advance into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commitment to delivering protection from serious viral infectious diseases, beginning with SARS-CoV-2, and our aim to develop a continuous repertoire of SARS-CoV-2 neutralizing mAbs to keep pace with viral evolution;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regarding submission of any applications for regulatory authorization or approval of our product candidates, including our intention to submit an EUA application to the FDA for pemivibart for the treatment of mild to moderate symptomatic COVID-19 in certain immunocompromised people utilizing a rapid immunobridging pathway, and our expectations regarding potential scope and timing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ability to obtain and maintain regulatory authorizations or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size of the patient populations, market acceptance and opportunity for and clinical utility of our product candidates, if authorized or approved for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capabilities and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our product candidates, if authorized or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leverage technology and our INVYMAB platform approach to identify and develop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 to apply our INVYMAB platform approach to produce lead molecules for other viral diseases, such as influenza;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our expenses, ongoing losses, future potential revenue, capital requirements and our need for or 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ability to continue as a going concern;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competitive position and the development of and projections relating to our competitors or our industry.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foregoing list of forward-looking statements is not exhaustive. You should refer to the “Risk Factors” section of the 2023 Form 10-K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spacing w:before="120" w:after="120"/>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Invivyd, Inc. is a biopharmaceutical company devoted to delivering protection from serious viral infectious diseases, beginning with SARS-CoV-2. Our proprietary INVYMAB platform approach combines state-of-the-art viral surveillance and predictive modeling with advanced antibody engineering. INVYMAB is designed to facilitate the rapid, serial generation of new monoclonal antibodies (“mAbs”) to address evolving viral threats.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March 22, 2024, we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May 2024, we announced our intention to submit an EUA application to the FDA for pemivibart for the treatment of mild to moderate symptomatic COVID-19 in certain immunocompromised people utilizing a rapid immunobridging pathway, which was aligned in principle with the FDA and would leverage a similar approach as we used to achieve our current EUA for PEMGARDA for pre-exposure prophylaxis of COVID-19 in certain immunocompromised people. The immunobridging pathway for COVID-19 treatment is enabled by data from our previous Phase 2/3 clinical trial (STAMP) of adintrevimab, the prototype mAb, for the treatment of COVID-19 and data from our ongoing CANOPY Phase 3 clinical trial of VYD222 (pemivibart) for pre-exposure prophylaxis of COVID-19. The potential COVID-19 treatment EUA request would focus on the critical treatment needs of people in the U.S. who have moderate-to-severe immune compromise and for whom alternative COVID-19 treatment options are not clinically appropriate or accessible. Subsequent to the anticipated submission of an EUA request, we plan to initiate a compact clinical trial focused on confirmatory safety, pharmacokinetics, and clinical virology.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PEMGARDA is our first mAb in a planned series of innovative mAb candidates designed to keep pace with SARS-CoV-2 viral evolution. As the SARS-CoV-2 virus evolves over time, we anticipate leveraging our INVYMAB platform approach to periodically introduce new or engineered mAb candidates, an approach that would be analogous to the periodic updates made to influenza and COVID-19 vaccines. In January 2024, we nominated VYD2311, a mAb optimized for neutralization potency against recent SARS-CoV-2 lineages such as BA.2.86 and JN.1, as a drug candidate, and we expect it will be the next pipeline program to advance into clinical development. In addition to developing candidates for COVID-19, we expect to apply our INVYMAB platform approach to produce lead molecules for other viral diseases, such as influenza.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four years in the COVID-19 space, we aim to develop a continuous repertoire of SARS-CoV-2 neutralizing mAbs to keep pace with viral evolution.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focus in recent months has been and will continue to be supporting the commercialization of PEMGARDA and establishing streamlined development pathways that could enable us to efficiently introduce new or engineered mAb candidates targeting SARS-CoV-2, leveraging our INVYMAB platform approach and previously generated safety and efficacy data from our clinical trials of adintrevimab and/or pemivibart, including pursuit of a potential EUA for COVID-19 treatment in certain immunocompromised people utilizing a rapid immunobridging pathway.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Since our inception, we have financed our operations primarily with net proceeds of $464.7 million from sales of our preferred stock and with net proceeds of $327.5 million from our initial public offering (“IPO”). Through March 31, 2024, we had not generated any revenue from any sources, including product sales. Our ability to generate product revenue sufficient to achieve profitability will depend heavily on the successful development and commercialization of one or more of our product candidates, as they become authorized or approved. We will begin reporting PEMGARDA net product revenue with our second quarter 2024 financial results.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Since our inception, we have incurred significant losses, including a net loss of $43.5 million for the three months ended March 31, 2024. As of March 31, 2024, we had an accumulated deficit of $775.6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commercialize PEMGARDA;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 and conduct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product candidates in any new indications or patient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preclinical and discovery programs, including development and screening of additional antibodies;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authorization or approval for any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pursue coverage and reimbursement for our product candidates, if authorized or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or in-license other product candidates, intellectual property and/or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develop and validate our commercial-scale current Good Manufacturing Practices (“cGMP”) manufacturing process and manufacture material under cGMP at our contracted manufacturing facilities for clinical trials and commercial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regulatory requirements established by the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and expand a sales, marketing and distribution infrastructure to commercialize any product candidates for which we may obtain regulatory authorization 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and retain personnel, including research, clinical, development, manufacturing, quality control, quality assurance, regulatory, scientific and other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implemented a go-to-market strategy, including building our own commercial and marketing organization and outsourcing to contract sales, market access and medical science liaison organizations. On March 22, 2024, we received EUA from the FDA for PEMGARDA, and as such, we will continue to incur significant commercialization expenses related to product manufacturing, marketing, sales and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a result, we will require additional funding to support our continuing operations and pursue our growth strategy. Until such time as we can generate significant product revenue, if ever, we expect to finance our operations through a combination of equity offerings, government or private-party funding or grants, debt financings or other capital sources, such as collaborations with other companies, strategic alliances or licensing arrangements.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Based on current operating plans and excluding any contribution from revenues or external financing, we will not have sufficient cash and cash equivalents to fund our operating expenses and capital requirements beyond one year from the issuance date of the interim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 </w:t>
      </w:r>
    </w:p>
    <w:p>
      <w:pPr>
        <w:pStyle w:val="TextBody"/>
        <w:bidi w:val="0"/>
        <w:spacing w:before="120" w:after="120"/>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Through March 31, 2024, we had not generated any revenue from product sales or any other sources. We expect to generate revenue from sales of PEMGARDA, which received EUA from the FDA in March 2024. If our development efforts for other product candidates are also successful and result in regulatory authorization or approval or collaboration or license agreements with third parties, we may also generate revenue in the future from other product sales or payments from collaboration or license agreements that we may enter into with third parties, or any combination thereof. </w:t>
      </w:r>
    </w:p>
    <w:p>
      <w:pPr>
        <w:pStyle w:val="TextBody"/>
        <w:bidi w:val="0"/>
        <w:spacing w:before="120" w:after="120"/>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nature of our business and primary focus of our activities generates a significant amount of research and development costs. Research and development expenses represent costs incurred by us for: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nonclinical and preclinical development of our product candidates, including our discovery efforts;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procurement of our product candidates from a third-party manufacturer; and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global clinical development of our product candidates.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Such costs consist of: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personnel-related expenses, including salaries, bonuses, benefits, third-party fees and other compensation-related costs, including stock-based compensation expense, for employees engaged in research and development functions;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expenses incurred under agreements with third parties, such as collaborators, consultants, contractors and CROs, that conduct the discovery, nonclinical and preclinical studies and clinical trials of our product candidates and research programs;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costs of procuring manufactured product candidates for use in nonclinical studies, preclinical studies, clinical trials and for commercial supply, prior to receiving authorization or approval, from a third-party CDMO;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costs of outside consultants and advisors, including their fees and stock-based compensation;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laboratory-related expenses, which include equipment, laboratory supplies, rent expense, depreciation expense, and other operating costs;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payments made under third-party licensing agreements; and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other expenses incurred as a result of research and development activities.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to advance PEMGARDA and as we expect to advance VYD2311 through clinical development, including the associated manufacturing activities, pursue EUA or regulatory approval of our product candidates, and continue to discover and develop additional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acceptable IND applications with the FDA or comparable foreign applications that allow commencement of our planned clinical trials or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 manufacture the product candidates and complete associated regulatory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agreements with third-party manufacturers for clinical supply for our clinical trials and successfully develop, obtain regulatory authorization or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enrollment and timely completion of clinical trials, including our ability to generate positive data from any such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development of any additional development programs and product candidates we identify in-house or acquire through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nature and severity of adverse events experienced with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payments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 trademark and trade secret protection and regulatory exclusivity for our product candidates, if and when approved, and otherwise 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r>
        <w:rPr>
          <w:strike/>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timely receipt of regulatory authorizations or approvals from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significant and changing government regulation, regulatory guidance and requirements and evolving treatment guidelines;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business interruptions to our operations or those of third parties with which we work, including as a result of any public health crisis.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pStyle w:val="TextBody"/>
        <w:bidi w:val="0"/>
        <w:spacing w:before="120" w:after="120"/>
        <w:jc w:val="both"/>
        <w:rPr>
          <w:rFonts w:ascii="Times New Roman" w:hAnsi="Times New Roman"/>
          <w:sz w:val="20"/>
        </w:rPr>
      </w:pPr>
      <w:r>
        <w:rPr>
          <w:rFonts w:ascii="Times New Roman" w:hAnsi="Times New Roman"/>
          <w:b/>
          <w:i/>
          <w:color w:val="000000"/>
          <w:sz w:val="20"/>
        </w:rPr>
        <w:t>Acquired In-Process 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 </w:t>
      </w:r>
    </w:p>
    <w:p>
      <w:pPr>
        <w:pStyle w:val="TextBody"/>
        <w:bidi w:val="0"/>
        <w:spacing w:before="120" w:after="120"/>
        <w:jc w:val="both"/>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June 2022, and subsequently amended in September 2022, we entered into a lease agreement for dedicated laboratory and office space in Newton, Massachusetts for research and development purposes. Through March 31, 2024, we have operated as a hybrid company with employees working at our corporate headquarters and remotely. We have not incurred material operating expenses for the rent, maintenance and insurance of facilities, or for the depreciation of fixed assets. </w:t>
      </w:r>
    </w:p>
    <w:p>
      <w:pPr>
        <w:pStyle w:val="TextBody"/>
        <w:bidi w:val="0"/>
        <w:spacing w:before="120" w:after="120"/>
        <w:jc w:val="both"/>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monitor the manner in which countries will enact legislation to implement the Pillar Two framework proposed by the Organisation for Economic Co-operation and Development, which proposes a 15% global corporate minimum tax. As of March 31, 2024, various countries have enacted aspects of Pillar Two while committing to enact additional aspects in future years. While we do not expect these rules to have a material impact on our effective tax rate, we continue to monitor these initiatives on a global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Comparison of the three months ended March 31, 2024 and 2023</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March 31, 2024 and 2023: </w:t>
      </w:r>
    </w:p>
    <w:tbl>
      <w:tblPr>
        <w:tblW w:w="10205" w:type="dxa"/>
        <w:jc w:val="left"/>
        <w:tblInd w:w="0" w:type="dxa"/>
        <w:tblLayout w:type="fixed"/>
        <w:tblCellMar>
          <w:top w:w="28" w:type="dxa"/>
          <w:left w:w="28" w:type="dxa"/>
          <w:bottom w:w="28" w:type="dxa"/>
          <w:right w:w="28" w:type="dxa"/>
        </w:tblCellMar>
      </w:tblPr>
      <w:tblGrid>
        <w:gridCol w:w="3666"/>
        <w:gridCol w:w="146"/>
        <w:gridCol w:w="480"/>
        <w:gridCol w:w="1677"/>
        <w:gridCol w:w="166"/>
        <w:gridCol w:w="146"/>
        <w:gridCol w:w="480"/>
        <w:gridCol w:w="1677"/>
        <w:gridCol w:w="166"/>
        <w:gridCol w:w="146"/>
        <w:gridCol w:w="211"/>
        <w:gridCol w:w="631"/>
        <w:gridCol w:w="613"/>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r>
      <w:tr>
        <w:trPr/>
        <w:tc>
          <w:tcPr>
            <w:tcW w:w="36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2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3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3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16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1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3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following discussion presents the components of our expenses for the periods presented: </w:t>
      </w:r>
    </w:p>
    <w:p>
      <w:pPr>
        <w:pStyle w:val="TextBody"/>
        <w:bidi w:val="0"/>
        <w:spacing w:before="120" w:after="120"/>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188"/>
        <w:gridCol w:w="146"/>
        <w:gridCol w:w="456"/>
        <w:gridCol w:w="1460"/>
        <w:gridCol w:w="146"/>
        <w:gridCol w:w="146"/>
        <w:gridCol w:w="456"/>
        <w:gridCol w:w="1460"/>
        <w:gridCol w:w="146"/>
        <w:gridCol w:w="146"/>
        <w:gridCol w:w="211"/>
        <w:gridCol w:w="631"/>
        <w:gridCol w:w="613"/>
      </w:tblGrid>
      <w:tr>
        <w:trPr/>
        <w:tc>
          <w:tcPr>
            <w:tcW w:w="4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41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r>
      <w:tr>
        <w:trPr/>
        <w:tc>
          <w:tcPr>
            <w:tcW w:w="418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 by program:</w:t>
            </w:r>
          </w:p>
        </w:tc>
        <w:tc>
          <w:tcPr>
            <w:tcW w:w="146" w:type="dxa"/>
            <w:tcBorders/>
            <w:shd w:fill="CFF0FC" w:val="clear"/>
            <w:vAlign w:val="center"/>
          </w:tcPr>
          <w:p>
            <w:pPr>
              <w:pStyle w:val="TableContents"/>
              <w:bidi w:val="0"/>
              <w:spacing w:before="0" w:after="283"/>
              <w:jc w:val="left"/>
              <w:rPr/>
            </w:pPr>
            <w:r>
              <w:rPr/>
              <w:t> </w:t>
            </w:r>
          </w:p>
        </w:tc>
        <w:tc>
          <w:tcPr>
            <w:tcW w:w="19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418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VYD222</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418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VYD2311</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left"/>
              <w:rPr/>
            </w:pPr>
            <w:r>
              <w:rPr/>
              <w:t> </w:t>
            </w:r>
          </w:p>
        </w:tc>
        <w:tc>
          <w:tcPr>
            <w:tcW w:w="14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left"/>
              <w:rPr/>
            </w:pPr>
            <w:r>
              <w:rPr/>
              <w:t> </w:t>
            </w:r>
          </w:p>
        </w:tc>
        <w:tc>
          <w:tcPr>
            <w:tcW w:w="14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41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Adintrevimab</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6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19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41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External discovery-related and other costs</w:t>
            </w:r>
          </w:p>
        </w:tc>
        <w:tc>
          <w:tcPr>
            <w:tcW w:w="146" w:type="dxa"/>
            <w:tcBorders/>
            <w:shd w:fill="CFF0FC" w:val="cle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 March 2023, we announced the nomination of VYD222 as a novel mAb therapeutic option for COVID-19.</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 March 2024, we announced the nomination of VYD2311 as a novel mAb therapeutic option for COVID-19.</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Research and development expenses were $31.2 million for the three months ended March 31, 2024, compared to $27.2 million for the three months ended March 31, 2023. The $4.0 million increase in research and development expenses was primarily due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direct costs related to our VYD222 program was primarily due to a $6.9 million increase in contract manufacturing costs for commercial manufacturing and a $3.1 million increase in contract research costs for our CANOPY clinical trial. These increases were offset by a decrease of $0.2 million in other external and nonclinical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direct costs related to our VYD2311 program was due to the nomination of our VYD2311 product candidate in the first quarter of 2024. The costs were primarily related to contract manufacturing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direct costs related to our adintrevimab program of $2.4 million was due to a decrease in contract manufacturing costs and contract research costs after the nomination of our VYD222 product candidate in the first quarter of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personnel-related costs of $0.6 million was primarily due to a decrease in stock-based compensation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external discovery-related and other costs of $4.8 million was primarily due to a $3.2 million decrease in contract manufacturing costs related to our pipeline candidates and a $1.6 million decrease in other external costs.</w:t>
      </w:r>
    </w:p>
    <w:p>
      <w:pPr>
        <w:pStyle w:val="TextBody"/>
        <w:bidi w:val="0"/>
        <w:spacing w:before="120" w:after="283"/>
        <w:jc w:val="both"/>
        <w:rPr>
          <w:rFonts w:ascii="Times New Roman" w:hAnsi="Times New Roman"/>
          <w:sz w:val="20"/>
        </w:rPr>
      </w:pPr>
      <w:r>
        <w:rPr>
          <w:rFonts w:ascii="Times New Roman" w:hAnsi="Times New Roman"/>
          <w:b/>
          <w:i/>
          <w:color w:val="000000"/>
          <w:sz w:val="20"/>
        </w:rPr>
        <w:t>Acquired In-Process Research and Development (“IPR&amp;D”) Expenses</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There was no IPR&amp;D expense recognized during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IPR&amp;D expenses of $0.8 million for the three months ended March 31, 2023 consisted of a $0.4 million milestone payment that became due to Adimab in March 2023 upon dosing of the first subject in a Phase 1 clinical trial evaluating VYD222 under the Adimab Assignment and License Agreement and $0.4 million in license fees due to WuXi Biologics under the Cell Line License Agreement. </w:t>
      </w:r>
    </w:p>
    <w:p>
      <w:pPr>
        <w:pStyle w:val="TextBody"/>
        <w:bidi w:val="0"/>
        <w:spacing w:before="120" w:after="120"/>
        <w:jc w:val="both"/>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059"/>
        <w:gridCol w:w="146"/>
        <w:gridCol w:w="502"/>
        <w:gridCol w:w="1608"/>
        <w:gridCol w:w="146"/>
        <w:gridCol w:w="146"/>
        <w:gridCol w:w="502"/>
        <w:gridCol w:w="1608"/>
        <w:gridCol w:w="146"/>
        <w:gridCol w:w="146"/>
        <w:gridCol w:w="211"/>
        <w:gridCol w:w="571"/>
        <w:gridCol w:w="414"/>
      </w:tblGrid>
      <w:tr>
        <w:trPr/>
        <w:tc>
          <w:tcPr>
            <w:tcW w:w="4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405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414" w:type="dxa"/>
            <w:tcBorders/>
            <w:shd w:fill="CFF0FC" w:val="clear"/>
            <w:vAlign w:val="center"/>
          </w:tcPr>
          <w:p>
            <w:pPr>
              <w:pStyle w:val="TableContents"/>
              <w:bidi w:val="0"/>
              <w:spacing w:before="0" w:after="283"/>
              <w:jc w:val="left"/>
              <w:rPr/>
            </w:pPr>
            <w:r>
              <w:rPr/>
              <w:t> </w:t>
            </w:r>
          </w:p>
        </w:tc>
      </w:tr>
      <w:tr>
        <w:trPr/>
        <w:tc>
          <w:tcPr>
            <w:tcW w:w="40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414" w:type="dxa"/>
            <w:tcBorders/>
            <w:shd w:fill="FFFFFF" w:val="clear"/>
            <w:vAlign w:val="center"/>
          </w:tcPr>
          <w:p>
            <w:pPr>
              <w:pStyle w:val="TableContents"/>
              <w:bidi w:val="0"/>
              <w:spacing w:before="0" w:after="283"/>
              <w:jc w:val="left"/>
              <w:rPr/>
            </w:pPr>
            <w:r>
              <w:rPr/>
              <w:t> </w:t>
            </w:r>
          </w:p>
        </w:tc>
      </w:tr>
      <w:tr>
        <w:trPr/>
        <w:tc>
          <w:tcPr>
            <w:tcW w:w="40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Selling, general and administrative expenses were $14.9 million for the three months ended March 31, 2024, compared to $11.0 million for the three months ended March 31, 2023. The $3.9 million increase in selling, general and administrative expenses was primarily due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personnel-related costs of $1.1 million was primarily due to an increase in headcount-related costs, including an increase in stock-based compensation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professional and consultant fees of $2.9 million was primarily due to an increase in commercialization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costs remained relatively consistent between periods.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income was $2.6 million for the three months ended March 31, 2024, consisting primarily of interest earned on our invested cash balances.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Other income was $3.8 million for the three months ended March 31, 2023, consisting of $1.1 million of interest earned on our invested cash balances and $2.7 million of net accretion of discounts related to our marketable securities. </w:t>
      </w:r>
    </w:p>
    <w:p>
      <w:pPr>
        <w:pStyle w:val="TextBody"/>
        <w:bidi w:val="0"/>
        <w:spacing w:before="120" w:after="120"/>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Through March 31, 2024, we had not generated any revenue from any sources, including from product sales, and have incurred significant operating losses and negative cash flows from operations. Although we received an EUA from the FDA for PEMGARDA in March 2024, we may continue to incur significant expenses and potential operating losses for the foreseeable future as we commercialize PEMGARDA and advance the development of our other product candidates. To date, we have financed our operations primarily with net proceeds of $464.7 million from sales of our preferred stock, and with aggregate net proceeds from our IPO in August 2021 of $327.5 million.</w:t>
      </w:r>
    </w:p>
    <w:p>
      <w:pPr>
        <w:pStyle w:val="TextBody"/>
        <w:bidi w:val="0"/>
        <w:spacing w:before="120" w:after="120"/>
        <w:jc w:val="both"/>
        <w:rPr>
          <w:rFonts w:ascii="Times New Roman" w:hAnsi="Times New Roman"/>
          <w:sz w:val="20"/>
        </w:rPr>
      </w:pPr>
      <w:r>
        <w:rPr>
          <w:rFonts w:ascii="Times New Roman" w:hAnsi="Times New Roman"/>
          <w:color w:val="000000"/>
          <w:sz w:val="20"/>
        </w:rPr>
        <w:t>In December 2023, we entered into a Controlled Equity Offering</w:t>
      </w:r>
      <w:r>
        <w:rPr>
          <w:rFonts w:ascii="Times New Roman" w:hAnsi="Times New Roman"/>
          <w:color w:val="000000"/>
          <w:sz w:val="13"/>
        </w:rPr>
        <w:t xml:space="preserve">SM </w:t>
      </w:r>
      <w:r>
        <w:rPr>
          <w:rFonts w:ascii="Times New Roman" w:hAnsi="Times New Roman"/>
          <w:color w:val="000000"/>
          <w:sz w:val="20"/>
        </w:rPr>
        <w:t>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 at an average price of $4.50 per share for $39.3 million in net proceeds. As of March 31, 2024, $34.5 million remained available for sale under the Sales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March 31, 2024, we had cash and cash equivalents of $189.4 million.</w:t>
      </w:r>
    </w:p>
    <w:p>
      <w:pPr>
        <w:pStyle w:val="TextBody"/>
        <w:bidi w:val="0"/>
        <w:spacing w:before="120" w:after="120"/>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tbl>
      <w:tblPr>
        <w:tblW w:w="10170" w:type="dxa"/>
        <w:jc w:val="left"/>
        <w:tblInd w:w="0" w:type="dxa"/>
        <w:tblLayout w:type="fixed"/>
        <w:tblCellMar>
          <w:top w:w="28" w:type="dxa"/>
          <w:left w:w="28" w:type="dxa"/>
          <w:bottom w:w="28" w:type="dxa"/>
          <w:right w:w="28" w:type="dxa"/>
        </w:tblCellMar>
      </w:tblPr>
      <w:tblGrid>
        <w:gridCol w:w="4521"/>
        <w:gridCol w:w="146"/>
        <w:gridCol w:w="534"/>
        <w:gridCol w:w="1866"/>
        <w:gridCol w:w="166"/>
        <w:gridCol w:w="146"/>
        <w:gridCol w:w="534"/>
        <w:gridCol w:w="186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75,036</w:t>
            </w:r>
          </w:p>
        </w:tc>
        <w:tc>
          <w:tcPr>
            <w:tcW w:w="391" w:type="dxa"/>
            <w:tcBorders/>
            <w:shd w:fill="FFFFFF" w:val="clear"/>
            <w:vAlign w:val="center"/>
          </w:tcPr>
          <w:p>
            <w:pPr>
              <w:pStyle w:val="TableContents"/>
              <w:bidi w:val="0"/>
              <w:spacing w:before="0" w:after="283"/>
              <w:jc w:val="left"/>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March 31, 2024, operating activities used $50.2 million of cash, primarily due to our net loss of $43.5 million and changes in our operating assets and liabilities of $12.6 million, partially offset by non-cash charges of $5.9 million. The changes in our operating assets and liabilities primarily consisted of a $7.0 million decrease in accrued expenses, a $6.8 million decrease in accounts payable, a $1.7 million increase in other non-current assets, a $0.7 million decrease in other non-current liabilities, a $0.4 million decrease in operating lease liabilities and a $0.1 million increase in inventory, partially offset by a $4.0 million decrease in prepaid expenses and other current assets. The decrease in accounts payable and accrued expenses was primarily due to the timing of vendor invoicing and payments. The decrease in prepaid expenses and other current assets was primarily due to the utilization of WuXi Biologics manufacturing prepayments and deposits.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the three months ended March 31, 2023, operating activities used $41.2 million of cash, primarily due to our net loss of $35.3 million and changes in our operating assets and liabilities of $9.2 million, partially offset by non-cash charges of $3.3 million. The changes in our operating assets and liabilities primarily consisted of a $6.9 million decrease in accrued expenses, a $6.3 million increase in prepaid expenses and other current assets, and a $0.4 million decrease in operating lease liabilities, partially offset by a $4.4 million increase in accounts payable. The decrease in accrued expenses and the increase in accounts payable were primarily due to the timing of vendor invoicing and payments. The increase in prepaid expenses and other current assets was primarily due to up-front payments related to our Phase 1 clinical trial for VYD222 and up-front payments to WuXi Biologics for manufacturing costs. </w:t>
      </w:r>
    </w:p>
    <w:p>
      <w:pPr>
        <w:pStyle w:val="TextBody"/>
        <w:bidi w:val="0"/>
        <w:spacing w:before="120" w:after="120"/>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Net cash used in investing activities during the three months ended March 31, 2024 consisted of $0.1 million in purchases of property and equipment.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Net cash provided by investing activities during the three months ended March 31, 2023 consisted of $75.6 million in maturities of marketable securities, offset by $0.6 million in purchases of property and equipment.</w:t>
      </w:r>
    </w:p>
    <w:p>
      <w:pPr>
        <w:pStyle w:val="TextBody"/>
        <w:bidi w:val="0"/>
        <w:spacing w:before="120" w:after="120"/>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Net cash provided by financing activities during the three months ended March 31, 2024 consisted of $39.3 million from the issuance of common stock under the Sales Agreement and $0.1 million from the issuance of common stock under the employee stock purchase plan, offset by $0.3 million in payments for offering costs related to the Sales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Net cash provided by financing activities during the three months ended March 31, 2023 consisted of $0.4 million from exercises of stock options and $0.1 million from the issuance of common stock under the employee stock purchase plan.</w:t>
      </w:r>
    </w:p>
    <w:p>
      <w:pPr>
        <w:pStyle w:val="TextBody"/>
        <w:bidi w:val="0"/>
        <w:spacing w:before="120" w:after="120"/>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revenue received from sales of PEMGARDA and any other product candidates for which we receive future regulatory authorization or approval;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rate of progress in the development of our product candidates;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scope, progress, results and costs of discovery, nonclinical studies, preclinical development, laboratory testing and clinical trials for our product candidates and associated development programs;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extent to which we develop, in-license or acquire other product candidates, intellectual property and/or technologies;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number and development requirements of product candidates that we may pursue;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headcount growth and associated costs as we expand our research and development capabilities and build and maintain a commercial infrastructure for product candidates for which we obtain regulatory authorization or approval;</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timing and costs of securing sufficient manufacturing capacity for clinical and commercial supply of our product candidates, or the raw material components thereof;</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costs and timing of commercialization activities, including product manufacturing, marketing, sales and distribution, for any of our product candidates for which we receive regulatory authorization 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costs necessary to obtain regulatory authorizations or approvals, and the costs of post-marketing studies that could be required by regulatory authorities in jurisdictions where authorization or approval is obtained;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continuation of our existing licensing and collaboration arrangements and entry into new collaborations and licensing arrangements, if at all;</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need and ability to hire and retain additional research, clinical, development, scientific and manufacturing personnel;</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costs we incur in maintaining business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need to implement additional internal systems and infrastructure;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effect of competing technological, product and market developments;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impact of any business interruptions to our operations or to those of our third-party contractors resulting from any public health crisis.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Substantial Doubt about Ability to Continue as a Going Concern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 Based on current operating plans and excluding any contribution from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Until such time, if ever, as we can generate significant product revenue, we expect to finance our operations through a combination of equity offerings, government or private-party funding or grants, debt financings or other capital sources, such as collaborations with other companies, strategic alliances or licensing arrangements.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Through March 31, 2024, we committed to noncancelable purchase obligations related to commercial drug substance and drug product manufacturing under the Commercial Manufacturing Services Agreement with WuXi Biologics, which was entered into in December 2020, amended and restated in August 2021 and further amended and restated in September 2023 (as amended and restated, the “Commercial Manufacturing Agreement”). As of March 31, 2024, the total remaining contractually binding commercial drug substance and drug product purchase obligations due to WuXi Biologics was $69.3 million, which is expected to be paid in 2024 and 2025. As of March 31, 2024, $18.4 million related to the contractually binding commercial drug substance and drug product batches was included in accounts payable and accrued expenses, which is expected to be paid in 2024. Through March 31, 2024, the Company committed to noncancelable purchase obligations of $24.7 million related to the procurement of materials to be used in future drug substance and drug product manufacturing under the Commercial Manufacturing Agreement, which is expected to be paid in 2024. For additional information, see Note 8 to our condensed consolidated financial statements appearing in this Quarterly Report on Form 10-Q. Other than the above noted transactions, during the three months ended March 31, 2024, there were no material changes to our contractual obligations from those described in the 2023 Form 10-K.</w:t>
      </w:r>
    </w:p>
    <w:p>
      <w:pPr>
        <w:pStyle w:val="TextBody"/>
        <w:bidi w:val="0"/>
        <w:spacing w:before="120" w:after="120"/>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financial statements are prepared in accordance with generally accepted accounting principles in the United States. The preparation of our financial statements and related disclosures requires us to make estimates, assumptions and judgments that affect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reported amount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2023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2023 Form 10-K. </w:t>
      </w:r>
    </w:p>
    <w:p>
      <w:pPr>
        <w:pStyle w:val="TextBody"/>
        <w:bidi w:val="0"/>
        <w:spacing w:before="120" w:after="120"/>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results of operations and cash flows is disclosed in Note 2 to our condensed consolidated financial statements appearing elsewhere in this Quarterly Report on Form 10-Q. </w:t>
      </w:r>
    </w:p>
    <w:p>
      <w:pPr>
        <w:pStyle w:val="TextBody"/>
        <w:bidi w:val="0"/>
        <w:spacing w:before="120" w:after="120"/>
        <w:jc w:val="both"/>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 exemption from compliance with the auditor attestation requirement in the assessment of our internal control over financial reporting;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reduced disclosure obligations regarding executive compensation;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 and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 exemption from compliance with the requirements of the Public Company Accounting Oversight Board regarding the communication of critical audit matters in the auditor’s report on the financial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0"/>
        </w:rPr>
      </w:pPr>
      <w:bookmarkStart w:id="14" w:name="i_item3"/>
      <w:bookmarkEnd w:id="14"/>
      <w:r>
        <w:rPr>
          <w:rFonts w:ascii="Times New Roman" w:hAnsi="Times New Roman"/>
          <w:b/>
          <w:color w:val="000000"/>
          <w:sz w:val="20"/>
        </w:rPr>
        <w:t>Item 3. Quantitative and Qualitative Disclosures About Market Risk.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120" w:after="120"/>
        <w:jc w:val="left"/>
        <w:rPr>
          <w:rFonts w:ascii="Times New Roman" w:hAnsi="Times New Roman"/>
          <w:b/>
          <w:color w:val="000000"/>
          <w:sz w:val="20"/>
        </w:rPr>
      </w:pPr>
      <w:bookmarkStart w:id="15" w:name="i_item4"/>
      <w:bookmarkEnd w:id="15"/>
      <w:r>
        <w:rPr>
          <w:rFonts w:ascii="Times New Roman" w:hAnsi="Times New Roman"/>
          <w:b/>
          <w:color w:val="000000"/>
          <w:sz w:val="20"/>
        </w:rPr>
        <w:t>Item 4. Controls and Procedures.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management, with the participation of our Interim Chief Executive Officer and our Chief Financial Officer (our principal executive officer and principal financial officer, respectively),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Interim Chief Executive Officer and Chief Financial Officer concluded that, as of such date, our disclosure controls and procedures were effective at the reasonable assurance level.</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II—OTHER INFORMATION</w:t>
      </w:r>
    </w:p>
    <w:p>
      <w:pPr>
        <w:pStyle w:val="TextBody"/>
        <w:bidi w:val="0"/>
        <w:spacing w:before="120" w:after="120"/>
        <w:jc w:val="left"/>
        <w:rPr>
          <w:rFonts w:ascii="Times New Roman" w:hAnsi="Times New Roman"/>
          <w:b/>
          <w:color w:val="000000"/>
          <w:sz w:val="20"/>
        </w:rPr>
      </w:pPr>
      <w:bookmarkStart w:id="17" w:name="ii_item1"/>
      <w:bookmarkEnd w:id="17"/>
      <w:r>
        <w:rPr>
          <w:rFonts w:ascii="Times New Roman" w:hAnsi="Times New Roman"/>
          <w:b/>
          <w:color w:val="000000"/>
          <w:sz w:val="20"/>
        </w:rPr>
        <w:t>Item 1. Legal Proceedings.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makes allegations similar to those in the prior complaints and asserts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 The court has scheduled a hearing on the defendants’ motion to dismiss on May 10,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believe that we have strong defenses, and we intend to vigorously defend against this action. The lawsuit is in early stages, and, at this time, no assessment can be made as to the likely outcome or whether the outcome will be material to us.</w:t>
      </w:r>
    </w:p>
    <w:p>
      <w:pPr>
        <w:pStyle w:val="TextBody"/>
        <w:bidi w:val="0"/>
        <w:spacing w:before="120" w:after="120"/>
        <w:jc w:val="left"/>
        <w:rPr>
          <w:rFonts w:ascii="Times New Roman" w:hAnsi="Times New Roman"/>
          <w:sz w:val="20"/>
        </w:rPr>
      </w:pPr>
      <w:bookmarkStart w:id="18" w:name="ii_item1a"/>
      <w:bookmarkEnd w:id="18"/>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Information regarding risks and uncertainties related to our business appears in Part I, Item 1A. “Risk Factors” of the 2023 Form 10-K. There have been no material changes from the risk factors set forth in the 2023 Form 10-K.</w:t>
      </w:r>
    </w:p>
    <w:p>
      <w:pPr>
        <w:pStyle w:val="TextBody"/>
        <w:bidi w:val="0"/>
        <w:spacing w:before="120" w:after="120"/>
        <w:jc w:val="left"/>
        <w:rPr>
          <w:rFonts w:ascii="Times New Roman" w:hAnsi="Times New Roman"/>
          <w:sz w:val="20"/>
        </w:rPr>
      </w:pPr>
      <w:bookmarkStart w:id="19" w:name="ii_item2"/>
      <w:bookmarkEnd w:id="19"/>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Recent Sales of Unregistered Securities; 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did not issue any unregistered equity securities during the three months ended March 31, 2024.</w:t>
      </w:r>
    </w:p>
    <w:p>
      <w:pPr>
        <w:pStyle w:val="TextBody"/>
        <w:bidi w:val="0"/>
        <w:jc w:val="left"/>
        <w:rPr>
          <w:rFonts w:ascii="Times New Roman" w:hAnsi="Times New Roman"/>
          <w:b/>
          <w:color w:val="000000"/>
          <w:sz w:val="20"/>
        </w:rPr>
      </w:pPr>
      <w:r>
        <w:rPr>
          <w:rFonts w:ascii="Times New Roman" w:hAnsi="Times New Roman"/>
          <w:b/>
          <w:color w:val="000000"/>
          <w:sz w:val="20"/>
        </w:rPr>
        <w:t>Purchases of Equity Securities by the Issuer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did not purchase any equity securities during the three months ended March 31, 2024.</w:t>
      </w:r>
    </w:p>
    <w:p>
      <w:pPr>
        <w:pStyle w:val="TextBody"/>
        <w:bidi w:val="0"/>
        <w:spacing w:before="120" w:after="120"/>
        <w:jc w:val="both"/>
        <w:rPr>
          <w:rFonts w:ascii="Times New Roman" w:hAnsi="Times New Roman"/>
          <w:b/>
          <w:color w:val="000000"/>
          <w:sz w:val="20"/>
        </w:rPr>
      </w:pPr>
      <w:bookmarkStart w:id="20" w:name="ii_item5"/>
      <w:bookmarkEnd w:id="20"/>
      <w:r>
        <w:rPr>
          <w:rFonts w:ascii="Times New Roman" w:hAnsi="Times New Roman"/>
          <w:b/>
          <w:color w:val="000000"/>
          <w:sz w:val="20"/>
        </w:rPr>
        <w:t>Item 5. Other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March 31, 2024, no director or officer of the Company adopted or terminated a “Rule 10b5-1 trading arrangement” or “non-Rule 10b5-1 trading arrangement,” as each term is defined in Item 408 of Regulation S-K.</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bookmarkStart w:id="21" w:name="ii_item6"/>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by reference to Exhibit 3.1 of the Company’s Current Report on Form 8-K (File No. 001-40703), filed with the Securities and Exchange Commission on August 10, 2021).</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(incorporated by reference to Exhibit 3.1 of the Company’s Current Report on Form 8-K (File No. 001-40703), filed with the Securities and Exchange Commission on September 13, 2022).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Amended and Restated Certificate of Incorporation (incorporated by reference to Exhibit 3.1 of the Company’s Current Report on Form 8-K (File No. 001-40703), filed with the Securities and Exchange Commission on May 25,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3.2 of the Company’s Current Report on Form 8-K (File No. 001-40703), filed with the Securities and Exchange Commission on September 13, 2022).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No. 1 to the Amended and Restated Bylaws (incorporated by reference to Exhibit 3.2 of the Company’s Current Report on Form 8-K (File No. 001-40703), filed with the Securities and Exchange Commission on May 25,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Delaware Certificate of Change of Registered Agent (incorporated by reference to Exhibit 3.3 of the Company's Registration Statement on Form S-3 (File No. 333-267643), filed with the Securities and Exchange Commission on September 28, 2022).</w:t>
              </w:r>
            </w:hyperlink>
            <w:hyperlink r:id="rId8">
              <w:r>
                <w:rPr>
                  <w:rStyle w:val="InternetLink"/>
                  <w:rFonts w:ascii="Times New Roman" w:hAnsi="Times New Roman"/>
                  <w:color w:val="0000FF"/>
                  <w:sz w:val="20"/>
                </w:rPr>
                <w:t xml:space="preserve"> </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No. 2 to the Cell Line License Agreement by and between the Registrant and WuXi Biologics (Hong Kong) Limited, dated March 13, 2024 (incorporated by reference to Exhibit 10.23 of the Company’s Annual Report on Form 10-K (File No. 001-40703), filed with the Securities and Exchange Commission on March 28, 2024).</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Employment Agreement by and between the Registrant and Julie Green, dated January 24, 2024 (incorporated by reference to Exhibit 10.14 of the Company’s Annual Report on Form 10-K (File No. 001-40703), filed with the Securities and Exchange Commission on March 28, 2024).</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
        <w:gridCol w:w="146"/>
        <w:gridCol w:w="9826"/>
      </w:tblGrid>
      <w:tr>
        <w:trPr/>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Indicates management contract or compensatory plan. </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portions of this exhibit (indicated by asterisks) have been omitted pursuant to Item 601(b)(10)(iv) of Regulation S-K.</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schedules to this agreement have been omitted in accordance with Item 601(a)(5) of Regulation S-K. A copy of any omitted schedules will be furnished supplementally to the SEC upon request.</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719" w:type="dxa"/>
        <w:jc w:val="left"/>
        <w:tblInd w:w="0" w:type="dxa"/>
        <w:tblLayout w:type="fixed"/>
        <w:tblCellMar>
          <w:top w:w="28" w:type="dxa"/>
          <w:left w:w="28" w:type="dxa"/>
          <w:bottom w:w="28" w:type="dxa"/>
          <w:right w:w="28" w:type="dxa"/>
        </w:tblCellMar>
      </w:tblPr>
      <w:tblGrid>
        <w:gridCol w:w="1636"/>
        <w:gridCol w:w="146"/>
        <w:gridCol w:w="406"/>
        <w:gridCol w:w="75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INVIVYD,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5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Gowler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Gowler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Executive Officer, Chief Operating Officer and Chief Commercial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Duke, Jr.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Duke, Jr.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 and Principal Accounting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ivvd-ex31_1.htm"/>
      <w:bookmarkStart w:id="24" w:name="ksivvd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Jeremy Gowler,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Invivyd,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719" w:type="dxa"/>
        <w:jc w:val="left"/>
        <w:tblInd w:w="0" w:type="dxa"/>
        <w:tblLayout w:type="fixed"/>
        <w:tblCellMar>
          <w:top w:w="28" w:type="dxa"/>
          <w:left w:w="28" w:type="dxa"/>
          <w:bottom w:w="28" w:type="dxa"/>
          <w:right w:w="28" w:type="dxa"/>
        </w:tblCellMar>
      </w:tblPr>
      <w:tblGrid>
        <w:gridCol w:w="1636"/>
        <w:gridCol w:w="146"/>
        <w:gridCol w:w="406"/>
        <w:gridCol w:w="75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Gowler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Gowler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Executive Officer, Chief Operating Officer and Chief Commercial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ivvd-ex31_2.htm"/>
      <w:bookmarkStart w:id="26" w:name="ksivvd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Duke, Jr.,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Invivyd,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29" w:type="dxa"/>
        <w:jc w:val="left"/>
        <w:tblInd w:w="0" w:type="dxa"/>
        <w:tblLayout w:type="fixed"/>
        <w:tblCellMar>
          <w:top w:w="28" w:type="dxa"/>
          <w:left w:w="28" w:type="dxa"/>
          <w:bottom w:w="28" w:type="dxa"/>
          <w:right w:w="28" w:type="dxa"/>
        </w:tblCellMar>
      </w:tblPr>
      <w:tblGrid>
        <w:gridCol w:w="1636"/>
        <w:gridCol w:w="146"/>
        <w:gridCol w:w="406"/>
        <w:gridCol w:w="53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Duke, Jr.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Duke, Jr.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ivvd-ex32_1.htm"/>
      <w:bookmarkStart w:id="28" w:name="ksivvd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Invivyd, Inc. (the “Company”) on Form 10-Q for the period ended March 31, 2024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9719" w:type="dxa"/>
        <w:jc w:val="left"/>
        <w:tblInd w:w="0" w:type="dxa"/>
        <w:tblLayout w:type="fixed"/>
        <w:tblCellMar>
          <w:top w:w="28" w:type="dxa"/>
          <w:left w:w="28" w:type="dxa"/>
          <w:bottom w:w="28" w:type="dxa"/>
          <w:right w:w="28" w:type="dxa"/>
        </w:tblCellMar>
      </w:tblPr>
      <w:tblGrid>
        <w:gridCol w:w="1636"/>
        <w:gridCol w:w="146"/>
        <w:gridCol w:w="406"/>
        <w:gridCol w:w="75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5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Gowler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Gowler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Executive Officer, Chief Operating Officer and Chief Commercial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ivvd-ex32_2.htm"/>
      <w:bookmarkStart w:id="30" w:name="ksivvd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Invivyd, Inc. (the “Company”) on Form 10-Q for the period ended March 31, 2024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529" w:type="dxa"/>
        <w:jc w:val="left"/>
        <w:tblInd w:w="0" w:type="dxa"/>
        <w:tblLayout w:type="fixed"/>
        <w:tblCellMar>
          <w:top w:w="28" w:type="dxa"/>
          <w:left w:w="28" w:type="dxa"/>
          <w:bottom w:w="28" w:type="dxa"/>
          <w:right w:w="28" w:type="dxa"/>
        </w:tblCellMar>
      </w:tblPr>
      <w:tblGrid>
        <w:gridCol w:w="1636"/>
        <w:gridCol w:w="146"/>
        <w:gridCol w:w="406"/>
        <w:gridCol w:w="53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Duke, Jr.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Duke, Jr.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 and Principal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038/000119312521242044/d211424dex31.htm" TargetMode="External"/><Relationship Id="rId3" Type="http://schemas.openxmlformats.org/officeDocument/2006/relationships/hyperlink" Target="https://www.sec.gov/Archives/edgar/data/1832038/000119312522243285/d388436dex31.htm" TargetMode="External"/><Relationship Id="rId4" Type="http://schemas.openxmlformats.org/officeDocument/2006/relationships/hyperlink" Target="https://www.sec.gov/Archives/edgar/data/1832038/000119312523154233/d473409dex31.htm" TargetMode="External"/><Relationship Id="rId5" Type="http://schemas.openxmlformats.org/officeDocument/2006/relationships/hyperlink" Target="https://www.sec.gov/Archives/edgar/data/1832038/000119312522243285/d388436dex32.htm" TargetMode="External"/><Relationship Id="rId6" Type="http://schemas.openxmlformats.org/officeDocument/2006/relationships/hyperlink" Target="https://www.sec.gov/Archives/edgar/data/1832038/000119312523154233/d473409dex32.htm" TargetMode="External"/><Relationship Id="rId7" Type="http://schemas.openxmlformats.org/officeDocument/2006/relationships/hyperlink" Target="https://www.sec.gov/Archives/edgar/data/1832038/000119312522253372/d392092dex33.htm" TargetMode="External"/><Relationship Id="rId8" Type="http://schemas.openxmlformats.org/officeDocument/2006/relationships/hyperlink" Target="https://www.sec.gov/Archives/edgar/data/1832038/000119312522253372/d392092dex33.htm" TargetMode="External"/><Relationship Id="rId9" Type="http://schemas.openxmlformats.org/officeDocument/2006/relationships/hyperlink" Target="https://www.sec.gov/Archives/edgar/data/1832038/000095017024037610/ivvd-ex10_23.htm" TargetMode="External"/><Relationship Id="rId10" Type="http://schemas.openxmlformats.org/officeDocument/2006/relationships/hyperlink" Target="https://www.sec.gov/Archives/edgar/data/1832038/000095017024037610/ivvd-ex10_14.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24955</Words>
  <Characters>138956</Characters>
  <CharactersWithSpaces>164333</CharactersWithSpaces>
  <Paragraphs>3385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