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372745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INVIVYD, INC.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26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177800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220345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7" w:right="1440" w:bottom="1440" w:gutter="0" w:footer="0" w:header="0"/>
        </w:sectPr>
      </w:pPr>
    </w:p>
    <w:bookmarkStart w:id="1" w:name="page2"/>
    <w:bookmarkEnd w:id="1"/>
    <w:p>
      <w:pPr>
        <w:jc w:val="center"/>
        <w:ind w:left="4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color w:val="004878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5582920</wp:posOffset>
            </wp:positionH>
            <wp:positionV relativeFrom="page">
              <wp:posOffset>183515</wp:posOffset>
            </wp:positionV>
            <wp:extent cx="1688465" cy="18256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465" cy="182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Your </w:t>
      </w:r>
      <w:r>
        <w:rPr>
          <w:rFonts w:ascii="Arial" w:cs="Arial" w:eastAsia="Arial" w:hAnsi="Arial"/>
          <w:sz w:val="40"/>
          <w:szCs w:val="40"/>
          <w:b w:val="1"/>
          <w:bCs w:val="1"/>
          <w:color w:val="004878"/>
        </w:rPr>
        <w:t>Vote</w:t>
      </w:r>
      <w:r>
        <w:rPr>
          <w:rFonts w:ascii="Arial" w:cs="Arial" w:eastAsia="Arial" w:hAnsi="Arial"/>
          <w:sz w:val="40"/>
          <w:szCs w:val="40"/>
          <w:color w:val="004878"/>
        </w:rPr>
        <w:t xml:space="preserve"> Counts!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jc w:val="center"/>
        <w:ind w:left="4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004878"/>
        </w:rPr>
        <w:t>INVIVYD, INC.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7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004878"/>
        </w:rPr>
        <w:t>2023 Annual Meeting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7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004878"/>
        </w:rPr>
        <w:t>Vote by May 22, 2023</w:t>
      </w:r>
    </w:p>
    <w:p>
      <w:pPr>
        <w:ind w:left="7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11:59 PM 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3629660</wp:posOffset>
            </wp:positionH>
            <wp:positionV relativeFrom="paragraph">
              <wp:posOffset>99060</wp:posOffset>
            </wp:positionV>
            <wp:extent cx="2554605" cy="19456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05" cy="1945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3629660</wp:posOffset>
            </wp:positionH>
            <wp:positionV relativeFrom="paragraph">
              <wp:posOffset>99060</wp:posOffset>
            </wp:positionV>
            <wp:extent cx="2554605" cy="19456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05" cy="1945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4878"/>
        </w:rPr>
        <w:t>INVIVYD, INC.</w:t>
      </w:r>
    </w:p>
    <w:p>
      <w:pPr>
        <w:ind w:left="64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4878"/>
        </w:rPr>
        <w:t>1601 TRAPELO ROAD, SUITE 178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4878"/>
        </w:rPr>
        <w:t>WALTHAM, MA 02451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6483985</wp:posOffset>
            </wp:positionH>
            <wp:positionV relativeFrom="paragraph">
              <wp:posOffset>210820</wp:posOffset>
            </wp:positionV>
            <wp:extent cx="368300" cy="168846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168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V07272-P87524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-141605</wp:posOffset>
            </wp:positionH>
            <wp:positionV relativeFrom="paragraph">
              <wp:posOffset>98425</wp:posOffset>
            </wp:positionV>
            <wp:extent cx="977265" cy="7747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7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5163820</wp:posOffset>
            </wp:positionH>
            <wp:positionV relativeFrom="paragraph">
              <wp:posOffset>-89535</wp:posOffset>
            </wp:positionV>
            <wp:extent cx="1320165" cy="26543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265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004878"/>
        </w:rPr>
        <w:t>You invested in INVIVYD, INC. and it’s time to vote!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right="30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8"/>
        </w:rPr>
        <w:t>This is an important notice regarding the availability of proxy</w:t>
      </w:r>
      <w:r>
        <w:rPr>
          <w:rFonts w:ascii="Arial" w:cs="Arial" w:eastAsia="Arial" w:hAnsi="Arial"/>
          <w:sz w:val="18"/>
          <w:szCs w:val="18"/>
          <w:color w:val="004878"/>
        </w:rPr>
        <w:t xml:space="preserve"> 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8"/>
        </w:rPr>
        <w:t>materials for the stockholder meeting to be held on May 23, 2023.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004878"/>
        </w:rPr>
        <w:t>Get informed before you vote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right="6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8"/>
        </w:rPr>
        <w:t>View the Notice and Proxy Statement and Annual Report on Form 10-K online OR you can receive a free paper or email copy of the material(s) by requesting prior to May 9, 2023. If you would like to request a copy of the material(s) for this and/or future stockholder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-141605</wp:posOffset>
            </wp:positionH>
            <wp:positionV relativeFrom="paragraph">
              <wp:posOffset>129540</wp:posOffset>
            </wp:positionV>
            <wp:extent cx="6995160" cy="22117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2211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*  Please check the meeting materials for any special requirements for meeting attendance.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V1.1</w:t>
      </w:r>
    </w:p>
    <w:p>
      <w:pPr>
        <w:sectPr>
          <w:pgSz w:w="11900" w:h="16838" w:orient="portrait"/>
          <w:cols w:equalWidth="0" w:num="1">
            <w:col w:w="10800"/>
          </w:cols>
          <w:pgMar w:left="660" w:top="767" w:right="439" w:bottom="1440" w:gutter="0" w:footer="0" w:header="0"/>
        </w:sectPr>
      </w:pPr>
    </w:p>
    <w:bookmarkStart w:id="2" w:name="page3"/>
    <w:bookmarkEnd w:id="2"/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007BB6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211455</wp:posOffset>
            </wp:positionV>
            <wp:extent cx="6995160" cy="342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004878"/>
        </w:rPr>
        <w:t>THIS IS NOT A VOTABLE BALLOT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This is an overview of the proposals being presented at the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upcoming stockholder meeting. Please follow the instructions on the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reverse side to vote these important matters. We encourage you to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access and review all of the important information contained in the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8"/>
        </w:rPr>
        <w:t>proxy materials before voting.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004878"/>
                <w:w w:val="99"/>
              </w:rPr>
              <w:t>Voting Items</w:t>
            </w:r>
          </w:p>
        </w:tc>
        <w:tc>
          <w:tcPr>
            <w:tcW w:w="8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004878"/>
                <w:w w:val="93"/>
              </w:rPr>
              <w:t>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004878"/>
                <w:w w:val="89"/>
              </w:rPr>
              <w:t>Recommends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10" w:type="dxa"/>
            <w:vAlign w:val="bottom"/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1.</w:t>
            </w:r>
          </w:p>
        </w:tc>
        <w:tc>
          <w:tcPr>
            <w:tcW w:w="9110" w:type="dxa"/>
            <w:vAlign w:val="bottom"/>
            <w:tcBorders>
              <w:right w:val="single" w:sz="8" w:color="004878"/>
            </w:tcBorders>
            <w:gridSpan w:val="2"/>
            <w:shd w:val="clear" w:color="auto" w:fill="F0EFF7"/>
          </w:tcPr>
          <w:p>
            <w:pPr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  <w:w w:val="94"/>
              </w:rPr>
              <w:t>To approve an amendment to the Amended and Restated Certificate of Incorporation of Invivyd, Inc. (the “Company”) to</w:t>
            </w:r>
          </w:p>
        </w:tc>
        <w:tc>
          <w:tcPr>
            <w:tcW w:w="1300" w:type="dxa"/>
            <w:vAlign w:val="bottom"/>
            <w:shd w:val="clear" w:color="auto" w:fill="F0EFF7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10" w:type="dxa"/>
            <w:vAlign w:val="bottom"/>
            <w:shd w:val="clear" w:color="auto" w:fill="F0EFF7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110" w:type="dxa"/>
            <w:vAlign w:val="bottom"/>
            <w:tcBorders>
              <w:right w:val="single" w:sz="8" w:color="004878"/>
            </w:tcBorders>
            <w:gridSpan w:val="2"/>
            <w:shd w:val="clear" w:color="auto" w:fill="F0EFF7"/>
          </w:tcPr>
          <w:p>
            <w:pPr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  <w:w w:val="96"/>
              </w:rPr>
              <w:t>(i) declassify the Company’s Board of Directors and provide for the annual election of all directors and (ii) provide that</w:t>
            </w:r>
          </w:p>
        </w:tc>
        <w:tc>
          <w:tcPr>
            <w:tcW w:w="1300" w:type="dxa"/>
            <w:vAlign w:val="bottom"/>
            <w:shd w:val="clear" w:color="auto" w:fill="F0EFF7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1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10" w:type="dxa"/>
            <w:vAlign w:val="bottom"/>
            <w:tcBorders>
              <w:right w:val="single" w:sz="8" w:color="004878"/>
            </w:tcBorders>
            <w:gridSpan w:val="2"/>
            <w:shd w:val="clear" w:color="auto" w:fill="F0EFF7"/>
          </w:tcPr>
          <w:p>
            <w:pPr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  <w:w w:val="92"/>
              </w:rPr>
              <w:t>directors of the Company may be removed with or without cause by the affirmative vote of the holders of at least a majority</w:t>
            </w:r>
          </w:p>
        </w:tc>
        <w:tc>
          <w:tcPr>
            <w:tcW w:w="1300" w:type="dxa"/>
            <w:vAlign w:val="bottom"/>
            <w:shd w:val="clear" w:color="auto" w:fill="F0EFF7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8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10" w:type="dxa"/>
            <w:vAlign w:val="bottom"/>
            <w:shd w:val="clear" w:color="auto" w:fill="F0EFF7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110" w:type="dxa"/>
            <w:vAlign w:val="bottom"/>
            <w:tcBorders>
              <w:right w:val="single" w:sz="8" w:color="004878"/>
            </w:tcBorders>
            <w:gridSpan w:val="2"/>
            <w:shd w:val="clear" w:color="auto" w:fill="F0EFF7"/>
          </w:tcPr>
          <w:p>
            <w:pPr>
              <w:ind w:left="7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  <w:w w:val="91"/>
              </w:rPr>
              <w:t>of the voting power of all then-outstanding shares of capital stock of the Company entitled to vote generally at an election of</w:t>
            </w:r>
          </w:p>
        </w:tc>
        <w:tc>
          <w:tcPr>
            <w:tcW w:w="1300" w:type="dxa"/>
            <w:vAlign w:val="bottom"/>
            <w:shd w:val="clear" w:color="auto" w:fill="F0EFF7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61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110" w:type="dxa"/>
            <w:vAlign w:val="bottom"/>
            <w:tcBorders>
              <w:bottom w:val="single" w:sz="8" w:color="F0EFF7"/>
              <w:right w:val="single" w:sz="8" w:color="004878"/>
            </w:tcBorders>
            <w:gridSpan w:val="2"/>
            <w:shd w:val="clear" w:color="auto" w:fill="F0EFF7"/>
          </w:tcPr>
          <w:p>
            <w:pPr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directors (the “Declassification Amendment”).</w:t>
            </w:r>
          </w:p>
        </w:tc>
        <w:tc>
          <w:tcPr>
            <w:tcW w:w="130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10" w:type="dxa"/>
            <w:vAlign w:val="bottom"/>
            <w:tcBorders>
              <w:top w:val="single" w:sz="8" w:color="004878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2.</w:t>
            </w:r>
          </w:p>
        </w:tc>
        <w:tc>
          <w:tcPr>
            <w:tcW w:w="9110" w:type="dxa"/>
            <w:vAlign w:val="bottom"/>
            <w:tcBorders>
              <w:top w:val="single" w:sz="8" w:color="004878"/>
              <w:right w:val="single" w:sz="8" w:color="004878"/>
            </w:tcBorders>
            <w:gridSpan w:val="2"/>
            <w:shd w:val="clear" w:color="auto" w:fill="F0EFF7"/>
          </w:tcPr>
          <w:p>
            <w:pPr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  <w:w w:val="95"/>
              </w:rPr>
              <w:t>To elect the two nominees for director named in the Proxy Statement for a three-year term expiring at the 2026 Annual</w:t>
            </w:r>
          </w:p>
        </w:tc>
        <w:tc>
          <w:tcPr>
            <w:tcW w:w="1300" w:type="dxa"/>
            <w:vAlign w:val="bottom"/>
            <w:tcBorders>
              <w:top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10" w:type="dxa"/>
            <w:vAlign w:val="bottom"/>
            <w:shd w:val="clear" w:color="auto" w:fill="F0EFF7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110" w:type="dxa"/>
            <w:vAlign w:val="bottom"/>
            <w:tcBorders>
              <w:right w:val="single" w:sz="8" w:color="004878"/>
            </w:tcBorders>
            <w:gridSpan w:val="2"/>
            <w:shd w:val="clear" w:color="auto" w:fill="F0EFF7"/>
          </w:tcPr>
          <w:p>
            <w:pPr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  <w:w w:val="91"/>
              </w:rPr>
              <w:t>Meeting of Stockholders (provided, that if the Declassification Amendment is approved and implemented, the terms of such</w:t>
            </w:r>
          </w:p>
        </w:tc>
        <w:tc>
          <w:tcPr>
            <w:tcW w:w="1300" w:type="dxa"/>
            <w:vAlign w:val="bottom"/>
            <w:shd w:val="clear" w:color="auto" w:fill="F0EFF7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1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10" w:type="dxa"/>
            <w:vAlign w:val="bottom"/>
            <w:tcBorders>
              <w:right w:val="single" w:sz="8" w:color="004878"/>
            </w:tcBorders>
            <w:gridSpan w:val="2"/>
            <w:shd w:val="clear" w:color="auto" w:fill="F0EFF7"/>
          </w:tcPr>
          <w:p>
            <w:pPr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directors will expire at the 2024 Annual Meeting of Stockholders).</w:t>
            </w:r>
          </w:p>
        </w:tc>
        <w:tc>
          <w:tcPr>
            <w:tcW w:w="1300" w:type="dxa"/>
            <w:vAlign w:val="bottom"/>
            <w:vMerge w:val="restart"/>
            <w:shd w:val="clear" w:color="auto" w:fill="F0EFF7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8"/>
              </w:rPr>
              <w:t>FOR ALL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1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110" w:type="dxa"/>
            <w:vAlign w:val="bottom"/>
            <w:tcBorders>
              <w:right w:val="single" w:sz="8" w:color="004878"/>
            </w:tcBorders>
            <w:gridSpan w:val="2"/>
            <w:shd w:val="clear" w:color="auto" w:fill="F0EFF7"/>
          </w:tcPr>
          <w:p>
            <w:pPr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8"/>
              </w:rPr>
              <w:t>Nominees:</w:t>
            </w:r>
          </w:p>
        </w:tc>
        <w:tc>
          <w:tcPr>
            <w:tcW w:w="1300" w:type="dxa"/>
            <w:vAlign w:val="bottom"/>
            <w:vMerge w:val="continue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610" w:type="dxa"/>
            <w:vAlign w:val="bottom"/>
            <w:shd w:val="clear" w:color="auto" w:fill="F0EFF7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30" w:type="dxa"/>
            <w:vAlign w:val="bottom"/>
            <w:shd w:val="clear" w:color="auto" w:fill="F0EFF7"/>
          </w:tcPr>
          <w:p>
            <w:pPr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01)</w:t>
            </w:r>
          </w:p>
        </w:tc>
        <w:tc>
          <w:tcPr>
            <w:tcW w:w="8680" w:type="dxa"/>
            <w:vAlign w:val="bottom"/>
            <w:tcBorders>
              <w:right w:val="single" w:sz="8" w:color="004878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Christine Lindenboom</w:t>
            </w:r>
          </w:p>
        </w:tc>
        <w:tc>
          <w:tcPr>
            <w:tcW w:w="1300" w:type="dxa"/>
            <w:vAlign w:val="bottom"/>
            <w:shd w:val="clear" w:color="auto" w:fill="F0EFF7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1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0" w:type="dxa"/>
            <w:vAlign w:val="bottom"/>
            <w:shd w:val="clear" w:color="auto" w:fill="F0EFF7"/>
          </w:tcPr>
          <w:p>
            <w:pPr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02)</w:t>
            </w:r>
          </w:p>
        </w:tc>
        <w:tc>
          <w:tcPr>
            <w:tcW w:w="8680" w:type="dxa"/>
            <w:vAlign w:val="bottom"/>
            <w:tcBorders>
              <w:right w:val="single" w:sz="8" w:color="004878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Terrance McGuire</w:t>
            </w:r>
          </w:p>
        </w:tc>
        <w:tc>
          <w:tcPr>
            <w:tcW w:w="130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1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110" w:type="dxa"/>
            <w:vAlign w:val="bottom"/>
            <w:tcBorders>
              <w:bottom w:val="single" w:sz="8" w:color="004878"/>
              <w:right w:val="single" w:sz="8" w:color="004878"/>
            </w:tcBorders>
            <w:gridSpan w:val="2"/>
            <w:shd w:val="clear" w:color="auto" w:fill="F0EFF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10" w:type="dxa"/>
            <w:vAlign w:val="bottom"/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3.</w:t>
            </w:r>
          </w:p>
        </w:tc>
        <w:tc>
          <w:tcPr>
            <w:tcW w:w="9110" w:type="dxa"/>
            <w:vAlign w:val="bottom"/>
            <w:tcBorders>
              <w:right w:val="single" w:sz="8" w:color="004878"/>
            </w:tcBorders>
            <w:gridSpan w:val="2"/>
            <w:shd w:val="clear" w:color="auto" w:fill="F0EFF7"/>
          </w:tcPr>
          <w:p>
            <w:pPr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  <w:w w:val="91"/>
              </w:rPr>
              <w:t>To ratify the appointment of PricewaterhouseCoopers LLP as the Company’s independent registered public accounting firm</w:t>
            </w:r>
          </w:p>
        </w:tc>
        <w:tc>
          <w:tcPr>
            <w:tcW w:w="1300" w:type="dxa"/>
            <w:vAlign w:val="bottom"/>
            <w:vMerge w:val="restart"/>
            <w:shd w:val="clear" w:color="auto" w:fill="F0EFF7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8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61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110" w:type="dxa"/>
            <w:vAlign w:val="bottom"/>
            <w:tcBorders>
              <w:bottom w:val="single" w:sz="8" w:color="F0EFF7"/>
              <w:right w:val="single" w:sz="8" w:color="004878"/>
            </w:tcBorders>
            <w:gridSpan w:val="2"/>
            <w:shd w:val="clear" w:color="auto" w:fill="F0EFF7"/>
          </w:tcPr>
          <w:p>
            <w:pPr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8"/>
              </w:rPr>
              <w:t>for the fiscal year ending December 31, 2023.</w:t>
            </w:r>
          </w:p>
        </w:tc>
        <w:tc>
          <w:tcPr>
            <w:tcW w:w="1300" w:type="dxa"/>
            <w:vAlign w:val="bottom"/>
            <w:tcBorders>
              <w:bottom w:val="single" w:sz="8" w:color="F0EFF7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0" w:type="dxa"/>
            <w:vAlign w:val="bottom"/>
            <w:tcBorders>
              <w:top w:val="single" w:sz="8" w:color="00487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30" w:type="dxa"/>
            <w:vAlign w:val="bottom"/>
            <w:tcBorders>
              <w:top w:val="single" w:sz="8" w:color="00487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80" w:type="dxa"/>
            <w:vAlign w:val="bottom"/>
            <w:tcBorders>
              <w:top w:val="single" w:sz="8" w:color="004878"/>
              <w:right w:val="single" w:sz="8" w:color="F0EFF7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-1833880</wp:posOffset>
            </wp:positionV>
            <wp:extent cx="6995160" cy="470598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70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4878"/>
        </w:rPr>
        <w:t xml:space="preserve">NOTE: </w:t>
      </w:r>
      <w:r>
        <w:rPr>
          <w:rFonts w:ascii="Arial" w:cs="Arial" w:eastAsia="Arial" w:hAnsi="Arial"/>
          <w:sz w:val="18"/>
          <w:szCs w:val="18"/>
          <w:color w:val="004878"/>
        </w:rPr>
        <w:t>Such other business as may properly come before the meeting or any adjournment or postponement thereof.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2817495</wp:posOffset>
            </wp:positionV>
            <wp:extent cx="6995160" cy="23114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231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>Prefer to receive an email instead? While voting on www.ProxyVote.com, be sure to click “Delivery Settings”.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V07273-P87524</w:t>
      </w:r>
    </w:p>
    <w:sectPr>
      <w:pgSz w:w="11900" w:h="16838" w:orient="portrait"/>
      <w:cols w:equalWidth="0" w:num="1">
        <w:col w:w="11020"/>
      </w:cols>
      <w:pgMar w:left="440" w:top="256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2023-04-10T15:31:42Z</dcterms:created>
  <dcterms:modified xsi:type="dcterms:W3CDTF">2023-04-10T15:31:42Z</dcterms:modified>
</cp:coreProperties>
</file>